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93CCC8" w14:textId="77777777" w:rsidR="00CC7F77" w:rsidRPr="00C3194C" w:rsidRDefault="00CC7F77">
      <w:pPr>
        <w:rPr>
          <w:rFonts w:ascii="Times New Roman" w:hAnsi="Times New Roman" w:cs="Times New Roman"/>
          <w:b/>
          <w:noProof/>
          <w:sz w:val="20"/>
          <w:szCs w:val="20"/>
          <w:lang w:val="en-US" w:eastAsia="nl-NL"/>
        </w:rPr>
      </w:pPr>
      <w:r w:rsidRPr="00C3194C">
        <w:rPr>
          <w:rFonts w:ascii="Times New Roman" w:hAnsi="Times New Roman" w:cs="Times New Roman"/>
          <w:b/>
          <w:noProof/>
          <w:sz w:val="20"/>
          <w:szCs w:val="20"/>
          <w:lang w:val="en-US" w:eastAsia="nl-NL"/>
        </w:rPr>
        <w:t xml:space="preserve">SUPPLEMENTARY FILES of </w:t>
      </w:r>
    </w:p>
    <w:p w14:paraId="5AA3EFE5" w14:textId="68B5530B" w:rsidR="001F5AD0" w:rsidRPr="00C3194C" w:rsidRDefault="001F5AD0" w:rsidP="001F5AD0">
      <w:pPr>
        <w:spacing w:line="36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C3194C">
        <w:rPr>
          <w:rFonts w:ascii="Times New Roman" w:hAnsi="Times New Roman" w:cs="Times New Roman"/>
          <w:b/>
          <w:sz w:val="20"/>
          <w:szCs w:val="20"/>
          <w:lang w:val="en-US"/>
        </w:rPr>
        <w:t>Limited sampling strategies for individualized BAX 855 pr</w:t>
      </w:r>
      <w:r w:rsidR="00BF2362" w:rsidRPr="00C3194C">
        <w:rPr>
          <w:rFonts w:ascii="Times New Roman" w:hAnsi="Times New Roman" w:cs="Times New Roman"/>
          <w:b/>
          <w:sz w:val="20"/>
          <w:szCs w:val="20"/>
          <w:lang w:val="en-US"/>
        </w:rPr>
        <w:t>ophylaxis in severe hemophilia A</w:t>
      </w:r>
      <w:r w:rsidR="004A0166" w:rsidRPr="00C3194C">
        <w:rPr>
          <w:rFonts w:ascii="Times New Roman" w:hAnsi="Times New Roman" w:cs="Times New Roman"/>
          <w:b/>
          <w:sz w:val="20"/>
          <w:szCs w:val="20"/>
          <w:lang w:val="en-US"/>
        </w:rPr>
        <w:t>: in silico evaluation</w:t>
      </w:r>
    </w:p>
    <w:p w14:paraId="6D4DAACC" w14:textId="77777777" w:rsidR="0020604D" w:rsidRPr="00C3194C" w:rsidRDefault="0020604D" w:rsidP="0020604D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3194C">
        <w:rPr>
          <w:rFonts w:ascii="Times New Roman" w:hAnsi="Times New Roman" w:cs="Times New Roman"/>
          <w:sz w:val="20"/>
          <w:szCs w:val="20"/>
          <w:lang w:val="en-US"/>
        </w:rPr>
        <w:t>L.H. Bukkems</w:t>
      </w:r>
      <w:r w:rsidRPr="00C3194C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1*</w:t>
      </w:r>
      <w:r w:rsidRPr="00C3194C">
        <w:rPr>
          <w:rFonts w:ascii="Times New Roman" w:hAnsi="Times New Roman" w:cs="Times New Roman"/>
          <w:sz w:val="20"/>
          <w:szCs w:val="20"/>
          <w:lang w:val="en-US"/>
        </w:rPr>
        <w:t>, M.H.J. Goedhart</w:t>
      </w:r>
      <w:r w:rsidRPr="00C3194C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2*</w:t>
      </w:r>
      <w:r w:rsidRPr="00C3194C">
        <w:rPr>
          <w:rFonts w:ascii="Times New Roman" w:hAnsi="Times New Roman" w:cs="Times New Roman"/>
          <w:sz w:val="20"/>
          <w:szCs w:val="20"/>
          <w:lang w:val="en-US"/>
        </w:rPr>
        <w:t>, C.M. Zwaan</w:t>
      </w:r>
      <w:r w:rsidRPr="00C3194C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C3194C">
        <w:rPr>
          <w:rFonts w:ascii="Times New Roman" w:hAnsi="Times New Roman" w:cs="Times New Roman"/>
          <w:sz w:val="20"/>
          <w:szCs w:val="20"/>
          <w:lang w:val="en-US"/>
        </w:rPr>
        <w:t>, M.H. Cnossen</w:t>
      </w:r>
      <w:r w:rsidRPr="00C3194C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2* </w:t>
      </w:r>
      <w:r w:rsidRPr="00C3194C">
        <w:rPr>
          <w:rFonts w:ascii="Times New Roman" w:hAnsi="Times New Roman" w:cs="Times New Roman"/>
          <w:sz w:val="20"/>
          <w:szCs w:val="20"/>
          <w:lang w:val="en-US"/>
        </w:rPr>
        <w:t>&amp; R.A.A Mathôt</w:t>
      </w:r>
      <w:r w:rsidRPr="00C3194C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1*</w:t>
      </w:r>
      <w:r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, for the OPTI-CLOT study group and SYMPHONY consortium. </w:t>
      </w:r>
    </w:p>
    <w:p w14:paraId="579E3DC2" w14:textId="77777777" w:rsidR="0020604D" w:rsidRPr="00C3194C" w:rsidRDefault="0020604D" w:rsidP="0020604D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3194C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Department of Clinical Pharmacology - Hospital Pharmacy, Amsterdam University Medical Centers, Amsterdam, The Netherlands; </w:t>
      </w:r>
      <w:r w:rsidRPr="00C3194C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C3194C">
        <w:rPr>
          <w:rFonts w:ascii="Times New Roman" w:hAnsi="Times New Roman" w:cs="Times New Roman"/>
          <w:sz w:val="20"/>
          <w:szCs w:val="20"/>
          <w:lang w:val="en-US"/>
        </w:rPr>
        <w:t>Department of Pediatric Hematology and Oncology, Erasmus MC Sophia Children’s Hospital, University Medical Center Rotterdam, Rotterdam, the Netherlands</w:t>
      </w:r>
    </w:p>
    <w:p w14:paraId="6CB419CF" w14:textId="3F5A253B" w:rsidR="0020604D" w:rsidRPr="00C3194C" w:rsidRDefault="0020604D" w:rsidP="0020604D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3194C">
        <w:rPr>
          <w:rFonts w:ascii="Times New Roman" w:hAnsi="Times New Roman" w:cs="Times New Roman"/>
          <w:sz w:val="20"/>
          <w:szCs w:val="20"/>
          <w:lang w:val="en-US"/>
        </w:rPr>
        <w:t>*Shared first-author and</w:t>
      </w:r>
      <w:r w:rsidR="00A20274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last</w:t>
      </w:r>
      <w:r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authors</w:t>
      </w:r>
    </w:p>
    <w:p w14:paraId="7B1F4A73" w14:textId="77777777" w:rsidR="00CC7F77" w:rsidRPr="00C3194C" w:rsidRDefault="00CC7F77">
      <w:pPr>
        <w:rPr>
          <w:rFonts w:ascii="Times New Roman" w:hAnsi="Times New Roman" w:cs="Times New Roman"/>
          <w:noProof/>
          <w:sz w:val="20"/>
          <w:szCs w:val="20"/>
          <w:lang w:val="en-US" w:eastAsia="nl-NL"/>
        </w:rPr>
      </w:pPr>
      <w:r w:rsidRPr="00C3194C">
        <w:rPr>
          <w:rFonts w:ascii="Times New Roman" w:hAnsi="Times New Roman" w:cs="Times New Roman"/>
          <w:noProof/>
          <w:sz w:val="20"/>
          <w:szCs w:val="20"/>
          <w:lang w:val="en-US" w:eastAsia="nl-NL"/>
        </w:rPr>
        <w:br w:type="page"/>
      </w:r>
    </w:p>
    <w:p w14:paraId="7A780ACB" w14:textId="34EBAD86" w:rsidR="009A5BD3" w:rsidRPr="00C3194C" w:rsidRDefault="00692AF4">
      <w:pPr>
        <w:rPr>
          <w:rFonts w:ascii="Times New Roman" w:hAnsi="Times New Roman" w:cs="Times New Roman"/>
          <w:sz w:val="20"/>
          <w:szCs w:val="20"/>
        </w:rPr>
      </w:pPr>
      <w:r w:rsidRPr="00C3194C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506CC771" wp14:editId="31E8DDE9">
            <wp:extent cx="5731510" cy="4457700"/>
            <wp:effectExtent l="0" t="0" r="2540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1_Relationcovariates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31909" w14:textId="00532520" w:rsidR="00991D66" w:rsidRPr="00C3194C" w:rsidRDefault="00CC7F7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Figure 1: </w:t>
      </w:r>
      <w:r w:rsidR="00450E15" w:rsidRPr="00C3194C">
        <w:rPr>
          <w:rFonts w:ascii="Times New Roman" w:hAnsi="Times New Roman" w:cs="Times New Roman"/>
          <w:b/>
          <w:sz w:val="20"/>
          <w:szCs w:val="20"/>
          <w:lang w:val="en-US"/>
        </w:rPr>
        <w:t>Cor</w:t>
      </w:r>
      <w:r w:rsidRPr="00C3194C">
        <w:rPr>
          <w:rFonts w:ascii="Times New Roman" w:hAnsi="Times New Roman" w:cs="Times New Roman"/>
          <w:b/>
          <w:sz w:val="20"/>
          <w:szCs w:val="20"/>
          <w:lang w:val="en-US"/>
        </w:rPr>
        <w:t>relation between patient characteristic</w:t>
      </w:r>
      <w:r w:rsidR="00991D66" w:rsidRPr="00C3194C">
        <w:rPr>
          <w:rFonts w:ascii="Times New Roman" w:hAnsi="Times New Roman" w:cs="Times New Roman"/>
          <w:b/>
          <w:sz w:val="20"/>
          <w:szCs w:val="20"/>
          <w:lang w:val="en-US"/>
        </w:rPr>
        <w:t>s of the simulated population</w:t>
      </w:r>
      <w:r w:rsidR="00991D66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4B2A26" w:rsidRPr="00C3194C">
        <w:rPr>
          <w:rFonts w:ascii="Times New Roman" w:hAnsi="Times New Roman" w:cs="Times New Roman"/>
          <w:sz w:val="20"/>
          <w:szCs w:val="20"/>
          <w:lang w:val="en-US"/>
        </w:rPr>
        <w:t>The diagonal depicts histograms with density plots of the patient characteristics. The lower off diagonal presents bivariate scatter plots. Above the diagonal the Pearson correlation coefficients are included.</w:t>
      </w:r>
      <w:r w:rsidR="003C3720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FFM: fat-free mass, BMI: body mass index. </w:t>
      </w:r>
    </w:p>
    <w:p w14:paraId="0F37744F" w14:textId="231E8B5B" w:rsidR="00A20274" w:rsidRPr="00C3194C" w:rsidRDefault="00991D66" w:rsidP="00664F4D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3194C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56810CDC" w14:textId="56218E8A" w:rsidR="00995582" w:rsidRPr="00C3194C" w:rsidRDefault="00995582" w:rsidP="000328CC">
      <w:pPr>
        <w:rPr>
          <w:rFonts w:ascii="Times New Roman" w:hAnsi="Times New Roman" w:cs="Times New Roman"/>
          <w:sz w:val="20"/>
          <w:szCs w:val="20"/>
          <w:lang w:val="en-GB"/>
        </w:rPr>
        <w:sectPr w:rsidR="00995582" w:rsidRPr="00C3194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D57617D" w14:textId="76A2B561" w:rsidR="00997DC9" w:rsidRPr="00C3194C" w:rsidRDefault="00647A97" w:rsidP="00995582">
      <w:pPr>
        <w:rPr>
          <w:rFonts w:ascii="Times New Roman" w:hAnsi="Times New Roman" w:cs="Times New Roman"/>
          <w:sz w:val="20"/>
          <w:szCs w:val="20"/>
          <w:lang w:val="en-US"/>
        </w:rPr>
        <w:sectPr w:rsidR="00997DC9" w:rsidRPr="00C3194C" w:rsidSect="00997DC9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C3194C">
        <w:rPr>
          <w:rFonts w:ascii="Times New Roman" w:hAnsi="Times New Roman" w:cs="Times New Roman"/>
          <w:b/>
          <w:noProof/>
          <w:sz w:val="20"/>
          <w:szCs w:val="20"/>
          <w:lang w:val="en-US"/>
        </w:rPr>
        <w:lastRenderedPageBreak/>
        <w:drawing>
          <wp:inline distT="0" distB="0" distL="0" distR="0" wp14:anchorId="4824C5CE" wp14:editId="13B7DA78">
            <wp:extent cx="8863330" cy="4431665"/>
            <wp:effectExtent l="0" t="0" r="0" b="698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rror_under12_without1h_small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43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1648" w:rsidRPr="00C3194C">
        <w:rPr>
          <w:rFonts w:ascii="Times New Roman" w:hAnsi="Times New Roman" w:cs="Times New Roman"/>
          <w:b/>
          <w:sz w:val="20"/>
          <w:szCs w:val="20"/>
          <w:lang w:val="en-US"/>
        </w:rPr>
        <w:br w:type="textWrapping" w:clear="all"/>
      </w:r>
      <w:r w:rsidR="00664F4D" w:rsidRPr="00C3194C">
        <w:rPr>
          <w:rFonts w:ascii="Times New Roman" w:hAnsi="Times New Roman" w:cs="Times New Roman"/>
          <w:b/>
          <w:sz w:val="20"/>
          <w:szCs w:val="20"/>
          <w:lang w:val="en-US"/>
        </w:rPr>
        <w:t>Figure 2</w:t>
      </w:r>
      <w:r w:rsidR="00561648"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: Relative error between the </w:t>
      </w:r>
      <w:r w:rsidR="00561648" w:rsidRPr="00C3194C">
        <w:rPr>
          <w:rFonts w:ascii="Times New Roman" w:hAnsi="Times New Roman" w:cs="Times New Roman"/>
          <w:b/>
          <w:i/>
          <w:sz w:val="20"/>
          <w:szCs w:val="20"/>
          <w:lang w:val="en-US"/>
        </w:rPr>
        <w:t>true</w:t>
      </w:r>
      <w:r w:rsidR="00561648"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simulated PK parameters and PK parameters estimated by Bayesian analysis </w:t>
      </w:r>
      <w:r w:rsidR="005B2EBC" w:rsidRPr="00C3194C">
        <w:rPr>
          <w:rFonts w:ascii="Times New Roman" w:hAnsi="Times New Roman" w:cs="Times New Roman"/>
          <w:b/>
          <w:sz w:val="20"/>
          <w:szCs w:val="20"/>
          <w:lang w:val="en-US"/>
        </w:rPr>
        <w:t>for a selection of</w:t>
      </w:r>
      <w:r w:rsidR="00561648"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the evaluated limited sampling strategies</w:t>
      </w:r>
      <w:r w:rsidR="006053AC"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(LSS)</w:t>
      </w:r>
      <w:r w:rsidR="00561648"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of BAX 855 of children &lt;12 years</w:t>
      </w:r>
      <w:r w:rsidR="003C3720"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561648" w:rsidRPr="00C3194C">
        <w:rPr>
          <w:rFonts w:ascii="Times New Roman" w:hAnsi="Times New Roman" w:cs="Times New Roman"/>
          <w:sz w:val="20"/>
          <w:szCs w:val="20"/>
          <w:lang w:val="en-US"/>
        </w:rPr>
        <w:t>The parameters elimination</w:t>
      </w:r>
      <w:r w:rsidR="003C3720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half-life (t1/2) and</w:t>
      </w:r>
      <w:r w:rsidR="00561648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FVIII level at 72h after dose (C72) are presented. The boxes of the boxplots present the median (middle line) and interquartile range (IQR) and the whiskers extend to the 5</w:t>
      </w:r>
      <w:r w:rsidR="00561648" w:rsidRPr="00C3194C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="00561648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and 95</w:t>
      </w:r>
      <w:r w:rsidR="00561648" w:rsidRPr="00C3194C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th </w:t>
      </w:r>
      <w:r w:rsidR="00561648" w:rsidRPr="00C3194C">
        <w:rPr>
          <w:rFonts w:ascii="Times New Roman" w:hAnsi="Times New Roman" w:cs="Times New Roman"/>
          <w:sz w:val="20"/>
          <w:szCs w:val="20"/>
          <w:lang w:val="en-US"/>
        </w:rPr>
        <w:t>percentile.</w:t>
      </w:r>
      <w:r w:rsidR="005B2EBC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The green boxes present the preferred limited sampling strategies.</w:t>
      </w:r>
      <w:r w:rsidR="006C7CD1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BD4484" w:rsidRPr="00C3194C">
        <w:rPr>
          <w:rFonts w:ascii="Times New Roman" w:hAnsi="Times New Roman" w:cs="Times New Roman"/>
          <w:sz w:val="20"/>
          <w:szCs w:val="20"/>
          <w:lang w:val="en-US"/>
        </w:rPr>
        <w:t>For readability, the y-axis of the C72 plots are</w:t>
      </w:r>
      <w:r w:rsidR="0019296F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limited from -75%</w:t>
      </w:r>
      <w:r w:rsidR="00BC523B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to </w:t>
      </w:r>
      <w:r w:rsidR="0019296F" w:rsidRPr="00C3194C">
        <w:rPr>
          <w:rFonts w:ascii="Times New Roman" w:hAnsi="Times New Roman" w:cs="Times New Roman"/>
          <w:sz w:val="20"/>
          <w:szCs w:val="20"/>
          <w:lang w:val="en-US"/>
        </w:rPr>
        <w:t>75</w:t>
      </w:r>
      <w:r w:rsidR="00BD4484" w:rsidRPr="00C3194C">
        <w:rPr>
          <w:rFonts w:ascii="Times New Roman" w:hAnsi="Times New Roman" w:cs="Times New Roman"/>
          <w:sz w:val="20"/>
          <w:szCs w:val="20"/>
          <w:lang w:val="en-US"/>
        </w:rPr>
        <w:t>%, while maintaining all data.</w:t>
      </w:r>
      <w:r w:rsidR="0007274A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514DBF88" w14:textId="55DE02EC" w:rsidR="00997DC9" w:rsidRPr="00C3194C" w:rsidRDefault="005659FA" w:rsidP="00997DC9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C3194C">
        <w:rPr>
          <w:rFonts w:ascii="Times New Roman" w:hAnsi="Times New Roman" w:cs="Times New Roman"/>
          <w:b/>
          <w:noProof/>
          <w:sz w:val="20"/>
          <w:szCs w:val="20"/>
          <w:lang w:val="en-US"/>
        </w:rPr>
        <w:lastRenderedPageBreak/>
        <w:drawing>
          <wp:inline distT="0" distB="0" distL="0" distR="0" wp14:anchorId="41230102" wp14:editId="765DDA97">
            <wp:extent cx="5731510" cy="2865755"/>
            <wp:effectExtent l="0" t="0" r="2540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rror_SHL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9A644" w14:textId="3D6E8682" w:rsidR="00997DC9" w:rsidRPr="00C3194C" w:rsidRDefault="00997DC9" w:rsidP="00997DC9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  <w:sectPr w:rsidR="00997DC9" w:rsidRPr="00C3194C" w:rsidSect="00997DC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Figure </w:t>
      </w:r>
      <w:r w:rsidR="00664F4D" w:rsidRPr="00C3194C">
        <w:rPr>
          <w:rFonts w:ascii="Times New Roman" w:hAnsi="Times New Roman" w:cs="Times New Roman"/>
          <w:b/>
          <w:sz w:val="20"/>
          <w:szCs w:val="20"/>
          <w:lang w:val="en-US"/>
        </w:rPr>
        <w:t>3</w:t>
      </w:r>
      <w:r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: Relative error between the </w:t>
      </w:r>
      <w:r w:rsidRPr="00C3194C">
        <w:rPr>
          <w:rFonts w:ascii="Times New Roman" w:hAnsi="Times New Roman" w:cs="Times New Roman"/>
          <w:b/>
          <w:i/>
          <w:sz w:val="20"/>
          <w:szCs w:val="20"/>
          <w:lang w:val="en-US"/>
        </w:rPr>
        <w:t>true</w:t>
      </w:r>
      <w:r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simulated PK parameters and PK parameters estimated by Bayesian analysis for the evaluated limited sampling strategies of FVIII SHL concentrates.</w:t>
      </w:r>
      <w:r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The parameters clearance (CL), </w:t>
      </w:r>
      <w:r w:rsidR="00AF5EF0" w:rsidRPr="00C3194C">
        <w:rPr>
          <w:rFonts w:ascii="Times New Roman" w:hAnsi="Times New Roman" w:cs="Times New Roman"/>
          <w:sz w:val="20"/>
          <w:szCs w:val="20"/>
          <w:lang w:val="en-US"/>
        </w:rPr>
        <w:t>steady state volume of distribution (VSS</w:t>
      </w:r>
      <w:r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), elimination half-life (t1/2) and </w:t>
      </w:r>
      <w:r w:rsidR="0019296F" w:rsidRPr="00C3194C">
        <w:rPr>
          <w:rFonts w:ascii="Times New Roman" w:hAnsi="Times New Roman" w:cs="Times New Roman"/>
          <w:sz w:val="20"/>
          <w:szCs w:val="20"/>
          <w:lang w:val="en-US"/>
        </w:rPr>
        <w:t>FVIII</w:t>
      </w:r>
      <w:r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level 48h after the dose (C48) are presented. The boxes of the boxplots present the median (middle line) and interquartile range (IQR) and the whiskers extend to the 5</w:t>
      </w:r>
      <w:r w:rsidRPr="00C3194C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and 95</w:t>
      </w:r>
      <w:r w:rsidRPr="00C3194C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4F608B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A7B60" w:rsidRPr="00C3194C">
        <w:rPr>
          <w:rFonts w:ascii="Times New Roman" w:hAnsi="Times New Roman" w:cs="Times New Roman"/>
          <w:sz w:val="20"/>
          <w:szCs w:val="20"/>
          <w:lang w:val="en-US"/>
        </w:rPr>
        <w:t>The p</w:t>
      </w:r>
      <w:r w:rsidR="004F608B" w:rsidRPr="00C3194C">
        <w:rPr>
          <w:rFonts w:ascii="Times New Roman" w:hAnsi="Times New Roman" w:cs="Times New Roman"/>
          <w:sz w:val="20"/>
          <w:szCs w:val="20"/>
          <w:lang w:val="en-US"/>
        </w:rPr>
        <w:t>eak was defined as 15-30min</w:t>
      </w:r>
      <w:r w:rsidR="0019296F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 after dose. </w:t>
      </w:r>
      <w:r w:rsidR="00995436" w:rsidRPr="00C3194C">
        <w:rPr>
          <w:rFonts w:ascii="Times New Roman" w:hAnsi="Times New Roman" w:cs="Times New Roman"/>
          <w:sz w:val="20"/>
          <w:szCs w:val="20"/>
          <w:lang w:val="en-US"/>
        </w:rPr>
        <w:t>No clinically relevant differences can be seen when the strategy with and wit</w:t>
      </w:r>
      <w:r w:rsidR="00647A97" w:rsidRPr="00C3194C">
        <w:rPr>
          <w:rFonts w:ascii="Times New Roman" w:hAnsi="Times New Roman" w:cs="Times New Roman"/>
          <w:sz w:val="20"/>
          <w:szCs w:val="20"/>
          <w:lang w:val="en-US"/>
        </w:rPr>
        <w:t>hout the 4h sample are compared</w:t>
      </w:r>
      <w:r w:rsidR="00230BED" w:rsidRPr="00C3194C">
        <w:rPr>
          <w:rFonts w:ascii="Times New Roman" w:hAnsi="Times New Roman" w:cs="Times New Roman"/>
          <w:sz w:val="20"/>
          <w:szCs w:val="20"/>
          <w:lang w:val="en-US"/>
        </w:rPr>
        <w:t>.</w:t>
      </w:r>
    </w:p>
    <w:tbl>
      <w:tblPr>
        <w:tblStyle w:val="PlainTable2"/>
        <w:tblpPr w:leftFromText="141" w:rightFromText="141" w:vertAnchor="page" w:horzAnchor="margin" w:tblpY="2161"/>
        <w:tblW w:w="14175" w:type="dxa"/>
        <w:tblLayout w:type="fixed"/>
        <w:tblLook w:val="04A0" w:firstRow="1" w:lastRow="0" w:firstColumn="1" w:lastColumn="0" w:noHBand="0" w:noVBand="1"/>
      </w:tblPr>
      <w:tblGrid>
        <w:gridCol w:w="1276"/>
        <w:gridCol w:w="1588"/>
        <w:gridCol w:w="1531"/>
        <w:gridCol w:w="1531"/>
        <w:gridCol w:w="1445"/>
        <w:gridCol w:w="86"/>
        <w:gridCol w:w="1531"/>
        <w:gridCol w:w="1531"/>
        <w:gridCol w:w="113"/>
        <w:gridCol w:w="1701"/>
        <w:gridCol w:w="1842"/>
      </w:tblGrid>
      <w:tr w:rsidR="00C3194C" w:rsidRPr="00C3194C" w14:paraId="6497EEAD" w14:textId="77777777" w:rsidTr="00C319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E7E6E6" w:themeFill="background2"/>
          </w:tcPr>
          <w:p w14:paraId="56C2EE29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gridSpan w:val="2"/>
            <w:shd w:val="clear" w:color="auto" w:fill="E7E6E6" w:themeFill="background2"/>
          </w:tcPr>
          <w:p w14:paraId="0F377EA1" w14:textId="77777777" w:rsidR="00C3194C" w:rsidRPr="00C3194C" w:rsidRDefault="00C3194C" w:rsidP="00C3194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Clearance </w:t>
            </w:r>
          </w:p>
          <w:p w14:paraId="5F0190E5" w14:textId="77777777" w:rsidR="00C3194C" w:rsidRPr="00C3194C" w:rsidRDefault="00C3194C" w:rsidP="00C3194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(CL)</w:t>
            </w:r>
          </w:p>
        </w:tc>
        <w:tc>
          <w:tcPr>
            <w:tcW w:w="2976" w:type="dxa"/>
            <w:gridSpan w:val="2"/>
            <w:shd w:val="clear" w:color="auto" w:fill="E7E6E6" w:themeFill="background2"/>
          </w:tcPr>
          <w:p w14:paraId="5A209A0D" w14:textId="77777777" w:rsidR="00C3194C" w:rsidRPr="00C3194C" w:rsidRDefault="00C3194C" w:rsidP="00C3194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Steady state distribution volume (VSS)</w:t>
            </w:r>
          </w:p>
        </w:tc>
        <w:tc>
          <w:tcPr>
            <w:tcW w:w="3261" w:type="dxa"/>
            <w:gridSpan w:val="4"/>
            <w:shd w:val="clear" w:color="auto" w:fill="E7E6E6" w:themeFill="background2"/>
          </w:tcPr>
          <w:p w14:paraId="2FC2BE0A" w14:textId="77777777" w:rsidR="00C3194C" w:rsidRPr="00C3194C" w:rsidRDefault="00C3194C" w:rsidP="00C3194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Terminal half-life  </w:t>
            </w:r>
          </w:p>
          <w:p w14:paraId="5D014CE3" w14:textId="77777777" w:rsidR="00C3194C" w:rsidRPr="00C3194C" w:rsidRDefault="00C3194C" w:rsidP="00C3194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(t1/2)</w:t>
            </w:r>
          </w:p>
        </w:tc>
        <w:tc>
          <w:tcPr>
            <w:tcW w:w="3543" w:type="dxa"/>
            <w:gridSpan w:val="2"/>
            <w:shd w:val="clear" w:color="auto" w:fill="E7E6E6" w:themeFill="background2"/>
          </w:tcPr>
          <w:p w14:paraId="15EF96B4" w14:textId="77777777" w:rsidR="00C3194C" w:rsidRPr="00C3194C" w:rsidRDefault="00C3194C" w:rsidP="00C3194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Predicted FVIII level at t=72 h </w:t>
            </w:r>
          </w:p>
          <w:p w14:paraId="237542FF" w14:textId="77777777" w:rsidR="00C3194C" w:rsidRPr="00C3194C" w:rsidRDefault="00C3194C" w:rsidP="00C3194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(C72)</w:t>
            </w:r>
          </w:p>
        </w:tc>
      </w:tr>
      <w:tr w:rsidR="00C3194C" w:rsidRPr="00C3194C" w14:paraId="0B0C27C1" w14:textId="77777777" w:rsidTr="00C319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3AC4BF9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vAlign w:val="center"/>
          </w:tcPr>
          <w:p w14:paraId="73EB6339" w14:textId="77777777" w:rsidR="00C3194C" w:rsidRPr="00C3194C" w:rsidRDefault="00C3194C" w:rsidP="00C319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MPE (%)</w:t>
            </w:r>
          </w:p>
        </w:tc>
        <w:tc>
          <w:tcPr>
            <w:tcW w:w="1531" w:type="dxa"/>
            <w:vAlign w:val="center"/>
          </w:tcPr>
          <w:p w14:paraId="284A84C2" w14:textId="77777777" w:rsidR="00C3194C" w:rsidRPr="00C3194C" w:rsidRDefault="00C3194C" w:rsidP="00C319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MAPE (%)</w:t>
            </w:r>
          </w:p>
        </w:tc>
        <w:tc>
          <w:tcPr>
            <w:tcW w:w="1531" w:type="dxa"/>
            <w:vAlign w:val="center"/>
          </w:tcPr>
          <w:p w14:paraId="4DD3D47A" w14:textId="77777777" w:rsidR="00C3194C" w:rsidRPr="00C3194C" w:rsidRDefault="00C3194C" w:rsidP="00C319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MPE (%)</w:t>
            </w:r>
          </w:p>
        </w:tc>
        <w:tc>
          <w:tcPr>
            <w:tcW w:w="1531" w:type="dxa"/>
            <w:gridSpan w:val="2"/>
            <w:vAlign w:val="center"/>
          </w:tcPr>
          <w:p w14:paraId="528B2988" w14:textId="77777777" w:rsidR="00C3194C" w:rsidRPr="00C3194C" w:rsidRDefault="00C3194C" w:rsidP="00C319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MAPE (%)</w:t>
            </w:r>
          </w:p>
        </w:tc>
        <w:tc>
          <w:tcPr>
            <w:tcW w:w="1531" w:type="dxa"/>
            <w:vAlign w:val="center"/>
          </w:tcPr>
          <w:p w14:paraId="3FC51EBF" w14:textId="77777777" w:rsidR="00C3194C" w:rsidRPr="00C3194C" w:rsidRDefault="00C3194C" w:rsidP="00C319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MPE (%)</w:t>
            </w:r>
          </w:p>
        </w:tc>
        <w:tc>
          <w:tcPr>
            <w:tcW w:w="1531" w:type="dxa"/>
            <w:vAlign w:val="center"/>
          </w:tcPr>
          <w:p w14:paraId="08396526" w14:textId="77777777" w:rsidR="00C3194C" w:rsidRPr="00C3194C" w:rsidRDefault="00C3194C" w:rsidP="00C319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MAPE (%)</w:t>
            </w:r>
          </w:p>
        </w:tc>
        <w:tc>
          <w:tcPr>
            <w:tcW w:w="1814" w:type="dxa"/>
            <w:gridSpan w:val="2"/>
            <w:vAlign w:val="center"/>
          </w:tcPr>
          <w:p w14:paraId="1CEA1B87" w14:textId="77777777" w:rsidR="00C3194C" w:rsidRPr="00C3194C" w:rsidRDefault="00C3194C" w:rsidP="00C319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MPE (%)</w:t>
            </w:r>
          </w:p>
        </w:tc>
        <w:tc>
          <w:tcPr>
            <w:tcW w:w="1842" w:type="dxa"/>
            <w:vAlign w:val="center"/>
          </w:tcPr>
          <w:p w14:paraId="5C2ED0C6" w14:textId="77777777" w:rsidR="00C3194C" w:rsidRPr="00C3194C" w:rsidRDefault="00C3194C" w:rsidP="00C3194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MAPE (%)</w:t>
            </w:r>
          </w:p>
        </w:tc>
      </w:tr>
      <w:tr w:rsidR="00C3194C" w:rsidRPr="00C3194C" w14:paraId="286D5609" w14:textId="77777777" w:rsidTr="00C3194C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F2F2F2" w:themeFill="background1" w:themeFillShade="F2"/>
          </w:tcPr>
          <w:p w14:paraId="6C5DD933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samples</w:t>
            </w:r>
          </w:p>
        </w:tc>
        <w:tc>
          <w:tcPr>
            <w:tcW w:w="1588" w:type="dxa"/>
            <w:shd w:val="clear" w:color="auto" w:fill="F2F2F2" w:themeFill="background1" w:themeFillShade="F2"/>
          </w:tcPr>
          <w:p w14:paraId="67625B4F" w14:textId="77777777" w:rsidR="00C3194C" w:rsidRPr="00C3194C" w:rsidRDefault="00C3194C" w:rsidP="00C3194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</w:tcPr>
          <w:p w14:paraId="4355C130" w14:textId="77777777" w:rsidR="00C3194C" w:rsidRPr="00C3194C" w:rsidRDefault="00C3194C" w:rsidP="00C3194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</w:tcPr>
          <w:p w14:paraId="4BE11FF6" w14:textId="77777777" w:rsidR="00C3194C" w:rsidRPr="00C3194C" w:rsidRDefault="00C3194C" w:rsidP="00C3194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1" w:type="dxa"/>
            <w:gridSpan w:val="2"/>
            <w:shd w:val="clear" w:color="auto" w:fill="F2F2F2" w:themeFill="background1" w:themeFillShade="F2"/>
          </w:tcPr>
          <w:p w14:paraId="1693EBD3" w14:textId="77777777" w:rsidR="00C3194C" w:rsidRPr="00C3194C" w:rsidRDefault="00C3194C" w:rsidP="00C3194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</w:tcPr>
          <w:p w14:paraId="43CAADC2" w14:textId="77777777" w:rsidR="00C3194C" w:rsidRPr="00C3194C" w:rsidRDefault="00C3194C" w:rsidP="00C3194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</w:tcPr>
          <w:p w14:paraId="5178B67B" w14:textId="77777777" w:rsidR="00C3194C" w:rsidRPr="00C3194C" w:rsidRDefault="00C3194C" w:rsidP="00C3194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shd w:val="clear" w:color="auto" w:fill="F2F2F2" w:themeFill="background1" w:themeFillShade="F2"/>
          </w:tcPr>
          <w:p w14:paraId="1EFD5FB5" w14:textId="77777777" w:rsidR="00C3194C" w:rsidRPr="00C3194C" w:rsidRDefault="00C3194C" w:rsidP="00C3194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</w:tcPr>
          <w:p w14:paraId="794D601E" w14:textId="77777777" w:rsidR="00C3194C" w:rsidRPr="00C3194C" w:rsidRDefault="00C3194C" w:rsidP="00C3194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194C" w:rsidRPr="00C3194C" w14:paraId="12CF68F5" w14:textId="77777777" w:rsidTr="00C319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58A69EB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LSS1</w:t>
            </w:r>
          </w:p>
        </w:tc>
        <w:tc>
          <w:tcPr>
            <w:tcW w:w="1588" w:type="dxa"/>
            <w:vAlign w:val="center"/>
          </w:tcPr>
          <w:p w14:paraId="2A0E1D43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 (1.0-1.8)</w:t>
            </w:r>
          </w:p>
        </w:tc>
        <w:tc>
          <w:tcPr>
            <w:tcW w:w="1531" w:type="dxa"/>
            <w:vAlign w:val="center"/>
          </w:tcPr>
          <w:p w14:paraId="7A85525A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 (5.5-6.0)</w:t>
            </w:r>
          </w:p>
        </w:tc>
        <w:tc>
          <w:tcPr>
            <w:tcW w:w="1531" w:type="dxa"/>
            <w:vAlign w:val="center"/>
          </w:tcPr>
          <w:p w14:paraId="67B53DAE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(0.4-1.6)</w:t>
            </w:r>
          </w:p>
        </w:tc>
        <w:tc>
          <w:tcPr>
            <w:tcW w:w="1531" w:type="dxa"/>
            <w:gridSpan w:val="2"/>
            <w:vAlign w:val="center"/>
          </w:tcPr>
          <w:p w14:paraId="2F0C2723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 (7.4-8.2)</w:t>
            </w:r>
          </w:p>
        </w:tc>
        <w:tc>
          <w:tcPr>
            <w:tcW w:w="1531" w:type="dxa"/>
            <w:vAlign w:val="center"/>
          </w:tcPr>
          <w:p w14:paraId="004624EA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 (-0.8--0.3)</w:t>
            </w:r>
          </w:p>
        </w:tc>
        <w:tc>
          <w:tcPr>
            <w:tcW w:w="1531" w:type="dxa"/>
            <w:vAlign w:val="center"/>
          </w:tcPr>
          <w:p w14:paraId="1E02C528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 (3.7-4.0)</w:t>
            </w:r>
          </w:p>
        </w:tc>
        <w:tc>
          <w:tcPr>
            <w:tcW w:w="1814" w:type="dxa"/>
            <w:gridSpan w:val="2"/>
            <w:vAlign w:val="center"/>
          </w:tcPr>
          <w:p w14:paraId="6B524015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 (-1.7-0.2)</w:t>
            </w:r>
          </w:p>
        </w:tc>
        <w:tc>
          <w:tcPr>
            <w:tcW w:w="1842" w:type="dxa"/>
            <w:vAlign w:val="center"/>
          </w:tcPr>
          <w:p w14:paraId="4D7168D4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11.4 (10.7-12.1)</w:t>
            </w:r>
          </w:p>
        </w:tc>
      </w:tr>
      <w:tr w:rsidR="00C3194C" w:rsidRPr="00C3194C" w14:paraId="44CA9A5A" w14:textId="77777777" w:rsidTr="00C3194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F2F2F2" w:themeFill="background1" w:themeFillShade="F2"/>
          </w:tcPr>
          <w:p w14:paraId="39FA2D9C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samples</w:t>
            </w:r>
          </w:p>
        </w:tc>
        <w:tc>
          <w:tcPr>
            <w:tcW w:w="1588" w:type="dxa"/>
            <w:shd w:val="clear" w:color="auto" w:fill="F2F2F2" w:themeFill="background1" w:themeFillShade="F2"/>
            <w:vAlign w:val="center"/>
          </w:tcPr>
          <w:p w14:paraId="4DB492C3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236F1B8F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7880F2D2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gridSpan w:val="2"/>
            <w:shd w:val="clear" w:color="auto" w:fill="F2F2F2" w:themeFill="background1" w:themeFillShade="F2"/>
            <w:vAlign w:val="center"/>
          </w:tcPr>
          <w:p w14:paraId="05F05323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6FB2081B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1BEDDBF6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shd w:val="clear" w:color="auto" w:fill="F2F2F2" w:themeFill="background1" w:themeFillShade="F2"/>
            <w:vAlign w:val="center"/>
          </w:tcPr>
          <w:p w14:paraId="0F1C326E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7C75311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194C" w:rsidRPr="00C3194C" w14:paraId="64753B93" w14:textId="77777777" w:rsidTr="00C319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B904D1B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LSS2</w:t>
            </w:r>
          </w:p>
        </w:tc>
        <w:tc>
          <w:tcPr>
            <w:tcW w:w="1588" w:type="dxa"/>
            <w:vAlign w:val="center"/>
          </w:tcPr>
          <w:p w14:paraId="59EAD98D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 (1.4-2.3)</w:t>
            </w:r>
          </w:p>
        </w:tc>
        <w:tc>
          <w:tcPr>
            <w:tcW w:w="1531" w:type="dxa"/>
            <w:vAlign w:val="center"/>
          </w:tcPr>
          <w:p w14:paraId="21A8E0C6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 (6.2-6.8)</w:t>
            </w:r>
          </w:p>
        </w:tc>
        <w:tc>
          <w:tcPr>
            <w:tcW w:w="1531" w:type="dxa"/>
            <w:vAlign w:val="center"/>
          </w:tcPr>
          <w:p w14:paraId="66C3CAA5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(0.4-1.7)</w:t>
            </w:r>
          </w:p>
        </w:tc>
        <w:tc>
          <w:tcPr>
            <w:tcW w:w="1531" w:type="dxa"/>
            <w:gridSpan w:val="2"/>
            <w:vAlign w:val="center"/>
          </w:tcPr>
          <w:p w14:paraId="0041F70F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 (8.2-9.0)</w:t>
            </w:r>
          </w:p>
        </w:tc>
        <w:tc>
          <w:tcPr>
            <w:tcW w:w="1531" w:type="dxa"/>
            <w:vAlign w:val="center"/>
          </w:tcPr>
          <w:p w14:paraId="7DAFA920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 (-1.2--0.5)</w:t>
            </w:r>
          </w:p>
        </w:tc>
        <w:tc>
          <w:tcPr>
            <w:tcW w:w="1531" w:type="dxa"/>
            <w:vAlign w:val="center"/>
          </w:tcPr>
          <w:p w14:paraId="56F8370C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 (4.5-4.9)</w:t>
            </w:r>
          </w:p>
        </w:tc>
        <w:tc>
          <w:tcPr>
            <w:tcW w:w="1814" w:type="dxa"/>
            <w:gridSpan w:val="2"/>
            <w:vAlign w:val="center"/>
          </w:tcPr>
          <w:p w14:paraId="0B64AA58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 (-2.5--0.4)</w:t>
            </w:r>
          </w:p>
        </w:tc>
        <w:tc>
          <w:tcPr>
            <w:tcW w:w="1842" w:type="dxa"/>
            <w:vAlign w:val="center"/>
          </w:tcPr>
          <w:p w14:paraId="2FE7A36C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 (12.8-14.2)</w:t>
            </w:r>
          </w:p>
        </w:tc>
      </w:tr>
      <w:tr w:rsidR="00C3194C" w:rsidRPr="00C3194C" w14:paraId="3DF0186D" w14:textId="77777777" w:rsidTr="00C3194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07B7257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LSS3</w:t>
            </w:r>
          </w:p>
        </w:tc>
        <w:tc>
          <w:tcPr>
            <w:tcW w:w="1588" w:type="dxa"/>
            <w:vAlign w:val="center"/>
          </w:tcPr>
          <w:p w14:paraId="1ADE115B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 (1.4-2.3)</w:t>
            </w:r>
          </w:p>
        </w:tc>
        <w:tc>
          <w:tcPr>
            <w:tcW w:w="1531" w:type="dxa"/>
            <w:vAlign w:val="center"/>
          </w:tcPr>
          <w:p w14:paraId="544C87CE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 (6.3-7.0)</w:t>
            </w:r>
          </w:p>
        </w:tc>
        <w:tc>
          <w:tcPr>
            <w:tcW w:w="1531" w:type="dxa"/>
            <w:vAlign w:val="center"/>
          </w:tcPr>
          <w:p w14:paraId="1702D493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(0.5-1.8)</w:t>
            </w:r>
          </w:p>
        </w:tc>
        <w:tc>
          <w:tcPr>
            <w:tcW w:w="1531" w:type="dxa"/>
            <w:gridSpan w:val="2"/>
            <w:vAlign w:val="center"/>
          </w:tcPr>
          <w:p w14:paraId="62A1C864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 (8.2-9.0)</w:t>
            </w:r>
          </w:p>
        </w:tc>
        <w:tc>
          <w:tcPr>
            <w:tcW w:w="1531" w:type="dxa"/>
            <w:vAlign w:val="center"/>
          </w:tcPr>
          <w:p w14:paraId="73919EFC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 (-1.1--0.4)</w:t>
            </w:r>
          </w:p>
        </w:tc>
        <w:tc>
          <w:tcPr>
            <w:tcW w:w="1531" w:type="dxa"/>
            <w:vAlign w:val="center"/>
          </w:tcPr>
          <w:p w14:paraId="348D10A6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 (4.6-5.0)</w:t>
            </w:r>
          </w:p>
        </w:tc>
        <w:tc>
          <w:tcPr>
            <w:tcW w:w="1814" w:type="dxa"/>
            <w:gridSpan w:val="2"/>
            <w:vAlign w:val="center"/>
          </w:tcPr>
          <w:p w14:paraId="22C487C0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 (-2.2-0.1)</w:t>
            </w:r>
          </w:p>
        </w:tc>
        <w:tc>
          <w:tcPr>
            <w:tcW w:w="1842" w:type="dxa"/>
            <w:vAlign w:val="center"/>
          </w:tcPr>
          <w:p w14:paraId="68988340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 (14.2-15.8)</w:t>
            </w:r>
          </w:p>
        </w:tc>
      </w:tr>
      <w:tr w:rsidR="00C3194C" w:rsidRPr="00C3194C" w14:paraId="3F728CD0" w14:textId="77777777" w:rsidTr="00C319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EE5CFD6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LSS4</w:t>
            </w:r>
          </w:p>
        </w:tc>
        <w:tc>
          <w:tcPr>
            <w:tcW w:w="1588" w:type="dxa"/>
            <w:vAlign w:val="center"/>
          </w:tcPr>
          <w:p w14:paraId="11630E1A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 (1.2-2.3)</w:t>
            </w:r>
          </w:p>
        </w:tc>
        <w:tc>
          <w:tcPr>
            <w:tcW w:w="1531" w:type="dxa"/>
            <w:vAlign w:val="center"/>
          </w:tcPr>
          <w:p w14:paraId="2020A841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 (6.7-7.4)</w:t>
            </w:r>
          </w:p>
        </w:tc>
        <w:tc>
          <w:tcPr>
            <w:tcW w:w="1531" w:type="dxa"/>
            <w:vAlign w:val="center"/>
          </w:tcPr>
          <w:p w14:paraId="1FE390EB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 (0.7-2.0)</w:t>
            </w:r>
          </w:p>
        </w:tc>
        <w:tc>
          <w:tcPr>
            <w:tcW w:w="1531" w:type="dxa"/>
            <w:gridSpan w:val="2"/>
            <w:vAlign w:val="center"/>
          </w:tcPr>
          <w:p w14:paraId="783B4FE6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 (8.2-9.0)</w:t>
            </w:r>
          </w:p>
        </w:tc>
        <w:tc>
          <w:tcPr>
            <w:tcW w:w="1531" w:type="dxa"/>
            <w:vAlign w:val="center"/>
          </w:tcPr>
          <w:p w14:paraId="1675242B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 (-0.8--0.1)</w:t>
            </w:r>
          </w:p>
        </w:tc>
        <w:tc>
          <w:tcPr>
            <w:tcW w:w="1531" w:type="dxa"/>
            <w:vAlign w:val="center"/>
          </w:tcPr>
          <w:p w14:paraId="26F9319B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 (4.3-4.8)</w:t>
            </w:r>
          </w:p>
        </w:tc>
        <w:tc>
          <w:tcPr>
            <w:tcW w:w="1814" w:type="dxa"/>
            <w:gridSpan w:val="2"/>
            <w:vAlign w:val="center"/>
          </w:tcPr>
          <w:p w14:paraId="40F0D2B0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(-0.4-2.8)</w:t>
            </w:r>
          </w:p>
        </w:tc>
        <w:tc>
          <w:tcPr>
            <w:tcW w:w="1842" w:type="dxa"/>
            <w:vAlign w:val="center"/>
          </w:tcPr>
          <w:p w14:paraId="71CF796F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 (14.3-17.0)</w:t>
            </w:r>
          </w:p>
        </w:tc>
      </w:tr>
      <w:tr w:rsidR="00C3194C" w:rsidRPr="00C3194C" w14:paraId="3BF1DE68" w14:textId="77777777" w:rsidTr="00C3194C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890DA36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b w:val="0"/>
                <w:color w:val="00B050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LSS5</w:t>
            </w:r>
          </w:p>
        </w:tc>
        <w:tc>
          <w:tcPr>
            <w:tcW w:w="1588" w:type="dxa"/>
            <w:vAlign w:val="center"/>
          </w:tcPr>
          <w:p w14:paraId="58100A81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 (1.2-2.2)</w:t>
            </w:r>
          </w:p>
        </w:tc>
        <w:tc>
          <w:tcPr>
            <w:tcW w:w="1531" w:type="dxa"/>
            <w:vAlign w:val="center"/>
          </w:tcPr>
          <w:p w14:paraId="7A6FDC3D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 (6.6-7.2)</w:t>
            </w:r>
          </w:p>
        </w:tc>
        <w:tc>
          <w:tcPr>
            <w:tcW w:w="1531" w:type="dxa"/>
            <w:vAlign w:val="center"/>
          </w:tcPr>
          <w:p w14:paraId="30610726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(0.7-2.0)</w:t>
            </w:r>
          </w:p>
        </w:tc>
        <w:tc>
          <w:tcPr>
            <w:tcW w:w="1531" w:type="dxa"/>
            <w:gridSpan w:val="2"/>
            <w:vAlign w:val="center"/>
          </w:tcPr>
          <w:p w14:paraId="155C015E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 (9.5-9.3)</w:t>
            </w:r>
          </w:p>
        </w:tc>
        <w:tc>
          <w:tcPr>
            <w:tcW w:w="1531" w:type="dxa"/>
            <w:vAlign w:val="center"/>
          </w:tcPr>
          <w:p w14:paraId="05AD2E58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 (-0.8--0.2)</w:t>
            </w:r>
          </w:p>
        </w:tc>
        <w:tc>
          <w:tcPr>
            <w:tcW w:w="1531" w:type="dxa"/>
            <w:vAlign w:val="center"/>
          </w:tcPr>
          <w:p w14:paraId="5FD7AC7A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 (3.8-4.2)</w:t>
            </w:r>
          </w:p>
        </w:tc>
        <w:tc>
          <w:tcPr>
            <w:tcW w:w="1814" w:type="dxa"/>
            <w:gridSpan w:val="2"/>
            <w:vAlign w:val="center"/>
          </w:tcPr>
          <w:p w14:paraId="70009B3C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 (-1.6-1.3)</w:t>
            </w:r>
          </w:p>
        </w:tc>
        <w:tc>
          <w:tcPr>
            <w:tcW w:w="1842" w:type="dxa"/>
            <w:vAlign w:val="center"/>
          </w:tcPr>
          <w:p w14:paraId="6250419C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 (11.4-13.8)</w:t>
            </w:r>
          </w:p>
        </w:tc>
      </w:tr>
      <w:tr w:rsidR="00C3194C" w:rsidRPr="00C3194C" w14:paraId="33A20522" w14:textId="77777777" w:rsidTr="00C319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F2F2F2" w:themeFill="background1" w:themeFillShade="F2"/>
          </w:tcPr>
          <w:p w14:paraId="48EE025D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samples</w:t>
            </w:r>
          </w:p>
        </w:tc>
        <w:tc>
          <w:tcPr>
            <w:tcW w:w="1588" w:type="dxa"/>
            <w:shd w:val="clear" w:color="auto" w:fill="F2F2F2" w:themeFill="background1" w:themeFillShade="F2"/>
            <w:vAlign w:val="center"/>
          </w:tcPr>
          <w:p w14:paraId="6DDD87AB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66AA9BD0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3A285B98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gridSpan w:val="2"/>
            <w:shd w:val="clear" w:color="auto" w:fill="F2F2F2" w:themeFill="background1" w:themeFillShade="F2"/>
            <w:vAlign w:val="center"/>
          </w:tcPr>
          <w:p w14:paraId="394EB8AD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1C0F9240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1C6A6D14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shd w:val="clear" w:color="auto" w:fill="F2F2F2" w:themeFill="background1" w:themeFillShade="F2"/>
            <w:vAlign w:val="center"/>
          </w:tcPr>
          <w:p w14:paraId="39E76B36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08D360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194C" w:rsidRPr="00C3194C" w14:paraId="35D1C206" w14:textId="77777777" w:rsidTr="00C3194C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9ABBB8C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LSS6</w:t>
            </w:r>
          </w:p>
        </w:tc>
        <w:tc>
          <w:tcPr>
            <w:tcW w:w="1588" w:type="dxa"/>
            <w:vAlign w:val="center"/>
          </w:tcPr>
          <w:p w14:paraId="7C46CDA9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 (2.1-3.2)</w:t>
            </w:r>
          </w:p>
        </w:tc>
        <w:tc>
          <w:tcPr>
            <w:tcW w:w="1531" w:type="dxa"/>
            <w:vAlign w:val="center"/>
          </w:tcPr>
          <w:p w14:paraId="434CCA80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 (7.1-7.8)</w:t>
            </w:r>
          </w:p>
        </w:tc>
        <w:tc>
          <w:tcPr>
            <w:tcW w:w="1531" w:type="dxa"/>
            <w:vAlign w:val="center"/>
          </w:tcPr>
          <w:p w14:paraId="74015EF2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(0.4-1.7)</w:t>
            </w:r>
          </w:p>
        </w:tc>
        <w:tc>
          <w:tcPr>
            <w:tcW w:w="1531" w:type="dxa"/>
            <w:gridSpan w:val="2"/>
            <w:vAlign w:val="center"/>
          </w:tcPr>
          <w:p w14:paraId="73A470EF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 (8.4-9.3)</w:t>
            </w:r>
          </w:p>
        </w:tc>
        <w:tc>
          <w:tcPr>
            <w:tcW w:w="1531" w:type="dxa"/>
            <w:vAlign w:val="center"/>
          </w:tcPr>
          <w:p w14:paraId="068D66F5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 (-1.9--0.9)</w:t>
            </w:r>
          </w:p>
        </w:tc>
        <w:tc>
          <w:tcPr>
            <w:tcW w:w="1531" w:type="dxa"/>
            <w:vAlign w:val="center"/>
          </w:tcPr>
          <w:p w14:paraId="79B3684B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 (6.5-7.1)</w:t>
            </w:r>
          </w:p>
        </w:tc>
        <w:tc>
          <w:tcPr>
            <w:tcW w:w="1814" w:type="dxa"/>
            <w:gridSpan w:val="2"/>
            <w:vAlign w:val="center"/>
          </w:tcPr>
          <w:p w14:paraId="72B4F449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-2.1 (-3.5--0.6)</w:t>
            </w:r>
          </w:p>
        </w:tc>
        <w:tc>
          <w:tcPr>
            <w:tcW w:w="1842" w:type="dxa"/>
            <w:vAlign w:val="center"/>
          </w:tcPr>
          <w:p w14:paraId="230C9C37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 (19.2-21.1)</w:t>
            </w:r>
          </w:p>
        </w:tc>
      </w:tr>
      <w:tr w:rsidR="00C3194C" w:rsidRPr="00C3194C" w14:paraId="426CA55C" w14:textId="77777777" w:rsidTr="00C319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B0D2410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color w:val="00B050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  <w:lang w:val="en-US"/>
              </w:rPr>
              <w:t>LSS7</w:t>
            </w:r>
          </w:p>
        </w:tc>
        <w:tc>
          <w:tcPr>
            <w:tcW w:w="1588" w:type="dxa"/>
            <w:vAlign w:val="center"/>
          </w:tcPr>
          <w:p w14:paraId="522D6961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2.1 (1.6-2.6)</w:t>
            </w:r>
          </w:p>
        </w:tc>
        <w:tc>
          <w:tcPr>
            <w:tcW w:w="1531" w:type="dxa"/>
            <w:vAlign w:val="center"/>
          </w:tcPr>
          <w:p w14:paraId="333099D6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7.2 (6.9-7.5)</w:t>
            </w:r>
          </w:p>
        </w:tc>
        <w:tc>
          <w:tcPr>
            <w:tcW w:w="1531" w:type="dxa"/>
            <w:vAlign w:val="center"/>
          </w:tcPr>
          <w:p w14:paraId="6A8A7A49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1.2 (0.6-1.9)</w:t>
            </w:r>
          </w:p>
        </w:tc>
        <w:tc>
          <w:tcPr>
            <w:tcW w:w="1531" w:type="dxa"/>
            <w:gridSpan w:val="2"/>
            <w:vAlign w:val="center"/>
          </w:tcPr>
          <w:p w14:paraId="5D8230AA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8.9 (8.5-9.3)</w:t>
            </w:r>
          </w:p>
        </w:tc>
        <w:tc>
          <w:tcPr>
            <w:tcW w:w="1531" w:type="dxa"/>
            <w:vAlign w:val="center"/>
          </w:tcPr>
          <w:p w14:paraId="6691C40B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-0.9 (-1.3--0.6)</w:t>
            </w:r>
          </w:p>
        </w:tc>
        <w:tc>
          <w:tcPr>
            <w:tcW w:w="1531" w:type="dxa"/>
            <w:vAlign w:val="center"/>
          </w:tcPr>
          <w:p w14:paraId="011AD57B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4.8 (4.6-5.1)</w:t>
            </w:r>
          </w:p>
        </w:tc>
        <w:tc>
          <w:tcPr>
            <w:tcW w:w="1814" w:type="dxa"/>
            <w:gridSpan w:val="2"/>
            <w:vAlign w:val="center"/>
          </w:tcPr>
          <w:p w14:paraId="7D7C9058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-1.1 (-2.6-0.5)</w:t>
            </w:r>
          </w:p>
        </w:tc>
        <w:tc>
          <w:tcPr>
            <w:tcW w:w="1842" w:type="dxa"/>
            <w:vAlign w:val="center"/>
          </w:tcPr>
          <w:p w14:paraId="2EBA76CF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14.9 (13.6-16.2)</w:t>
            </w:r>
          </w:p>
        </w:tc>
      </w:tr>
      <w:tr w:rsidR="00C3194C" w:rsidRPr="00C3194C" w14:paraId="47BFA23F" w14:textId="77777777" w:rsidTr="00C3194C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D10A32C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LSS8</w:t>
            </w:r>
          </w:p>
        </w:tc>
        <w:tc>
          <w:tcPr>
            <w:tcW w:w="1588" w:type="dxa"/>
            <w:vAlign w:val="center"/>
          </w:tcPr>
          <w:p w14:paraId="6250A646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(-0.3-0.9)</w:t>
            </w:r>
          </w:p>
        </w:tc>
        <w:tc>
          <w:tcPr>
            <w:tcW w:w="1531" w:type="dxa"/>
            <w:vAlign w:val="center"/>
          </w:tcPr>
          <w:p w14:paraId="4B07BCB9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 (7.7-8.6)</w:t>
            </w:r>
          </w:p>
        </w:tc>
        <w:tc>
          <w:tcPr>
            <w:tcW w:w="1531" w:type="dxa"/>
            <w:vAlign w:val="center"/>
          </w:tcPr>
          <w:p w14:paraId="02DFD143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 (0.8-2.2)</w:t>
            </w:r>
          </w:p>
        </w:tc>
        <w:tc>
          <w:tcPr>
            <w:tcW w:w="1531" w:type="dxa"/>
            <w:gridSpan w:val="2"/>
            <w:vAlign w:val="center"/>
          </w:tcPr>
          <w:p w14:paraId="5F6BB8D3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 (8.6-9.5)</w:t>
            </w:r>
          </w:p>
        </w:tc>
        <w:tc>
          <w:tcPr>
            <w:tcW w:w="1531" w:type="dxa"/>
            <w:vAlign w:val="center"/>
          </w:tcPr>
          <w:p w14:paraId="429E6D6B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(0.8-1.9)</w:t>
            </w:r>
          </w:p>
        </w:tc>
        <w:tc>
          <w:tcPr>
            <w:tcW w:w="1531" w:type="dxa"/>
            <w:vAlign w:val="center"/>
          </w:tcPr>
          <w:p w14:paraId="52D86887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 (5.3-6.2)</w:t>
            </w:r>
          </w:p>
        </w:tc>
        <w:tc>
          <w:tcPr>
            <w:tcW w:w="1814" w:type="dxa"/>
            <w:gridSpan w:val="2"/>
            <w:vAlign w:val="center"/>
          </w:tcPr>
          <w:p w14:paraId="532EE7E5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30.5 (18.6-42.4)</w:t>
            </w:r>
          </w:p>
        </w:tc>
        <w:tc>
          <w:tcPr>
            <w:tcW w:w="1842" w:type="dxa"/>
            <w:vAlign w:val="center"/>
          </w:tcPr>
          <w:p w14:paraId="498328C3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42.8 (31.0-54.5)</w:t>
            </w:r>
          </w:p>
        </w:tc>
      </w:tr>
      <w:tr w:rsidR="00C3194C" w:rsidRPr="00C3194C" w14:paraId="55B3C3FA" w14:textId="77777777" w:rsidTr="00C319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DC029D3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LSS9</w:t>
            </w:r>
          </w:p>
        </w:tc>
        <w:tc>
          <w:tcPr>
            <w:tcW w:w="1588" w:type="dxa"/>
            <w:vAlign w:val="center"/>
          </w:tcPr>
          <w:p w14:paraId="70113C72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 (1.8-2.9)</w:t>
            </w:r>
          </w:p>
        </w:tc>
        <w:tc>
          <w:tcPr>
            <w:tcW w:w="1531" w:type="dxa"/>
            <w:vAlign w:val="center"/>
          </w:tcPr>
          <w:p w14:paraId="6048D57A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 (7.1-7.9)</w:t>
            </w:r>
          </w:p>
        </w:tc>
        <w:tc>
          <w:tcPr>
            <w:tcW w:w="1531" w:type="dxa"/>
            <w:vAlign w:val="center"/>
          </w:tcPr>
          <w:p w14:paraId="65329118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(0.5-1.8)</w:t>
            </w:r>
          </w:p>
        </w:tc>
        <w:tc>
          <w:tcPr>
            <w:tcW w:w="1531" w:type="dxa"/>
            <w:gridSpan w:val="2"/>
            <w:vAlign w:val="center"/>
          </w:tcPr>
          <w:p w14:paraId="5FF53583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 (8.3-9.1)</w:t>
            </w:r>
          </w:p>
        </w:tc>
        <w:tc>
          <w:tcPr>
            <w:tcW w:w="1531" w:type="dxa"/>
            <w:vAlign w:val="center"/>
          </w:tcPr>
          <w:p w14:paraId="5D12BCBA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 (-1.5--0.7)</w:t>
            </w:r>
          </w:p>
        </w:tc>
        <w:tc>
          <w:tcPr>
            <w:tcW w:w="1531" w:type="dxa"/>
            <w:vAlign w:val="center"/>
          </w:tcPr>
          <w:p w14:paraId="32DF191E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 (5.4-5.9)</w:t>
            </w:r>
          </w:p>
        </w:tc>
        <w:tc>
          <w:tcPr>
            <w:tcW w:w="1814" w:type="dxa"/>
            <w:gridSpan w:val="2"/>
            <w:vAlign w:val="center"/>
          </w:tcPr>
          <w:p w14:paraId="33D35CCE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 (-1.8-1.7)</w:t>
            </w:r>
          </w:p>
        </w:tc>
        <w:tc>
          <w:tcPr>
            <w:tcW w:w="1842" w:type="dxa"/>
            <w:vAlign w:val="center"/>
          </w:tcPr>
          <w:p w14:paraId="4E9C1A8F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18.7 (17.4-20.1)</w:t>
            </w:r>
          </w:p>
        </w:tc>
      </w:tr>
      <w:tr w:rsidR="00C3194C" w:rsidRPr="00C3194C" w14:paraId="6C10FE10" w14:textId="77777777" w:rsidTr="00C3194C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C723A77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LSS10</w:t>
            </w:r>
          </w:p>
        </w:tc>
        <w:tc>
          <w:tcPr>
            <w:tcW w:w="1588" w:type="dxa"/>
            <w:vAlign w:val="center"/>
          </w:tcPr>
          <w:p w14:paraId="7539CF9A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 (2.0-3.3)</w:t>
            </w:r>
          </w:p>
        </w:tc>
        <w:tc>
          <w:tcPr>
            <w:tcW w:w="1531" w:type="dxa"/>
            <w:vAlign w:val="center"/>
          </w:tcPr>
          <w:p w14:paraId="45DE4832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 (8.1-8.9)</w:t>
            </w:r>
          </w:p>
        </w:tc>
        <w:tc>
          <w:tcPr>
            <w:tcW w:w="1531" w:type="dxa"/>
            <w:vAlign w:val="center"/>
          </w:tcPr>
          <w:p w14:paraId="7B848CBD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 (0.8-2.1)</w:t>
            </w:r>
          </w:p>
        </w:tc>
        <w:tc>
          <w:tcPr>
            <w:tcW w:w="1531" w:type="dxa"/>
            <w:gridSpan w:val="2"/>
            <w:vAlign w:val="center"/>
          </w:tcPr>
          <w:p w14:paraId="2718220D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 (8.4-9.2)</w:t>
            </w:r>
          </w:p>
        </w:tc>
        <w:tc>
          <w:tcPr>
            <w:tcW w:w="1531" w:type="dxa"/>
            <w:vAlign w:val="center"/>
          </w:tcPr>
          <w:p w14:paraId="63DF1C12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 (-1.3--0.3)</w:t>
            </w:r>
          </w:p>
        </w:tc>
        <w:tc>
          <w:tcPr>
            <w:tcW w:w="1531" w:type="dxa"/>
            <w:vAlign w:val="center"/>
          </w:tcPr>
          <w:p w14:paraId="0144C618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 (6.6-7.3)</w:t>
            </w:r>
          </w:p>
        </w:tc>
        <w:tc>
          <w:tcPr>
            <w:tcW w:w="1814" w:type="dxa"/>
            <w:gridSpan w:val="2"/>
            <w:vAlign w:val="center"/>
          </w:tcPr>
          <w:p w14:paraId="46703B3E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 (0.5-5.2)</w:t>
            </w:r>
          </w:p>
        </w:tc>
        <w:tc>
          <w:tcPr>
            <w:tcW w:w="1842" w:type="dxa"/>
            <w:vAlign w:val="center"/>
          </w:tcPr>
          <w:p w14:paraId="5A9DA006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 (23.8-27.5)</w:t>
            </w:r>
          </w:p>
        </w:tc>
      </w:tr>
      <w:tr w:rsidR="00C3194C" w:rsidRPr="00C3194C" w14:paraId="49F73D26" w14:textId="77777777" w:rsidTr="00C319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2EF9DA0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LSS11</w:t>
            </w:r>
          </w:p>
        </w:tc>
        <w:tc>
          <w:tcPr>
            <w:tcW w:w="1588" w:type="dxa"/>
            <w:vAlign w:val="center"/>
          </w:tcPr>
          <w:p w14:paraId="1D7F0008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 (1.6-2.6)</w:t>
            </w:r>
          </w:p>
        </w:tc>
        <w:tc>
          <w:tcPr>
            <w:tcW w:w="1531" w:type="dxa"/>
            <w:vAlign w:val="center"/>
          </w:tcPr>
          <w:p w14:paraId="2C3104E1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 (6.7-7.4)</w:t>
            </w:r>
          </w:p>
        </w:tc>
        <w:tc>
          <w:tcPr>
            <w:tcW w:w="1531" w:type="dxa"/>
            <w:vAlign w:val="center"/>
          </w:tcPr>
          <w:p w14:paraId="6F94FAA3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(0.6-1.9)</w:t>
            </w:r>
          </w:p>
        </w:tc>
        <w:tc>
          <w:tcPr>
            <w:tcW w:w="1531" w:type="dxa"/>
            <w:gridSpan w:val="2"/>
            <w:vAlign w:val="center"/>
          </w:tcPr>
          <w:p w14:paraId="41602352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 (8.6-9.5)</w:t>
            </w:r>
          </w:p>
        </w:tc>
        <w:tc>
          <w:tcPr>
            <w:tcW w:w="1531" w:type="dxa"/>
            <w:vAlign w:val="center"/>
          </w:tcPr>
          <w:p w14:paraId="2037CE0B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 (-1.3--0.4)</w:t>
            </w:r>
          </w:p>
        </w:tc>
        <w:tc>
          <w:tcPr>
            <w:tcW w:w="1531" w:type="dxa"/>
            <w:vAlign w:val="center"/>
          </w:tcPr>
          <w:p w14:paraId="17E839E4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 (5.5-6.0)</w:t>
            </w:r>
          </w:p>
        </w:tc>
        <w:tc>
          <w:tcPr>
            <w:tcW w:w="1814" w:type="dxa"/>
            <w:gridSpan w:val="2"/>
            <w:vAlign w:val="center"/>
          </w:tcPr>
          <w:p w14:paraId="430194A7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 (-2.3-0.7)</w:t>
            </w:r>
          </w:p>
        </w:tc>
        <w:tc>
          <w:tcPr>
            <w:tcW w:w="1842" w:type="dxa"/>
            <w:vAlign w:val="center"/>
          </w:tcPr>
          <w:p w14:paraId="2EB0A6AE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 (16.1-18.4)</w:t>
            </w:r>
          </w:p>
        </w:tc>
      </w:tr>
      <w:tr w:rsidR="00C3194C" w:rsidRPr="00C3194C" w14:paraId="046D9658" w14:textId="77777777" w:rsidTr="00C3194C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CF1AFC6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LSS12</w:t>
            </w:r>
          </w:p>
        </w:tc>
        <w:tc>
          <w:tcPr>
            <w:tcW w:w="1588" w:type="dxa"/>
            <w:vAlign w:val="center"/>
          </w:tcPr>
          <w:p w14:paraId="4EF11805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(-0.3-0.9)</w:t>
            </w:r>
          </w:p>
        </w:tc>
        <w:tc>
          <w:tcPr>
            <w:tcW w:w="1531" w:type="dxa"/>
            <w:vAlign w:val="center"/>
          </w:tcPr>
          <w:p w14:paraId="12335089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 (7.6-8.4)</w:t>
            </w:r>
          </w:p>
        </w:tc>
        <w:tc>
          <w:tcPr>
            <w:tcW w:w="1531" w:type="dxa"/>
            <w:vAlign w:val="center"/>
          </w:tcPr>
          <w:p w14:paraId="55A54DA4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 (0.8-2.1)</w:t>
            </w:r>
          </w:p>
        </w:tc>
        <w:tc>
          <w:tcPr>
            <w:tcW w:w="1531" w:type="dxa"/>
            <w:gridSpan w:val="2"/>
            <w:vAlign w:val="center"/>
          </w:tcPr>
          <w:p w14:paraId="41A07D6C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 (8.6-9.5)</w:t>
            </w:r>
          </w:p>
        </w:tc>
        <w:tc>
          <w:tcPr>
            <w:tcW w:w="1531" w:type="dxa"/>
            <w:vAlign w:val="center"/>
          </w:tcPr>
          <w:p w14:paraId="44F860D7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(0.7-1.9)</w:t>
            </w:r>
          </w:p>
        </w:tc>
        <w:tc>
          <w:tcPr>
            <w:tcW w:w="1531" w:type="dxa"/>
            <w:vAlign w:val="center"/>
          </w:tcPr>
          <w:p w14:paraId="07A7F253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 (5.4-6.3)</w:t>
            </w:r>
          </w:p>
        </w:tc>
        <w:tc>
          <w:tcPr>
            <w:tcW w:w="1814" w:type="dxa"/>
            <w:gridSpan w:val="2"/>
            <w:vAlign w:val="center"/>
          </w:tcPr>
          <w:p w14:paraId="510801F0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 (17.9-41.1)</w:t>
            </w:r>
          </w:p>
        </w:tc>
        <w:tc>
          <w:tcPr>
            <w:tcW w:w="1842" w:type="dxa"/>
            <w:vAlign w:val="center"/>
          </w:tcPr>
          <w:p w14:paraId="3B3F3F56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 (30.2-53.2)</w:t>
            </w:r>
          </w:p>
        </w:tc>
      </w:tr>
      <w:tr w:rsidR="00C3194C" w:rsidRPr="00C3194C" w14:paraId="279E4B99" w14:textId="77777777" w:rsidTr="00C319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F2F2F2" w:themeFill="background1" w:themeFillShade="F2"/>
          </w:tcPr>
          <w:p w14:paraId="7B2D681C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samples</w:t>
            </w:r>
          </w:p>
        </w:tc>
        <w:tc>
          <w:tcPr>
            <w:tcW w:w="1588" w:type="dxa"/>
            <w:shd w:val="clear" w:color="auto" w:fill="F2F2F2" w:themeFill="background1" w:themeFillShade="F2"/>
            <w:vAlign w:val="center"/>
          </w:tcPr>
          <w:p w14:paraId="17FFF894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51F009BA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00B1F4BF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gridSpan w:val="2"/>
            <w:shd w:val="clear" w:color="auto" w:fill="F2F2F2" w:themeFill="background1" w:themeFillShade="F2"/>
            <w:vAlign w:val="center"/>
          </w:tcPr>
          <w:p w14:paraId="46070480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1644766C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F2F2F2" w:themeFill="background1" w:themeFillShade="F2"/>
            <w:vAlign w:val="center"/>
          </w:tcPr>
          <w:p w14:paraId="5B7FDCF5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shd w:val="clear" w:color="auto" w:fill="F2F2F2" w:themeFill="background1" w:themeFillShade="F2"/>
            <w:vAlign w:val="center"/>
          </w:tcPr>
          <w:p w14:paraId="534C8708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E52A8E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194C" w:rsidRPr="00C3194C" w14:paraId="01FF6642" w14:textId="77777777" w:rsidTr="00C3194C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EC70764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color w:val="00B050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LSS13</w:t>
            </w:r>
          </w:p>
        </w:tc>
        <w:tc>
          <w:tcPr>
            <w:tcW w:w="1588" w:type="dxa"/>
            <w:vAlign w:val="center"/>
          </w:tcPr>
          <w:p w14:paraId="34738D3A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 (4.4-6.1)</w:t>
            </w:r>
          </w:p>
        </w:tc>
        <w:tc>
          <w:tcPr>
            <w:tcW w:w="1531" w:type="dxa"/>
            <w:vAlign w:val="center"/>
          </w:tcPr>
          <w:p w14:paraId="4FFDB453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 (11.2-12.4)</w:t>
            </w:r>
          </w:p>
        </w:tc>
        <w:tc>
          <w:tcPr>
            <w:tcW w:w="1531" w:type="dxa"/>
            <w:vAlign w:val="center"/>
          </w:tcPr>
          <w:p w14:paraId="52FBAE37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(0.5-1.8)</w:t>
            </w:r>
          </w:p>
        </w:tc>
        <w:tc>
          <w:tcPr>
            <w:tcW w:w="1531" w:type="dxa"/>
            <w:gridSpan w:val="2"/>
            <w:vAlign w:val="center"/>
          </w:tcPr>
          <w:p w14:paraId="1C575A8F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 (8.6-9.5)</w:t>
            </w:r>
          </w:p>
        </w:tc>
        <w:tc>
          <w:tcPr>
            <w:tcW w:w="1531" w:type="dxa"/>
            <w:vAlign w:val="center"/>
          </w:tcPr>
          <w:p w14:paraId="5E39ECF9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-2.5 (-3.3--1.7)</w:t>
            </w:r>
          </w:p>
        </w:tc>
        <w:tc>
          <w:tcPr>
            <w:tcW w:w="1531" w:type="dxa"/>
            <w:vAlign w:val="center"/>
          </w:tcPr>
          <w:p w14:paraId="6F45022B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 (10.8-11.8)</w:t>
            </w:r>
          </w:p>
        </w:tc>
        <w:tc>
          <w:tcPr>
            <w:tcW w:w="1814" w:type="dxa"/>
            <w:gridSpan w:val="2"/>
            <w:vAlign w:val="center"/>
          </w:tcPr>
          <w:p w14:paraId="4571132C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(-1.9-4.0)</w:t>
            </w:r>
          </w:p>
        </w:tc>
        <w:tc>
          <w:tcPr>
            <w:tcW w:w="1842" w:type="dxa"/>
            <w:vAlign w:val="center"/>
          </w:tcPr>
          <w:p w14:paraId="1DF95A06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38.2 (36.2-40.2)</w:t>
            </w:r>
          </w:p>
        </w:tc>
      </w:tr>
      <w:tr w:rsidR="00C3194C" w:rsidRPr="00C3194C" w14:paraId="66EA9750" w14:textId="77777777" w:rsidTr="00C319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E02AFCB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color w:val="00B050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  <w:lang w:val="en-US"/>
              </w:rPr>
              <w:t>LS14</w:t>
            </w:r>
          </w:p>
        </w:tc>
        <w:tc>
          <w:tcPr>
            <w:tcW w:w="1588" w:type="dxa"/>
            <w:vAlign w:val="center"/>
          </w:tcPr>
          <w:p w14:paraId="081ED2F9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3.6 (3.0-4.3)</w:t>
            </w:r>
          </w:p>
        </w:tc>
        <w:tc>
          <w:tcPr>
            <w:tcW w:w="1531" w:type="dxa"/>
            <w:vAlign w:val="center"/>
          </w:tcPr>
          <w:p w14:paraId="219044DE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9.0 (8.5-9.4)</w:t>
            </w:r>
          </w:p>
        </w:tc>
        <w:tc>
          <w:tcPr>
            <w:tcW w:w="1531" w:type="dxa"/>
            <w:vAlign w:val="center"/>
          </w:tcPr>
          <w:p w14:paraId="36AECB25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1.2 (0.5-1.9)</w:t>
            </w:r>
          </w:p>
        </w:tc>
        <w:tc>
          <w:tcPr>
            <w:tcW w:w="1531" w:type="dxa"/>
            <w:gridSpan w:val="2"/>
            <w:vAlign w:val="center"/>
          </w:tcPr>
          <w:p w14:paraId="6AB423C1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9.0 (8.6-9.5)</w:t>
            </w:r>
          </w:p>
        </w:tc>
        <w:tc>
          <w:tcPr>
            <w:tcW w:w="1531" w:type="dxa"/>
            <w:vAlign w:val="center"/>
          </w:tcPr>
          <w:p w14:paraId="1BCC90BC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-2.0 (-2.5--1.4)</w:t>
            </w:r>
          </w:p>
        </w:tc>
        <w:tc>
          <w:tcPr>
            <w:tcW w:w="1531" w:type="dxa"/>
            <w:vAlign w:val="center"/>
          </w:tcPr>
          <w:p w14:paraId="11D94C2C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7.2 (6.9-7.6)</w:t>
            </w:r>
          </w:p>
        </w:tc>
        <w:tc>
          <w:tcPr>
            <w:tcW w:w="1814" w:type="dxa"/>
            <w:gridSpan w:val="2"/>
            <w:vAlign w:val="center"/>
          </w:tcPr>
          <w:p w14:paraId="584BFF96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-2.8 (-4.7--0.9)</w:t>
            </w:r>
          </w:p>
        </w:tc>
        <w:tc>
          <w:tcPr>
            <w:tcW w:w="1842" w:type="dxa"/>
            <w:vAlign w:val="center"/>
          </w:tcPr>
          <w:p w14:paraId="769901E5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22.9 (21.5-24.3)</w:t>
            </w:r>
          </w:p>
        </w:tc>
      </w:tr>
      <w:tr w:rsidR="00C3194C" w:rsidRPr="00C3194C" w14:paraId="0F7B67DA" w14:textId="77777777" w:rsidTr="00C3194C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0BBD245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LS15</w:t>
            </w:r>
          </w:p>
        </w:tc>
        <w:tc>
          <w:tcPr>
            <w:tcW w:w="1588" w:type="dxa"/>
            <w:vAlign w:val="center"/>
          </w:tcPr>
          <w:p w14:paraId="507E84B8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</w:rPr>
              <w:t>1.2 (0.6-1.9)</w:t>
            </w:r>
          </w:p>
        </w:tc>
        <w:tc>
          <w:tcPr>
            <w:tcW w:w="1531" w:type="dxa"/>
            <w:vAlign w:val="center"/>
          </w:tcPr>
          <w:p w14:paraId="20B67703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</w:rPr>
              <w:t>8.9 (8.5-9.4)</w:t>
            </w:r>
          </w:p>
        </w:tc>
        <w:tc>
          <w:tcPr>
            <w:tcW w:w="1531" w:type="dxa"/>
            <w:vAlign w:val="center"/>
          </w:tcPr>
          <w:p w14:paraId="130084B6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</w:rPr>
              <w:t>1.4 (0.7-2.1)</w:t>
            </w:r>
          </w:p>
        </w:tc>
        <w:tc>
          <w:tcPr>
            <w:tcW w:w="1531" w:type="dxa"/>
            <w:gridSpan w:val="2"/>
            <w:vAlign w:val="center"/>
          </w:tcPr>
          <w:p w14:paraId="15EFECB2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</w:rPr>
              <w:t>9.0 (8.6-9.5)</w:t>
            </w:r>
          </w:p>
        </w:tc>
        <w:tc>
          <w:tcPr>
            <w:tcW w:w="1531" w:type="dxa"/>
            <w:vAlign w:val="center"/>
          </w:tcPr>
          <w:p w14:paraId="30583372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</w:rPr>
              <w:t>0.6 (0.1-1.2)</w:t>
            </w:r>
          </w:p>
        </w:tc>
        <w:tc>
          <w:tcPr>
            <w:tcW w:w="1531" w:type="dxa"/>
            <w:vAlign w:val="center"/>
          </w:tcPr>
          <w:p w14:paraId="42BA5A88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</w:rPr>
              <w:t>6.9 (6.4-7.4)</w:t>
            </w:r>
          </w:p>
        </w:tc>
        <w:tc>
          <w:tcPr>
            <w:tcW w:w="1814" w:type="dxa"/>
            <w:gridSpan w:val="2"/>
            <w:vAlign w:val="center"/>
          </w:tcPr>
          <w:p w14:paraId="022FDD24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</w:rPr>
              <w:t>28.7 (16.8-40.6)</w:t>
            </w:r>
          </w:p>
        </w:tc>
        <w:tc>
          <w:tcPr>
            <w:tcW w:w="1842" w:type="dxa"/>
            <w:vAlign w:val="center"/>
          </w:tcPr>
          <w:p w14:paraId="0143575E" w14:textId="77777777" w:rsidR="00C3194C" w:rsidRPr="00C3194C" w:rsidRDefault="00C3194C" w:rsidP="00C31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</w:rPr>
              <w:t>46.2 (34.5-57.9)</w:t>
            </w:r>
          </w:p>
        </w:tc>
      </w:tr>
      <w:tr w:rsidR="00C3194C" w:rsidRPr="00C3194C" w14:paraId="6CEBB1BC" w14:textId="77777777" w:rsidTr="00C319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C4BD13D" w14:textId="77777777" w:rsidR="00C3194C" w:rsidRPr="00C3194C" w:rsidRDefault="00C3194C" w:rsidP="00C3194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19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LS16</w:t>
            </w:r>
          </w:p>
        </w:tc>
        <w:tc>
          <w:tcPr>
            <w:tcW w:w="1588" w:type="dxa"/>
            <w:vAlign w:val="center"/>
          </w:tcPr>
          <w:p w14:paraId="53A6B69B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-4.8 (-5.6--3.9)</w:t>
            </w:r>
          </w:p>
        </w:tc>
        <w:tc>
          <w:tcPr>
            <w:tcW w:w="1531" w:type="dxa"/>
            <w:vAlign w:val="center"/>
          </w:tcPr>
          <w:p w14:paraId="3DB8331A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 (11.5-12.7)</w:t>
            </w:r>
          </w:p>
        </w:tc>
        <w:tc>
          <w:tcPr>
            <w:tcW w:w="1531" w:type="dxa"/>
            <w:vAlign w:val="center"/>
          </w:tcPr>
          <w:p w14:paraId="5E8D53D8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 (1.2-2.5)</w:t>
            </w:r>
          </w:p>
        </w:tc>
        <w:tc>
          <w:tcPr>
            <w:tcW w:w="1531" w:type="dxa"/>
            <w:gridSpan w:val="2"/>
            <w:vAlign w:val="center"/>
          </w:tcPr>
          <w:p w14:paraId="6ED678C8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 (8.7-9.6)</w:t>
            </w:r>
          </w:p>
        </w:tc>
        <w:tc>
          <w:tcPr>
            <w:tcW w:w="1531" w:type="dxa"/>
            <w:vAlign w:val="center"/>
          </w:tcPr>
          <w:p w14:paraId="34E47F67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 (7.6-10.0)</w:t>
            </w:r>
          </w:p>
        </w:tc>
        <w:tc>
          <w:tcPr>
            <w:tcW w:w="1531" w:type="dxa"/>
            <w:vAlign w:val="center"/>
          </w:tcPr>
          <w:p w14:paraId="3CF857E1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 (12.0-14.1)</w:t>
            </w:r>
          </w:p>
        </w:tc>
        <w:tc>
          <w:tcPr>
            <w:tcW w:w="1814" w:type="dxa"/>
            <w:gridSpan w:val="2"/>
            <w:vAlign w:val="center"/>
          </w:tcPr>
          <w:p w14:paraId="1E5014D4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141.1 (103.9-178.3)</w:t>
            </w:r>
          </w:p>
        </w:tc>
        <w:tc>
          <w:tcPr>
            <w:tcW w:w="1842" w:type="dxa"/>
            <w:vAlign w:val="center"/>
          </w:tcPr>
          <w:p w14:paraId="013BC470" w14:textId="77777777" w:rsidR="00C3194C" w:rsidRPr="00C3194C" w:rsidRDefault="00C3194C" w:rsidP="00C319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19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152.4 (115.4-189.5)</w:t>
            </w:r>
          </w:p>
        </w:tc>
      </w:tr>
    </w:tbl>
    <w:p w14:paraId="6EE06655" w14:textId="290D9B2C" w:rsidR="009A5BD3" w:rsidRPr="00C3194C" w:rsidRDefault="00997DC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3194C">
        <w:rPr>
          <w:rFonts w:ascii="Times New Roman" w:hAnsi="Times New Roman" w:cs="Times New Roman"/>
          <w:b/>
          <w:sz w:val="20"/>
          <w:szCs w:val="20"/>
          <w:lang w:val="en-US"/>
        </w:rPr>
        <w:t>T</w:t>
      </w:r>
      <w:r w:rsidR="004A3AB5" w:rsidRPr="00C3194C">
        <w:rPr>
          <w:rFonts w:ascii="Times New Roman" w:hAnsi="Times New Roman" w:cs="Times New Roman"/>
          <w:b/>
          <w:sz w:val="20"/>
          <w:szCs w:val="20"/>
          <w:lang w:val="en-US"/>
        </w:rPr>
        <w:t>able</w:t>
      </w:r>
      <w:r w:rsidR="009A5BD3"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995582" w:rsidRPr="00C3194C">
        <w:rPr>
          <w:rFonts w:ascii="Times New Roman" w:hAnsi="Times New Roman" w:cs="Times New Roman"/>
          <w:b/>
          <w:sz w:val="20"/>
          <w:szCs w:val="20"/>
          <w:lang w:val="en-US"/>
        </w:rPr>
        <w:t>1</w:t>
      </w:r>
      <w:r w:rsidR="009A5BD3"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: </w:t>
      </w:r>
      <w:r w:rsidR="00995582"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Bias and inaccuracy of evaluated parameters and examined limited sampling strategies </w:t>
      </w:r>
      <w:r w:rsidR="009A5BD3" w:rsidRPr="00C3194C">
        <w:rPr>
          <w:rFonts w:ascii="Times New Roman" w:hAnsi="Times New Roman" w:cs="Times New Roman"/>
          <w:b/>
          <w:sz w:val="20"/>
          <w:szCs w:val="20"/>
          <w:lang w:val="en-US"/>
        </w:rPr>
        <w:t xml:space="preserve">for children &lt;12 years, </w:t>
      </w:r>
      <w:r w:rsidR="009A5BD3" w:rsidRPr="00C3194C">
        <w:rPr>
          <w:rFonts w:ascii="Times New Roman" w:hAnsi="Times New Roman" w:cs="Times New Roman"/>
          <w:sz w:val="20"/>
          <w:szCs w:val="20"/>
          <w:lang w:val="en-US"/>
        </w:rPr>
        <w:t>represented by the mean percen</w:t>
      </w:r>
      <w:r w:rsidR="00AF0DCB" w:rsidRPr="00C3194C">
        <w:rPr>
          <w:rFonts w:ascii="Times New Roman" w:hAnsi="Times New Roman" w:cs="Times New Roman"/>
          <w:sz w:val="20"/>
          <w:szCs w:val="20"/>
          <w:lang w:val="en-US"/>
        </w:rPr>
        <w:t xml:space="preserve">tage error (MPE) and mean </w:t>
      </w:r>
      <w:r w:rsidR="0034748F" w:rsidRPr="00C3194C">
        <w:rPr>
          <w:rFonts w:ascii="Times New Roman" w:hAnsi="Times New Roman" w:cs="Times New Roman"/>
          <w:sz w:val="20"/>
          <w:szCs w:val="20"/>
          <w:lang w:val="en-US"/>
        </w:rPr>
        <w:t>abso</w:t>
      </w:r>
      <w:r w:rsidR="00224958" w:rsidRPr="00C3194C">
        <w:rPr>
          <w:rFonts w:ascii="Times New Roman" w:hAnsi="Times New Roman" w:cs="Times New Roman"/>
          <w:sz w:val="20"/>
          <w:szCs w:val="20"/>
          <w:lang w:val="en-US"/>
        </w:rPr>
        <w:t>l</w:t>
      </w:r>
      <w:r w:rsidR="00AF0DCB" w:rsidRPr="00C3194C">
        <w:rPr>
          <w:rFonts w:ascii="Times New Roman" w:hAnsi="Times New Roman" w:cs="Times New Roman"/>
          <w:sz w:val="20"/>
          <w:szCs w:val="20"/>
          <w:lang w:val="en-US"/>
        </w:rPr>
        <w:t>ute percentage error (MAPE</w:t>
      </w:r>
      <w:r w:rsidR="009A5BD3" w:rsidRPr="00C3194C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DD58CE" w:rsidRPr="00C3194C">
        <w:rPr>
          <w:rFonts w:ascii="Times New Roman" w:hAnsi="Times New Roman" w:cs="Times New Roman"/>
          <w:sz w:val="20"/>
          <w:szCs w:val="20"/>
          <w:lang w:val="en-US"/>
        </w:rPr>
        <w:t>.</w:t>
      </w:r>
      <w:bookmarkStart w:id="0" w:name="_GoBack"/>
      <w:bookmarkEnd w:id="0"/>
    </w:p>
    <w:sectPr w:rsidR="009A5BD3" w:rsidRPr="00C3194C" w:rsidSect="00991D6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755C49" w16cex:dateUtc="2021-12-28T08:50:00Z"/>
  <w16cex:commentExtensible w16cex:durableId="25755CE4" w16cex:dateUtc="2021-12-28T08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9C17604" w16cid:durableId="25755C49"/>
  <w16cid:commentId w16cid:paraId="7D35CC49" w16cid:durableId="25755CE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5C8978" w14:textId="77777777" w:rsidR="00144476" w:rsidRDefault="00144476" w:rsidP="00890AEE">
      <w:pPr>
        <w:spacing w:after="0" w:line="240" w:lineRule="auto"/>
      </w:pPr>
      <w:r>
        <w:separator/>
      </w:r>
    </w:p>
  </w:endnote>
  <w:endnote w:type="continuationSeparator" w:id="0">
    <w:p w14:paraId="3F63238E" w14:textId="77777777" w:rsidR="00144476" w:rsidRDefault="00144476" w:rsidP="00890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03A49A" w14:textId="77777777" w:rsidR="00144476" w:rsidRDefault="00144476" w:rsidP="00890AEE">
      <w:pPr>
        <w:spacing w:after="0" w:line="240" w:lineRule="auto"/>
      </w:pPr>
      <w:r>
        <w:separator/>
      </w:r>
    </w:p>
  </w:footnote>
  <w:footnote w:type="continuationSeparator" w:id="0">
    <w:p w14:paraId="2CBE2296" w14:textId="77777777" w:rsidR="00144476" w:rsidRDefault="00144476" w:rsidP="00890A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F77"/>
    <w:rsid w:val="0000262E"/>
    <w:rsid w:val="000328CC"/>
    <w:rsid w:val="00061FE2"/>
    <w:rsid w:val="00063B70"/>
    <w:rsid w:val="000654AC"/>
    <w:rsid w:val="0007274A"/>
    <w:rsid w:val="000779D4"/>
    <w:rsid w:val="00092767"/>
    <w:rsid w:val="00114E66"/>
    <w:rsid w:val="00126759"/>
    <w:rsid w:val="00130774"/>
    <w:rsid w:val="00133102"/>
    <w:rsid w:val="00144476"/>
    <w:rsid w:val="001560B5"/>
    <w:rsid w:val="00186FC4"/>
    <w:rsid w:val="0019059F"/>
    <w:rsid w:val="0019296F"/>
    <w:rsid w:val="00197E2F"/>
    <w:rsid w:val="001A7B60"/>
    <w:rsid w:val="001B00F4"/>
    <w:rsid w:val="001D13B9"/>
    <w:rsid w:val="001F5AD0"/>
    <w:rsid w:val="0020604D"/>
    <w:rsid w:val="00206CD5"/>
    <w:rsid w:val="00224958"/>
    <w:rsid w:val="002277AA"/>
    <w:rsid w:val="00230BED"/>
    <w:rsid w:val="00236D58"/>
    <w:rsid w:val="00256D0C"/>
    <w:rsid w:val="002630FB"/>
    <w:rsid w:val="00266E61"/>
    <w:rsid w:val="0027401D"/>
    <w:rsid w:val="002A65A3"/>
    <w:rsid w:val="002E0325"/>
    <w:rsid w:val="002F144A"/>
    <w:rsid w:val="00322C66"/>
    <w:rsid w:val="0034748F"/>
    <w:rsid w:val="00390E40"/>
    <w:rsid w:val="003B329D"/>
    <w:rsid w:val="003C3720"/>
    <w:rsid w:val="003D38DD"/>
    <w:rsid w:val="004062C5"/>
    <w:rsid w:val="004130A6"/>
    <w:rsid w:val="004225F0"/>
    <w:rsid w:val="00430B1A"/>
    <w:rsid w:val="00450E15"/>
    <w:rsid w:val="004A0166"/>
    <w:rsid w:val="004A1EAE"/>
    <w:rsid w:val="004A3AB5"/>
    <w:rsid w:val="004B2A26"/>
    <w:rsid w:val="004E4DF9"/>
    <w:rsid w:val="004F608B"/>
    <w:rsid w:val="005004A8"/>
    <w:rsid w:val="00530E31"/>
    <w:rsid w:val="00536183"/>
    <w:rsid w:val="00547D47"/>
    <w:rsid w:val="005550CB"/>
    <w:rsid w:val="00561648"/>
    <w:rsid w:val="005659FA"/>
    <w:rsid w:val="0057328B"/>
    <w:rsid w:val="005B2EBC"/>
    <w:rsid w:val="005C689B"/>
    <w:rsid w:val="005E39AF"/>
    <w:rsid w:val="005E621C"/>
    <w:rsid w:val="006053AC"/>
    <w:rsid w:val="006247A1"/>
    <w:rsid w:val="00635D74"/>
    <w:rsid w:val="006405EE"/>
    <w:rsid w:val="00647A97"/>
    <w:rsid w:val="00664F4D"/>
    <w:rsid w:val="00667078"/>
    <w:rsid w:val="00692AF4"/>
    <w:rsid w:val="006B48FE"/>
    <w:rsid w:val="006B6B77"/>
    <w:rsid w:val="006C7CD1"/>
    <w:rsid w:val="007063EE"/>
    <w:rsid w:val="00726707"/>
    <w:rsid w:val="007709D4"/>
    <w:rsid w:val="00783C34"/>
    <w:rsid w:val="007957B1"/>
    <w:rsid w:val="007C4C4D"/>
    <w:rsid w:val="007D684F"/>
    <w:rsid w:val="00803FC9"/>
    <w:rsid w:val="008333D8"/>
    <w:rsid w:val="00890AEE"/>
    <w:rsid w:val="008A3AC2"/>
    <w:rsid w:val="008B5966"/>
    <w:rsid w:val="0091619E"/>
    <w:rsid w:val="009207DC"/>
    <w:rsid w:val="00923AC3"/>
    <w:rsid w:val="00953B50"/>
    <w:rsid w:val="009570E6"/>
    <w:rsid w:val="009854E8"/>
    <w:rsid w:val="00991D66"/>
    <w:rsid w:val="00995436"/>
    <w:rsid w:val="00995582"/>
    <w:rsid w:val="00997DC9"/>
    <w:rsid w:val="009A5BD3"/>
    <w:rsid w:val="009B05C2"/>
    <w:rsid w:val="009C2220"/>
    <w:rsid w:val="009F33E7"/>
    <w:rsid w:val="00A00AC9"/>
    <w:rsid w:val="00A144D7"/>
    <w:rsid w:val="00A20274"/>
    <w:rsid w:val="00A27A36"/>
    <w:rsid w:val="00A701D9"/>
    <w:rsid w:val="00AA3944"/>
    <w:rsid w:val="00AA64FA"/>
    <w:rsid w:val="00AE56B7"/>
    <w:rsid w:val="00AF0DCB"/>
    <w:rsid w:val="00AF5EF0"/>
    <w:rsid w:val="00B13B79"/>
    <w:rsid w:val="00B15B75"/>
    <w:rsid w:val="00B21046"/>
    <w:rsid w:val="00B51116"/>
    <w:rsid w:val="00B64025"/>
    <w:rsid w:val="00B75DC7"/>
    <w:rsid w:val="00BC523B"/>
    <w:rsid w:val="00BD4484"/>
    <w:rsid w:val="00BF2362"/>
    <w:rsid w:val="00C105CD"/>
    <w:rsid w:val="00C10B9E"/>
    <w:rsid w:val="00C25509"/>
    <w:rsid w:val="00C3194C"/>
    <w:rsid w:val="00C4517B"/>
    <w:rsid w:val="00C5028F"/>
    <w:rsid w:val="00C95AB5"/>
    <w:rsid w:val="00CA7CD3"/>
    <w:rsid w:val="00CB1343"/>
    <w:rsid w:val="00CC7F77"/>
    <w:rsid w:val="00CF4CCA"/>
    <w:rsid w:val="00D04C67"/>
    <w:rsid w:val="00D06B33"/>
    <w:rsid w:val="00D10A8C"/>
    <w:rsid w:val="00D869FC"/>
    <w:rsid w:val="00DD58CE"/>
    <w:rsid w:val="00E13F35"/>
    <w:rsid w:val="00E43DE1"/>
    <w:rsid w:val="00E71658"/>
    <w:rsid w:val="00EE3F24"/>
    <w:rsid w:val="00EF46DC"/>
    <w:rsid w:val="00EF6DEB"/>
    <w:rsid w:val="00F03224"/>
    <w:rsid w:val="00F138E1"/>
    <w:rsid w:val="00F41FE4"/>
    <w:rsid w:val="00F72415"/>
    <w:rsid w:val="00F8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D64E90"/>
  <w15:chartTrackingRefBased/>
  <w15:docId w15:val="{D5774EB7-CF2F-40F2-B14B-AB5348E5D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3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957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57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57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57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57B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57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7B1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890A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890A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0AEE"/>
  </w:style>
  <w:style w:type="paragraph" w:styleId="Footer">
    <w:name w:val="footer"/>
    <w:basedOn w:val="Normal"/>
    <w:link w:val="FooterChar"/>
    <w:uiPriority w:val="99"/>
    <w:unhideWhenUsed/>
    <w:rsid w:val="00890A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0AEE"/>
  </w:style>
  <w:style w:type="table" w:styleId="PlainTable2">
    <w:name w:val="Plain Table 2"/>
    <w:basedOn w:val="TableNormal"/>
    <w:uiPriority w:val="42"/>
    <w:rsid w:val="0012675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C502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3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6" Type="http://schemas.microsoft.com/office/2018/08/relationships/commentsExtensible" Target="commentsExtensi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704</Words>
  <Characters>4013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AMC</Company>
  <LinksUpToDate>false</LinksUpToDate>
  <CharactersWithSpaces>4708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Bukkems, L.H. (Laura)</dc:creator>
  <cp:keywords/>
  <dc:description/>
  <cp:lastModifiedBy>Tine Goedhart</cp:lastModifiedBy>
  <cp:revision>17</cp:revision>
  <dcterms:created xsi:type="dcterms:W3CDTF">2022-08-17T13:47:00Z</dcterms:created>
  <dcterms:modified xsi:type="dcterms:W3CDTF">2022-08-22T13:31:00Z</dcterms:modified>
</cp:coreProperties>
</file>