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6C689" w14:textId="49B8968E" w:rsidR="00A358AB" w:rsidRDefault="00E43D9F" w:rsidP="00A358AB">
      <w:pPr>
        <w:adjustRightInd w:val="0"/>
        <w:snapToGrid w:val="0"/>
        <w:spacing w:line="480" w:lineRule="auto"/>
        <w:rPr>
          <w:rFonts w:ascii="Times New Roman" w:eastAsia="宋体" w:hAnsi="Times New Roman" w:cs="Times New Roman"/>
          <w:b/>
          <w:bCs/>
          <w:kern w:val="0"/>
          <w:sz w:val="30"/>
          <w:szCs w:val="30"/>
        </w:rPr>
      </w:pPr>
      <w:bookmarkStart w:id="0" w:name="_Hlk92893723"/>
      <w:bookmarkStart w:id="1" w:name="_Hlk91593161"/>
      <w:r w:rsidRPr="00E43D9F">
        <w:rPr>
          <w:rFonts w:ascii="Times New Roman" w:eastAsia="宋体" w:hAnsi="Times New Roman" w:cs="Times New Roman"/>
          <w:b/>
          <w:bCs/>
          <w:kern w:val="0"/>
          <w:sz w:val="30"/>
          <w:szCs w:val="30"/>
        </w:rPr>
        <w:t>Design a new strategy for evaluating biodegradation mechanisms between plant tape and industrial tapes </w:t>
      </w:r>
      <w:r w:rsidR="00A358AB">
        <w:rPr>
          <w:rFonts w:ascii="Times New Roman" w:eastAsia="宋体" w:hAnsi="Times New Roman" w:cs="Times New Roman"/>
          <w:b/>
          <w:bCs/>
          <w:kern w:val="0"/>
          <w:sz w:val="30"/>
          <w:szCs w:val="30"/>
        </w:rPr>
        <w:t xml:space="preserve"> </w:t>
      </w:r>
      <w:bookmarkStart w:id="2" w:name="_Hlk18333912"/>
    </w:p>
    <w:p w14:paraId="7B6B3947" w14:textId="1E313BC0" w:rsidR="00A358AB" w:rsidRDefault="00A358AB" w:rsidP="00A358AB">
      <w:pPr>
        <w:widowControl/>
        <w:adjustRightInd w:val="0"/>
        <w:snapToGrid w:val="0"/>
        <w:spacing w:after="240" w:line="360" w:lineRule="auto"/>
        <w:rPr>
          <w:rFonts w:ascii="Times New Roman" w:hAnsi="Times New Roman" w:cs="Times New Roman"/>
          <w:iCs/>
          <w:kern w:val="0"/>
          <w:sz w:val="24"/>
          <w:szCs w:val="20"/>
          <w:lang w:eastAsia="en-US"/>
        </w:rPr>
      </w:pPr>
      <w:bookmarkStart w:id="3" w:name="_Hlk92893740"/>
      <w:bookmarkEnd w:id="0"/>
      <w:r>
        <w:rPr>
          <w:rFonts w:ascii="Times New Roman" w:hAnsi="Times New Roman" w:cs="Times New Roman"/>
          <w:iCs/>
          <w:kern w:val="0"/>
          <w:sz w:val="24"/>
          <w:szCs w:val="20"/>
          <w:lang w:eastAsia="en-US"/>
        </w:rPr>
        <w:t>Dongping Tang</w:t>
      </w:r>
      <w:r>
        <w:rPr>
          <w:rFonts w:ascii="Times New Roman" w:hAnsi="Times New Roman" w:cs="Times New Roman"/>
          <w:iCs/>
          <w:kern w:val="0"/>
          <w:sz w:val="24"/>
          <w:szCs w:val="20"/>
          <w:vertAlign w:val="superscript"/>
          <w:lang w:eastAsia="en-US"/>
        </w:rPr>
        <w:t xml:space="preserve"> </w:t>
      </w:r>
      <w:bookmarkStart w:id="4" w:name="_Hlk14080793"/>
      <w:r>
        <w:rPr>
          <w:rFonts w:ascii="Times New Roman" w:hAnsi="Times New Roman" w:cs="Times New Roman"/>
          <w:iCs/>
          <w:kern w:val="0"/>
          <w:sz w:val="24"/>
          <w:szCs w:val="20"/>
          <w:vertAlign w:val="superscript"/>
          <w:lang w:eastAsia="en-US"/>
        </w:rPr>
        <w:t>a</w:t>
      </w:r>
      <w:bookmarkEnd w:id="4"/>
      <w:r>
        <w:rPr>
          <w:rFonts w:ascii="Times New Roman" w:hAnsi="Times New Roman" w:cs="Times New Roman"/>
          <w:iCs/>
          <w:kern w:val="0"/>
          <w:sz w:val="24"/>
          <w:szCs w:val="20"/>
          <w:lang w:eastAsia="en-US"/>
        </w:rPr>
        <w:t xml:space="preserve">, </w:t>
      </w:r>
      <w:proofErr w:type="spellStart"/>
      <w:r>
        <w:rPr>
          <w:rFonts w:ascii="Times New Roman" w:hAnsi="Times New Roman" w:cs="Times New Roman"/>
          <w:iCs/>
          <w:kern w:val="0"/>
          <w:sz w:val="24"/>
          <w:szCs w:val="20"/>
          <w:lang w:eastAsia="en-US"/>
        </w:rPr>
        <w:t>Hou</w:t>
      </w:r>
      <w:r w:rsidR="000A296A">
        <w:rPr>
          <w:rFonts w:ascii="Times New Roman" w:hAnsi="Times New Roman" w:cs="Times New Roman"/>
          <w:iCs/>
          <w:kern w:val="0"/>
          <w:sz w:val="24"/>
          <w:szCs w:val="20"/>
          <w:lang w:eastAsia="en-US"/>
        </w:rPr>
        <w:t>y</w:t>
      </w:r>
      <w:r>
        <w:rPr>
          <w:rFonts w:ascii="Times New Roman" w:hAnsi="Times New Roman" w:cs="Times New Roman"/>
          <w:iCs/>
          <w:kern w:val="0"/>
          <w:sz w:val="24"/>
          <w:szCs w:val="20"/>
          <w:lang w:eastAsia="en-US"/>
        </w:rPr>
        <w:t>ong</w:t>
      </w:r>
      <w:proofErr w:type="spellEnd"/>
      <w:r>
        <w:rPr>
          <w:rFonts w:ascii="Times New Roman" w:hAnsi="Times New Roman" w:cs="Times New Roman"/>
          <w:iCs/>
          <w:kern w:val="0"/>
          <w:sz w:val="24"/>
          <w:szCs w:val="20"/>
          <w:lang w:eastAsia="en-US"/>
        </w:rPr>
        <w:t xml:space="preserve"> Yu</w:t>
      </w:r>
      <w:r w:rsidR="00977994">
        <w:rPr>
          <w:rFonts w:ascii="Times New Roman" w:hAnsi="Times New Roman" w:cs="Times New Roman"/>
          <w:iCs/>
          <w:kern w:val="0"/>
          <w:sz w:val="24"/>
          <w:szCs w:val="20"/>
          <w:lang w:eastAsia="en-US"/>
        </w:rPr>
        <w:t xml:space="preserve"> </w:t>
      </w:r>
      <w:r>
        <w:rPr>
          <w:rFonts w:ascii="Times New Roman" w:hAnsi="Times New Roman" w:cs="Times New Roman"/>
          <w:iCs/>
          <w:kern w:val="0"/>
          <w:sz w:val="24"/>
          <w:szCs w:val="20"/>
          <w:vertAlign w:val="superscript"/>
          <w:lang w:eastAsia="en-US"/>
        </w:rPr>
        <w:t>a,</w:t>
      </w:r>
      <w:bookmarkStart w:id="5" w:name="_Ref92912474"/>
      <w:bookmarkStart w:id="6" w:name="_Hlk20669810"/>
      <w:r>
        <w:rPr>
          <w:rStyle w:val="aa"/>
          <w:rFonts w:ascii="Times New Roman" w:hAnsi="Times New Roman" w:cs="Times New Roman"/>
          <w:iCs/>
          <w:kern w:val="0"/>
          <w:sz w:val="24"/>
          <w:szCs w:val="20"/>
          <w:lang w:eastAsia="en-US"/>
        </w:rPr>
        <w:footnoteReference w:customMarkFollows="1" w:id="1"/>
        <w:sym w:font="Symbol" w:char="F02A"/>
      </w:r>
      <w:bookmarkEnd w:id="5"/>
      <w:r>
        <w:rPr>
          <w:rFonts w:ascii="Times New Roman" w:hAnsi="Times New Roman" w:cs="Times New Roman"/>
          <w:iCs/>
          <w:kern w:val="0"/>
          <w:sz w:val="24"/>
          <w:szCs w:val="20"/>
          <w:lang w:eastAsia="en-US"/>
        </w:rPr>
        <w:t xml:space="preserve">, </w:t>
      </w:r>
      <w:proofErr w:type="spellStart"/>
      <w:r>
        <w:rPr>
          <w:rFonts w:ascii="Times New Roman" w:hAnsi="Times New Roman" w:cs="Times New Roman"/>
          <w:iCs/>
          <w:kern w:val="0"/>
          <w:sz w:val="24"/>
          <w:szCs w:val="20"/>
          <w:lang w:eastAsia="en-US"/>
        </w:rPr>
        <w:t>Somia</w:t>
      </w:r>
      <w:proofErr w:type="spellEnd"/>
      <w:r>
        <w:rPr>
          <w:rFonts w:ascii="Times New Roman" w:hAnsi="Times New Roman" w:cs="Times New Roman"/>
          <w:iCs/>
          <w:kern w:val="0"/>
          <w:sz w:val="24"/>
          <w:szCs w:val="20"/>
          <w:lang w:eastAsia="en-US"/>
        </w:rPr>
        <w:t xml:space="preserve"> Yassin Hussain </w:t>
      </w:r>
      <w:proofErr w:type="spellStart"/>
      <w:r>
        <w:rPr>
          <w:rFonts w:ascii="Times New Roman" w:hAnsi="Times New Roman" w:cs="Times New Roman"/>
          <w:iCs/>
          <w:kern w:val="0"/>
          <w:sz w:val="24"/>
          <w:szCs w:val="20"/>
          <w:lang w:eastAsia="en-US"/>
        </w:rPr>
        <w:t>Abdalkarim</w:t>
      </w:r>
      <w:bookmarkEnd w:id="6"/>
      <w:proofErr w:type="spellEnd"/>
      <w:r w:rsidR="00977994">
        <w:rPr>
          <w:rFonts w:ascii="Times New Roman" w:hAnsi="Times New Roman" w:cs="Times New Roman"/>
          <w:iCs/>
          <w:kern w:val="0"/>
          <w:sz w:val="24"/>
          <w:szCs w:val="20"/>
          <w:lang w:eastAsia="en-US"/>
        </w:rPr>
        <w:t xml:space="preserve"> </w:t>
      </w:r>
      <w:r>
        <w:rPr>
          <w:rFonts w:ascii="Times New Roman" w:hAnsi="Times New Roman" w:cs="Times New Roman"/>
          <w:iCs/>
          <w:kern w:val="0"/>
          <w:sz w:val="24"/>
          <w:szCs w:val="20"/>
          <w:vertAlign w:val="superscript"/>
          <w:lang w:eastAsia="en-US"/>
        </w:rPr>
        <w:t>a</w:t>
      </w:r>
      <w:r>
        <w:rPr>
          <w:rFonts w:ascii="Times New Roman" w:hAnsi="Times New Roman" w:cs="Times New Roman"/>
          <w:iCs/>
          <w:kern w:val="0"/>
          <w:sz w:val="24"/>
          <w:szCs w:val="20"/>
          <w:lang w:eastAsia="en-US"/>
        </w:rPr>
        <w:t xml:space="preserve">, </w:t>
      </w:r>
      <w:bookmarkStart w:id="7" w:name="_Hlk91845614"/>
      <w:proofErr w:type="spellStart"/>
      <w:r>
        <w:rPr>
          <w:rFonts w:ascii="Times New Roman" w:hAnsi="Times New Roman" w:cs="Times New Roman"/>
          <w:iCs/>
          <w:kern w:val="0"/>
          <w:sz w:val="24"/>
          <w:szCs w:val="20"/>
          <w:lang w:eastAsia="en-US"/>
        </w:rPr>
        <w:t>M</w:t>
      </w:r>
      <w:r>
        <w:rPr>
          <w:rFonts w:ascii="Times New Roman" w:hAnsi="Times New Roman" w:cs="Times New Roman"/>
          <w:iCs/>
          <w:kern w:val="0"/>
          <w:sz w:val="24"/>
          <w:szCs w:val="20"/>
        </w:rPr>
        <w:t>ingxin</w:t>
      </w:r>
      <w:proofErr w:type="spellEnd"/>
      <w:r>
        <w:rPr>
          <w:rFonts w:ascii="Times New Roman" w:hAnsi="Times New Roman" w:cs="Times New Roman"/>
          <w:iCs/>
          <w:kern w:val="0"/>
          <w:sz w:val="24"/>
          <w:szCs w:val="20"/>
          <w:lang w:eastAsia="en-US"/>
        </w:rPr>
        <w:t xml:space="preserve"> Wang</w:t>
      </w:r>
      <w:bookmarkEnd w:id="7"/>
      <w:r w:rsidR="00977994">
        <w:rPr>
          <w:rFonts w:ascii="Times New Roman" w:hAnsi="Times New Roman" w:cs="Times New Roman"/>
          <w:iCs/>
          <w:kern w:val="0"/>
          <w:sz w:val="24"/>
          <w:szCs w:val="20"/>
          <w:lang w:eastAsia="en-US"/>
        </w:rPr>
        <w:t xml:space="preserve"> </w:t>
      </w:r>
      <w:r>
        <w:rPr>
          <w:rFonts w:ascii="Times New Roman" w:hAnsi="Times New Roman" w:cs="Times New Roman"/>
          <w:iCs/>
          <w:kern w:val="0"/>
          <w:sz w:val="24"/>
          <w:szCs w:val="20"/>
          <w:vertAlign w:val="superscript"/>
          <w:lang w:eastAsia="en-US"/>
        </w:rPr>
        <w:t>a</w:t>
      </w:r>
      <w:r>
        <w:rPr>
          <w:rFonts w:ascii="Times New Roman" w:hAnsi="Times New Roman" w:cs="Times New Roman"/>
          <w:iCs/>
          <w:kern w:val="0"/>
          <w:sz w:val="24"/>
          <w:szCs w:val="20"/>
          <w:lang w:eastAsia="en-US"/>
        </w:rPr>
        <w:t>, Xiang Chen</w:t>
      </w:r>
      <w:r w:rsidR="00977994">
        <w:rPr>
          <w:rFonts w:ascii="Times New Roman" w:hAnsi="Times New Roman" w:cs="Times New Roman"/>
          <w:iCs/>
          <w:kern w:val="0"/>
          <w:sz w:val="24"/>
          <w:szCs w:val="20"/>
          <w:lang w:eastAsia="en-US"/>
        </w:rPr>
        <w:t xml:space="preserve"> </w:t>
      </w:r>
      <w:r>
        <w:rPr>
          <w:rFonts w:ascii="Times New Roman" w:hAnsi="Times New Roman" w:cs="Times New Roman"/>
          <w:iCs/>
          <w:kern w:val="0"/>
          <w:sz w:val="24"/>
          <w:szCs w:val="20"/>
          <w:vertAlign w:val="superscript"/>
          <w:lang w:eastAsia="en-US"/>
        </w:rPr>
        <w:t>a,</w:t>
      </w:r>
      <w:r>
        <w:fldChar w:fldCharType="begin"/>
      </w:r>
      <w:r>
        <w:rPr>
          <w:rFonts w:ascii="Times New Roman" w:hAnsi="Times New Roman" w:cs="Times New Roman"/>
          <w:iCs/>
          <w:kern w:val="0"/>
          <w:sz w:val="24"/>
          <w:szCs w:val="20"/>
          <w:vertAlign w:val="superscript"/>
          <w:lang w:eastAsia="en-US"/>
        </w:rPr>
        <w:instrText xml:space="preserve"> NOTEREF _Ref92912474 \f \h </w:instrText>
      </w:r>
      <w:r>
        <w:fldChar w:fldCharType="separate"/>
      </w:r>
      <w:r>
        <w:rPr>
          <w:rStyle w:val="aa"/>
        </w:rPr>
        <w:sym w:font="Symbol" w:char="F02A"/>
      </w:r>
      <w:r>
        <w:fldChar w:fldCharType="end"/>
      </w:r>
      <w:r>
        <w:rPr>
          <w:rFonts w:ascii="Times New Roman" w:hAnsi="Times New Roman" w:cs="Times New Roman"/>
          <w:iCs/>
          <w:kern w:val="0"/>
          <w:sz w:val="24"/>
          <w:szCs w:val="20"/>
          <w:lang w:eastAsia="en-US"/>
        </w:rPr>
        <w:t xml:space="preserve"> , </w:t>
      </w:r>
      <w:proofErr w:type="spellStart"/>
      <w:r>
        <w:rPr>
          <w:rFonts w:ascii="Times New Roman" w:hAnsi="Times New Roman" w:cs="Times New Roman"/>
          <w:iCs/>
          <w:kern w:val="0"/>
          <w:sz w:val="24"/>
          <w:szCs w:val="20"/>
          <w:lang w:eastAsia="en-US"/>
        </w:rPr>
        <w:t>Jingli</w:t>
      </w:r>
      <w:proofErr w:type="spellEnd"/>
      <w:r>
        <w:rPr>
          <w:rFonts w:ascii="Times New Roman" w:hAnsi="Times New Roman" w:cs="Times New Roman"/>
          <w:iCs/>
          <w:kern w:val="0"/>
          <w:sz w:val="24"/>
          <w:szCs w:val="20"/>
          <w:lang w:eastAsia="en-US"/>
        </w:rPr>
        <w:t xml:space="preserve"> Zhu</w:t>
      </w:r>
      <w:r w:rsidR="00977994">
        <w:rPr>
          <w:rFonts w:ascii="Times New Roman" w:hAnsi="Times New Roman" w:cs="Times New Roman"/>
          <w:iCs/>
          <w:kern w:val="0"/>
          <w:sz w:val="24"/>
          <w:szCs w:val="20"/>
          <w:lang w:eastAsia="en-US"/>
        </w:rPr>
        <w:t xml:space="preserve"> </w:t>
      </w:r>
      <w:proofErr w:type="spellStart"/>
      <w:proofErr w:type="gramStart"/>
      <w:r>
        <w:rPr>
          <w:rFonts w:ascii="Times New Roman" w:hAnsi="Times New Roman" w:cs="Times New Roman"/>
          <w:iCs/>
          <w:kern w:val="0"/>
          <w:sz w:val="24"/>
          <w:szCs w:val="20"/>
          <w:vertAlign w:val="superscript"/>
          <w:lang w:eastAsia="en-US"/>
        </w:rPr>
        <w:t>b,c</w:t>
      </w:r>
      <w:proofErr w:type="gramEnd"/>
      <w:r>
        <w:rPr>
          <w:rFonts w:ascii="Times New Roman" w:hAnsi="Times New Roman" w:cs="Times New Roman"/>
          <w:iCs/>
          <w:kern w:val="0"/>
          <w:sz w:val="24"/>
          <w:szCs w:val="20"/>
          <w:vertAlign w:val="superscript"/>
          <w:lang w:eastAsia="en-US"/>
        </w:rPr>
        <w:t>,d</w:t>
      </w:r>
      <w:proofErr w:type="spellEnd"/>
      <w:r>
        <w:rPr>
          <w:rFonts w:ascii="Times New Roman" w:hAnsi="Times New Roman" w:cs="Times New Roman"/>
          <w:iCs/>
          <w:kern w:val="0"/>
          <w:sz w:val="24"/>
          <w:szCs w:val="20"/>
          <w:lang w:eastAsia="en-US"/>
        </w:rPr>
        <w:t xml:space="preserve">, </w:t>
      </w:r>
      <w:proofErr w:type="spellStart"/>
      <w:r>
        <w:rPr>
          <w:rFonts w:ascii="Times New Roman" w:hAnsi="Times New Roman" w:cs="Times New Roman"/>
          <w:iCs/>
          <w:kern w:val="0"/>
          <w:sz w:val="24"/>
          <w:szCs w:val="20"/>
          <w:lang w:eastAsia="en-US"/>
        </w:rPr>
        <w:t>Meijin</w:t>
      </w:r>
      <w:proofErr w:type="spellEnd"/>
      <w:r>
        <w:rPr>
          <w:rFonts w:ascii="Times New Roman" w:hAnsi="Times New Roman" w:cs="Times New Roman"/>
          <w:iCs/>
          <w:kern w:val="0"/>
          <w:sz w:val="24"/>
          <w:szCs w:val="20"/>
          <w:lang w:eastAsia="en-US"/>
        </w:rPr>
        <w:t xml:space="preserve"> </w:t>
      </w:r>
      <w:proofErr w:type="spellStart"/>
      <w:r>
        <w:rPr>
          <w:rFonts w:ascii="Times New Roman" w:hAnsi="Times New Roman" w:cs="Times New Roman"/>
          <w:iCs/>
          <w:kern w:val="0"/>
          <w:sz w:val="24"/>
          <w:szCs w:val="20"/>
          <w:lang w:eastAsia="en-US"/>
        </w:rPr>
        <w:t>Jin</w:t>
      </w:r>
      <w:proofErr w:type="spellEnd"/>
      <w:r w:rsidR="00977994">
        <w:rPr>
          <w:rFonts w:ascii="Times New Roman" w:hAnsi="Times New Roman" w:cs="Times New Roman"/>
          <w:iCs/>
          <w:kern w:val="0"/>
          <w:sz w:val="24"/>
          <w:szCs w:val="20"/>
          <w:lang w:eastAsia="en-US"/>
        </w:rPr>
        <w:t xml:space="preserve"> </w:t>
      </w:r>
      <w:proofErr w:type="spellStart"/>
      <w:r>
        <w:rPr>
          <w:rFonts w:ascii="Times New Roman" w:hAnsi="Times New Roman" w:cs="Times New Roman"/>
          <w:iCs/>
          <w:kern w:val="0"/>
          <w:sz w:val="24"/>
          <w:szCs w:val="20"/>
          <w:vertAlign w:val="superscript"/>
          <w:lang w:eastAsia="en-US"/>
        </w:rPr>
        <w:t>b,c,d</w:t>
      </w:r>
      <w:proofErr w:type="spellEnd"/>
    </w:p>
    <w:p w14:paraId="5B814BE2" w14:textId="77777777" w:rsidR="00A358AB" w:rsidRDefault="00A358AB" w:rsidP="00A358AB">
      <w:pPr>
        <w:widowControl/>
        <w:shd w:val="clear" w:color="auto" w:fill="FFFFFF"/>
        <w:adjustRightInd w:val="0"/>
        <w:snapToGrid w:val="0"/>
        <w:spacing w:line="480" w:lineRule="auto"/>
        <w:rPr>
          <w:rFonts w:ascii="Times New Roman" w:eastAsia="宋体" w:hAnsi="Times New Roman" w:cs="Times New Roman"/>
          <w:b/>
          <w:bCs/>
          <w:i/>
          <w:sz w:val="24"/>
          <w:szCs w:val="24"/>
        </w:rPr>
      </w:pPr>
      <w:bookmarkStart w:id="8" w:name="_Hlk92893805"/>
      <w:bookmarkEnd w:id="2"/>
      <w:bookmarkEnd w:id="3"/>
      <w:proofErr w:type="spellStart"/>
      <w:r>
        <w:rPr>
          <w:rFonts w:ascii="Times New Roman" w:eastAsia="宋体" w:hAnsi="Times New Roman" w:cs="Times New Roman"/>
          <w:i/>
          <w:sz w:val="24"/>
          <w:szCs w:val="24"/>
          <w:vertAlign w:val="superscript"/>
        </w:rPr>
        <w:t>a</w:t>
      </w:r>
      <w:proofErr w:type="spellEnd"/>
      <w:r>
        <w:rPr>
          <w:rFonts w:ascii="Times New Roman" w:eastAsia="宋体" w:hAnsi="Times New Roman" w:cs="Times New Roman"/>
          <w:i/>
          <w:sz w:val="24"/>
          <w:szCs w:val="24"/>
        </w:rPr>
        <w:t xml:space="preserve"> The Key Laboratory of Advanced Textile Materials and Manufacturing Technology of Ministry of Education, Zhejiang Provincial Key Laboratory of Fiber Materials and Manufacturing Technology, Zhejiang Sci-Tech University,</w:t>
      </w:r>
      <w:r>
        <w:rPr>
          <w:i/>
        </w:rPr>
        <w:t xml:space="preserve"> </w:t>
      </w:r>
      <w:r>
        <w:rPr>
          <w:rFonts w:ascii="Times New Roman" w:eastAsia="宋体" w:hAnsi="Times New Roman" w:cs="Times New Roman"/>
          <w:i/>
          <w:sz w:val="24"/>
          <w:szCs w:val="24"/>
        </w:rPr>
        <w:t>Xiasha Higher Education Park Avenue 2 No.928, Hangzhou 310018, China</w:t>
      </w:r>
    </w:p>
    <w:p w14:paraId="0A48F6F2" w14:textId="77777777" w:rsidR="00A358AB" w:rsidRDefault="00A358AB" w:rsidP="00A358AB">
      <w:pPr>
        <w:widowControl/>
        <w:shd w:val="clear" w:color="auto" w:fill="FFFFFF"/>
        <w:adjustRightInd w:val="0"/>
        <w:snapToGrid w:val="0"/>
        <w:spacing w:line="480" w:lineRule="auto"/>
        <w:rPr>
          <w:rFonts w:ascii="Times New Roman" w:eastAsia="宋体" w:hAnsi="Times New Roman" w:cs="Times New Roman"/>
          <w:i/>
          <w:sz w:val="24"/>
          <w:szCs w:val="24"/>
        </w:rPr>
      </w:pPr>
      <w:r>
        <w:rPr>
          <w:rFonts w:ascii="Times New Roman" w:eastAsia="宋体" w:hAnsi="Times New Roman" w:cs="Times New Roman"/>
          <w:i/>
          <w:sz w:val="24"/>
          <w:szCs w:val="24"/>
          <w:vertAlign w:val="superscript"/>
        </w:rPr>
        <w:t xml:space="preserve">b </w:t>
      </w:r>
      <w:bookmarkStart w:id="9" w:name="_Hlk91867927"/>
      <w:r>
        <w:rPr>
          <w:rFonts w:ascii="Times New Roman" w:eastAsia="宋体" w:hAnsi="Times New Roman" w:cs="Times New Roman"/>
          <w:i/>
          <w:sz w:val="24"/>
          <w:szCs w:val="24"/>
        </w:rPr>
        <w:t xml:space="preserve">Zhejiang </w:t>
      </w:r>
      <w:proofErr w:type="spellStart"/>
      <w:r>
        <w:rPr>
          <w:rFonts w:ascii="Times New Roman" w:eastAsia="宋体" w:hAnsi="Times New Roman" w:cs="Times New Roman"/>
          <w:i/>
          <w:sz w:val="24"/>
          <w:szCs w:val="24"/>
        </w:rPr>
        <w:t>Huafon</w:t>
      </w:r>
      <w:proofErr w:type="spellEnd"/>
      <w:r>
        <w:rPr>
          <w:rFonts w:ascii="Times New Roman" w:eastAsia="宋体" w:hAnsi="Times New Roman" w:cs="Times New Roman"/>
          <w:i/>
          <w:sz w:val="24"/>
          <w:szCs w:val="24"/>
        </w:rPr>
        <w:t xml:space="preserve"> Environmental Protection Material Co., Ltd, </w:t>
      </w:r>
      <w:proofErr w:type="spellStart"/>
      <w:r>
        <w:rPr>
          <w:rFonts w:ascii="Times New Roman" w:eastAsia="宋体" w:hAnsi="Times New Roman" w:cs="Times New Roman"/>
          <w:i/>
          <w:sz w:val="24"/>
          <w:szCs w:val="24"/>
        </w:rPr>
        <w:t>Kaifa</w:t>
      </w:r>
      <w:proofErr w:type="spellEnd"/>
      <w:r>
        <w:rPr>
          <w:rFonts w:ascii="Times New Roman" w:eastAsia="宋体" w:hAnsi="Times New Roman" w:cs="Times New Roman"/>
          <w:i/>
          <w:sz w:val="24"/>
          <w:szCs w:val="24"/>
        </w:rPr>
        <w:t xml:space="preserve"> Road 1688, </w:t>
      </w:r>
      <w:proofErr w:type="spellStart"/>
      <w:r>
        <w:rPr>
          <w:rFonts w:ascii="Times New Roman" w:eastAsia="宋体" w:hAnsi="Times New Roman" w:cs="Times New Roman"/>
          <w:i/>
          <w:sz w:val="24"/>
          <w:szCs w:val="24"/>
        </w:rPr>
        <w:t>Ruian</w:t>
      </w:r>
      <w:proofErr w:type="spellEnd"/>
      <w:r>
        <w:rPr>
          <w:rFonts w:ascii="Times New Roman" w:eastAsia="宋体" w:hAnsi="Times New Roman" w:cs="Times New Roman"/>
          <w:i/>
          <w:sz w:val="24"/>
          <w:szCs w:val="24"/>
        </w:rPr>
        <w:t xml:space="preserve"> Economic Development Zone, Wenzhou 325000, China</w:t>
      </w:r>
    </w:p>
    <w:bookmarkEnd w:id="9"/>
    <w:p w14:paraId="2C364D39" w14:textId="77777777" w:rsidR="00A358AB" w:rsidRDefault="00A358AB" w:rsidP="00A358AB">
      <w:pPr>
        <w:widowControl/>
        <w:shd w:val="clear" w:color="auto" w:fill="FFFFFF"/>
        <w:adjustRightInd w:val="0"/>
        <w:snapToGrid w:val="0"/>
        <w:spacing w:line="480" w:lineRule="auto"/>
        <w:rPr>
          <w:rFonts w:ascii="Times New Roman" w:eastAsia="宋体" w:hAnsi="Times New Roman" w:cs="Times New Roman"/>
          <w:i/>
          <w:sz w:val="24"/>
          <w:szCs w:val="24"/>
        </w:rPr>
      </w:pPr>
      <w:r>
        <w:rPr>
          <w:rFonts w:ascii="Times New Roman" w:eastAsia="宋体" w:hAnsi="Times New Roman" w:cs="Times New Roman"/>
          <w:i/>
          <w:sz w:val="24"/>
          <w:szCs w:val="24"/>
          <w:vertAlign w:val="superscript"/>
        </w:rPr>
        <w:t>c</w:t>
      </w:r>
      <w:r>
        <w:rPr>
          <w:rFonts w:ascii="Times New Roman" w:eastAsia="宋体" w:hAnsi="Times New Roman" w:cs="Times New Roman"/>
          <w:i/>
          <w:sz w:val="24"/>
          <w:szCs w:val="24"/>
        </w:rPr>
        <w:t xml:space="preserve"> Shanghai </w:t>
      </w:r>
      <w:proofErr w:type="spellStart"/>
      <w:r>
        <w:rPr>
          <w:rFonts w:ascii="Times New Roman" w:eastAsia="宋体" w:hAnsi="Times New Roman" w:cs="Times New Roman"/>
          <w:i/>
          <w:sz w:val="24"/>
          <w:szCs w:val="24"/>
        </w:rPr>
        <w:t>Huafon</w:t>
      </w:r>
      <w:proofErr w:type="spellEnd"/>
      <w:r>
        <w:rPr>
          <w:rFonts w:ascii="Times New Roman" w:eastAsia="宋体" w:hAnsi="Times New Roman" w:cs="Times New Roman"/>
          <w:i/>
          <w:sz w:val="24"/>
          <w:szCs w:val="24"/>
        </w:rPr>
        <w:t xml:space="preserve"> Material Technology Co., Ltd</w:t>
      </w:r>
    </w:p>
    <w:p w14:paraId="3A3D5D19" w14:textId="77777777" w:rsidR="00A358AB" w:rsidRDefault="00A358AB" w:rsidP="00A358AB">
      <w:pPr>
        <w:widowControl/>
        <w:shd w:val="clear" w:color="auto" w:fill="FFFFFF"/>
        <w:adjustRightInd w:val="0"/>
        <w:snapToGrid w:val="0"/>
        <w:spacing w:line="480" w:lineRule="auto"/>
        <w:rPr>
          <w:rFonts w:ascii="Times New Roman" w:eastAsia="宋体" w:hAnsi="Times New Roman" w:cs="Times New Roman"/>
          <w:i/>
          <w:sz w:val="24"/>
          <w:szCs w:val="24"/>
        </w:rPr>
      </w:pPr>
      <w:r>
        <w:rPr>
          <w:rFonts w:ascii="Times New Roman" w:eastAsia="宋体" w:hAnsi="Times New Roman" w:cs="Times New Roman"/>
          <w:i/>
          <w:sz w:val="24"/>
          <w:szCs w:val="24"/>
          <w:vertAlign w:val="superscript"/>
        </w:rPr>
        <w:t>d</w:t>
      </w:r>
      <w:r>
        <w:rPr>
          <w:rFonts w:ascii="Times New Roman" w:eastAsia="宋体" w:hAnsi="Times New Roman" w:cs="Times New Roman"/>
          <w:i/>
          <w:sz w:val="24"/>
          <w:szCs w:val="24"/>
        </w:rPr>
        <w:t xml:space="preserve"> HUAFON GROUP CO., LTD</w:t>
      </w:r>
      <w:bookmarkEnd w:id="1"/>
      <w:bookmarkEnd w:id="8"/>
    </w:p>
    <w:p w14:paraId="0B04F3A5" w14:textId="2F7D3BFE" w:rsidR="00855F27" w:rsidRDefault="00855F27" w:rsidP="001148D8">
      <w:pPr>
        <w:widowControl/>
        <w:spacing w:before="100" w:beforeAutospacing="1" w:after="100" w:afterAutospacing="1" w:line="360" w:lineRule="auto"/>
        <w:rPr>
          <w:rFonts w:ascii="Times New Roman" w:eastAsia="宋体" w:hAnsi="Times New Roman" w:cs="Times New Roman"/>
          <w:b/>
          <w:color w:val="000000" w:themeColor="text1"/>
          <w:sz w:val="28"/>
          <w:szCs w:val="28"/>
        </w:rPr>
      </w:pPr>
    </w:p>
    <w:p w14:paraId="727351B1" w14:textId="38737CF7" w:rsidR="00041029" w:rsidRDefault="00041029" w:rsidP="001148D8">
      <w:pPr>
        <w:widowControl/>
        <w:spacing w:before="100" w:beforeAutospacing="1" w:after="100" w:afterAutospacing="1" w:line="360" w:lineRule="auto"/>
        <w:rPr>
          <w:rFonts w:ascii="Times New Roman" w:eastAsia="宋体" w:hAnsi="Times New Roman" w:cs="Times New Roman"/>
          <w:b/>
          <w:color w:val="000000" w:themeColor="text1"/>
          <w:sz w:val="28"/>
          <w:szCs w:val="28"/>
        </w:rPr>
      </w:pPr>
    </w:p>
    <w:p w14:paraId="418DDABC" w14:textId="7A0D3150" w:rsidR="00041029" w:rsidRDefault="00041029" w:rsidP="001148D8">
      <w:pPr>
        <w:widowControl/>
        <w:spacing w:before="100" w:beforeAutospacing="1" w:after="100" w:afterAutospacing="1" w:line="360" w:lineRule="auto"/>
        <w:rPr>
          <w:rFonts w:ascii="Times New Roman" w:eastAsia="宋体" w:hAnsi="Times New Roman" w:cs="Times New Roman"/>
          <w:b/>
          <w:color w:val="000000" w:themeColor="text1"/>
          <w:sz w:val="28"/>
          <w:szCs w:val="28"/>
        </w:rPr>
      </w:pPr>
    </w:p>
    <w:p w14:paraId="490609B4" w14:textId="07AF1396" w:rsidR="00041029" w:rsidRDefault="00041029" w:rsidP="001148D8">
      <w:pPr>
        <w:widowControl/>
        <w:spacing w:before="100" w:beforeAutospacing="1" w:after="100" w:afterAutospacing="1" w:line="360" w:lineRule="auto"/>
        <w:rPr>
          <w:rFonts w:ascii="Times New Roman" w:eastAsia="宋体" w:hAnsi="Times New Roman" w:cs="Times New Roman"/>
          <w:b/>
          <w:color w:val="000000" w:themeColor="text1"/>
          <w:sz w:val="28"/>
          <w:szCs w:val="28"/>
        </w:rPr>
      </w:pPr>
    </w:p>
    <w:p w14:paraId="0F74B47D" w14:textId="77777777" w:rsidR="00F724BE" w:rsidRPr="00F724BE" w:rsidRDefault="00F724BE" w:rsidP="00F724BE">
      <w:pPr>
        <w:widowControl/>
        <w:shd w:val="clear" w:color="auto" w:fill="FFFFFF"/>
        <w:adjustRightInd w:val="0"/>
        <w:snapToGrid w:val="0"/>
        <w:spacing w:line="480" w:lineRule="auto"/>
        <w:rPr>
          <w:rFonts w:ascii="Times New Roman" w:eastAsia="宋体" w:hAnsi="Times New Roman" w:cs="Times New Roman"/>
          <w:b/>
          <w:bCs/>
          <w:i/>
          <w:sz w:val="30"/>
          <w:szCs w:val="30"/>
        </w:rPr>
      </w:pPr>
      <w:r w:rsidRPr="00F724BE">
        <w:rPr>
          <w:rFonts w:ascii="Times New Roman" w:eastAsia="宋体" w:hAnsi="Times New Roman" w:cs="Times New Roman"/>
          <w:b/>
          <w:bCs/>
          <w:sz w:val="24"/>
          <w:szCs w:val="24"/>
        </w:rPr>
        <w:lastRenderedPageBreak/>
        <w:t>Results and discussion</w:t>
      </w:r>
    </w:p>
    <w:p w14:paraId="5C2753FE" w14:textId="5D686B0C" w:rsidR="00041029" w:rsidRPr="001148D8" w:rsidRDefault="007903A6" w:rsidP="00F01805">
      <w:pPr>
        <w:widowControl/>
        <w:spacing w:before="100" w:beforeAutospacing="1" w:after="100" w:afterAutospacing="1" w:line="480" w:lineRule="auto"/>
        <w:ind w:firstLineChars="100" w:firstLine="240"/>
        <w:rPr>
          <w:rFonts w:ascii="Times New Roman" w:eastAsia="宋体" w:hAnsi="Times New Roman" w:cs="Times New Roman"/>
          <w:b/>
          <w:color w:val="000000" w:themeColor="text1"/>
          <w:sz w:val="28"/>
          <w:szCs w:val="28"/>
        </w:rPr>
      </w:pPr>
      <w:r w:rsidRPr="007903A6">
        <w:rPr>
          <w:rFonts w:ascii="Times New Roman" w:eastAsia="宋体" w:hAnsi="Times New Roman" w:cs="Times New Roman"/>
          <w:bCs/>
          <w:color w:val="000000" w:themeColor="text1"/>
          <w:sz w:val="24"/>
          <w:szCs w:val="24"/>
        </w:rPr>
        <w:t>The stress and strain curve of the plant tape during the process of immersing water for a different duration as</w:t>
      </w:r>
      <w:r w:rsidRPr="00132A54">
        <w:rPr>
          <w:rFonts w:ascii="Times New Roman" w:eastAsia="宋体" w:hAnsi="Times New Roman" w:cs="Times New Roman"/>
          <w:b/>
          <w:color w:val="000000" w:themeColor="text1"/>
          <w:sz w:val="24"/>
          <w:szCs w:val="24"/>
        </w:rPr>
        <w:t xml:space="preserve"> Fig.S1a</w:t>
      </w:r>
      <w:r w:rsidR="00324D7C" w:rsidRPr="00324D7C">
        <w:rPr>
          <w:rFonts w:hint="eastAsia"/>
        </w:rPr>
        <w:t xml:space="preserve"> </w:t>
      </w:r>
      <w:proofErr w:type="gramStart"/>
      <w:r w:rsidR="00324D7C" w:rsidRPr="00324D7C">
        <w:rPr>
          <w:rFonts w:ascii="Times New Roman" w:eastAsia="宋体" w:hAnsi="Times New Roman" w:cs="Times New Roman" w:hint="eastAsia"/>
          <w:bCs/>
          <w:color w:val="000000" w:themeColor="text1"/>
          <w:sz w:val="24"/>
          <w:szCs w:val="24"/>
        </w:rPr>
        <w:t>The</w:t>
      </w:r>
      <w:proofErr w:type="gramEnd"/>
      <w:r w:rsidR="00324D7C" w:rsidRPr="00324D7C">
        <w:rPr>
          <w:rFonts w:ascii="Times New Roman" w:eastAsia="宋体" w:hAnsi="Times New Roman" w:cs="Times New Roman" w:hint="eastAsia"/>
          <w:bCs/>
          <w:color w:val="000000" w:themeColor="text1"/>
          <w:sz w:val="24"/>
          <w:szCs w:val="24"/>
        </w:rPr>
        <w:t xml:space="preserve"> breaking strength and elongation of plant tape showed a trend with the time of soaking in water which decreased at first and increased</w:t>
      </w:r>
      <w:r w:rsidR="00324D7C">
        <w:rPr>
          <w:rFonts w:ascii="Times New Roman" w:eastAsia="宋体" w:hAnsi="Times New Roman" w:cs="Times New Roman" w:hint="eastAsia"/>
          <w:bCs/>
          <w:color w:val="000000" w:themeColor="text1"/>
          <w:sz w:val="24"/>
          <w:szCs w:val="24"/>
        </w:rPr>
        <w:t>,</w:t>
      </w:r>
      <w:r w:rsidR="00324D7C">
        <w:rPr>
          <w:rFonts w:ascii="Times New Roman" w:eastAsia="宋体" w:hAnsi="Times New Roman" w:cs="Times New Roman"/>
          <w:bCs/>
          <w:color w:val="000000" w:themeColor="text1"/>
          <w:sz w:val="24"/>
          <w:szCs w:val="24"/>
        </w:rPr>
        <w:t xml:space="preserve"> </w:t>
      </w:r>
      <w:r w:rsidR="00324D7C" w:rsidRPr="00324D7C">
        <w:rPr>
          <w:rFonts w:ascii="Times New Roman" w:eastAsia="宋体" w:hAnsi="Times New Roman" w:cs="Times New Roman" w:hint="eastAsia"/>
          <w:bCs/>
          <w:color w:val="000000" w:themeColor="text1"/>
          <w:sz w:val="24"/>
          <w:szCs w:val="24"/>
        </w:rPr>
        <w:t>especially when soaked in water for 5 minutes and 10 minutes.</w:t>
      </w:r>
      <w:r w:rsidR="00132A54" w:rsidRPr="00132A54">
        <w:t xml:space="preserve"> </w:t>
      </w:r>
      <w:r w:rsidR="00132A54" w:rsidRPr="00132A54">
        <w:rPr>
          <w:rFonts w:ascii="Times New Roman" w:eastAsia="宋体" w:hAnsi="Times New Roman" w:cs="Times New Roman"/>
          <w:bCs/>
          <w:color w:val="000000" w:themeColor="text1"/>
          <w:sz w:val="24"/>
          <w:szCs w:val="24"/>
        </w:rPr>
        <w:t xml:space="preserve">As shown in </w:t>
      </w:r>
      <w:r w:rsidR="00132A54" w:rsidRPr="00132A54">
        <w:rPr>
          <w:rFonts w:ascii="Times New Roman" w:eastAsia="宋体" w:hAnsi="Times New Roman" w:cs="Times New Roman"/>
          <w:b/>
          <w:color w:val="000000" w:themeColor="text1"/>
          <w:sz w:val="24"/>
          <w:szCs w:val="24"/>
        </w:rPr>
        <w:t>Fig. S1b</w:t>
      </w:r>
      <w:r w:rsidR="00132A54" w:rsidRPr="00132A54">
        <w:rPr>
          <w:rFonts w:ascii="Times New Roman" w:eastAsia="宋体" w:hAnsi="Times New Roman" w:cs="Times New Roman"/>
          <w:bCs/>
          <w:color w:val="000000" w:themeColor="text1"/>
          <w:sz w:val="24"/>
          <w:szCs w:val="24"/>
        </w:rPr>
        <w:t xml:space="preserve"> after drying, the breaking strength of plant tape after soaking water can be recovered.</w:t>
      </w:r>
      <w:r w:rsidR="00132A54" w:rsidRPr="00132A54">
        <w:t xml:space="preserve"> </w:t>
      </w:r>
      <w:r w:rsidR="00132A54" w:rsidRPr="00132A54">
        <w:rPr>
          <w:rFonts w:ascii="Times New Roman" w:eastAsia="宋体" w:hAnsi="Times New Roman" w:cs="Times New Roman"/>
          <w:bCs/>
          <w:color w:val="000000" w:themeColor="text1"/>
          <w:sz w:val="24"/>
          <w:szCs w:val="24"/>
        </w:rPr>
        <w:t xml:space="preserve">The breaking strength of plant tape after water immersion was also higher than that of the </w:t>
      </w:r>
      <w:proofErr w:type="spellStart"/>
      <w:r w:rsidR="00132A54" w:rsidRPr="00132A54">
        <w:rPr>
          <w:rFonts w:ascii="Times New Roman" w:eastAsia="宋体" w:hAnsi="Times New Roman" w:cs="Times New Roman"/>
          <w:bCs/>
          <w:color w:val="000000" w:themeColor="text1"/>
          <w:sz w:val="24"/>
          <w:szCs w:val="24"/>
        </w:rPr>
        <w:t>unimmersed</w:t>
      </w:r>
      <w:proofErr w:type="spellEnd"/>
      <w:r w:rsidR="00132A54" w:rsidRPr="00132A54">
        <w:rPr>
          <w:rFonts w:ascii="Times New Roman" w:eastAsia="宋体" w:hAnsi="Times New Roman" w:cs="Times New Roman"/>
          <w:bCs/>
          <w:color w:val="000000" w:themeColor="text1"/>
          <w:sz w:val="24"/>
          <w:szCs w:val="24"/>
        </w:rPr>
        <w:t xml:space="preserve"> BOPP and BOPP/CaCO</w:t>
      </w:r>
      <w:r w:rsidR="00132A54" w:rsidRPr="00422513">
        <w:rPr>
          <w:rFonts w:ascii="Times New Roman" w:eastAsia="宋体" w:hAnsi="Times New Roman" w:cs="Times New Roman"/>
          <w:bCs/>
          <w:color w:val="000000" w:themeColor="text1"/>
          <w:sz w:val="24"/>
          <w:szCs w:val="24"/>
          <w:vertAlign w:val="subscript"/>
        </w:rPr>
        <w:t>3</w:t>
      </w:r>
      <w:r w:rsidR="00132A54" w:rsidRPr="00132A54">
        <w:rPr>
          <w:rFonts w:ascii="Times New Roman" w:eastAsia="宋体" w:hAnsi="Times New Roman" w:cs="Times New Roman"/>
          <w:bCs/>
          <w:color w:val="000000" w:themeColor="text1"/>
          <w:sz w:val="24"/>
          <w:szCs w:val="24"/>
        </w:rPr>
        <w:t xml:space="preserve"> tapes.</w:t>
      </w:r>
      <w:r w:rsidR="00422513" w:rsidRPr="00422513">
        <w:t xml:space="preserve"> </w:t>
      </w:r>
      <w:r w:rsidR="00422513" w:rsidRPr="00422513">
        <w:rPr>
          <w:rFonts w:ascii="Times New Roman" w:eastAsia="宋体" w:hAnsi="Times New Roman" w:cs="Times New Roman"/>
          <w:bCs/>
          <w:color w:val="000000" w:themeColor="text1"/>
          <w:sz w:val="24"/>
          <w:szCs w:val="24"/>
        </w:rPr>
        <w:t>The highest tensile strength of plant tape can be ascribed to the enhanced intermolecular force, while it was difficult for intermolecular slippage</w:t>
      </w:r>
      <w:r w:rsidR="00422513">
        <w:rPr>
          <w:rFonts w:ascii="Times New Roman" w:eastAsia="宋体" w:hAnsi="Times New Roman" w:cs="Times New Roman"/>
          <w:bCs/>
          <w:color w:val="000000" w:themeColor="text1"/>
          <w:sz w:val="24"/>
          <w:szCs w:val="24"/>
        </w:rPr>
        <w:t xml:space="preserve"> </w:t>
      </w:r>
      <w:r w:rsidR="00E34BB8">
        <w:rPr>
          <w:rFonts w:ascii="Times New Roman" w:eastAsia="宋体" w:hAnsi="Times New Roman" w:cs="Times New Roman"/>
          <w:bCs/>
          <w:color w:val="000000" w:themeColor="text1"/>
          <w:sz w:val="24"/>
          <w:szCs w:val="24"/>
        </w:rPr>
        <w:fldChar w:fldCharType="begin" w:fldLock="1"/>
      </w:r>
      <w:r w:rsidR="00E35A76">
        <w:rPr>
          <w:rFonts w:ascii="Times New Roman" w:eastAsia="宋体" w:hAnsi="Times New Roman" w:cs="Times New Roman"/>
          <w:bCs/>
          <w:color w:val="000000" w:themeColor="text1"/>
          <w:sz w:val="24"/>
          <w:szCs w:val="24"/>
        </w:rPr>
        <w:instrText>ADDIN CSL_CITATION {"citationItems":[{"id":"ITEM-1","itemData":{"DOI":"10.1016/j.compscitech.2020.108613","ISSN":"02663538","abstract":"In this paper, nanofibrillated celluloses (NFCs) with network-like structure were extracted from microcrystalline cellulose for the first time through swelling and mechanical shearing. The aim was to study the effect of the novel NFC on the mechanical, thermal, morphological, and crystallization properties of non-plasticized and green-plasticized PLA composites as well as to study the optimal composition of NFC and green plasticizer (ATBC). Interestingly, NFC particle presented a rod-shape as a whole with plenty of nanofibrils on edges. The addition of NFCs not only enhanced the strength and toughness remarkably, but it also improved the thermal stability of PLA composites. The maximum tensile strength, modulus, elongation, and impact strength values (4 wt% NFC content) increased by ca. 37%, 21%, 126%, and 78% compared with pure PLA, respectively. More importantly, after ATBC plasticization, the strength and thermal properties of PLA/NFC composites showed no decrease. Particularly, for 6 wt% NFC content, the strength and modulus of the as-prepared composites were comparable to those of pure PLA, and the elongation and toughness were improved by ca. 259% and ca. 121%. Beyond the above mentioned, wire-drawing and pull-off morphology revealed the evolution process of the molecule and microstructure of PLA during tensile deformation.","author":[{"dropping-particle":"","family":"Roy","given":"Sunanda","non-dropping-particle":"","parse-names":false,"suffix":""},{"dropping-particle":"","family":"Ghosh","given":"Barnali Dasgupta","non-dropping-particle":"","parse-names":false,"suffix":""},{"dropping-particle":"","family":"Goh","given":"Kheng Lim","non-dropping-particle":"","parse-names":false,"suffix":""},{"dropping-particle":"","family":"Muthoka","given":"Ruth M.","non-dropping-particle":"","parse-names":false,"suffix":""},{"dropping-particle":"","family":"Kim","given":"Jaehwan","non-dropping-particle":"","parse-names":false,"suffix":""},{"dropping-particle":"","family":"Xu","given":"Linqiong","non-dropping-particle":"","parse-names":false,"suffix":""},{"dropping-particle":"","family":"Zhao","given":"Jinjin","non-dropping-particle":"","parse-names":false,"suffix":""},{"dropping-particle":"","family":"Qian","given":"Shaoping","non-dropping-particle":"","parse-names":false,"suffix":""},{"dropping-particle":"","family":"Zhu","given":"Xiaodong","non-dropping-particle":"","parse-names":false,"suffix":""},{"dropping-particle":"","family":"Takahashi","given":"Jun","non-dropping-particle":"","parse-names":false,"suffix":""}],"container-title":"Composites Science and Technology","id":"ITEM-1","issue":"December 2020","issued":{"date-parts":[["2022"]]},"page":"118974","publisher":"Elsevier Ltd","title":"Modulation of interfacial interactions toward strong and tough cellulose nanofiber-based transparent thin films with antifogging feature","type":"article-journal","volume":"278"},"uris":["http://www.mendeley.com/documents/?uuid=25183df7-950e-4c8e-8fa6-378babba1be8","http://www.mendeley.com/documents/?uuid=69b824c8-cc9c-426b-b704-7aa592ff0c49","http://www.mendeley.com/documents/?uuid=2f181a65-b3e5-4e9a-bbe5-8767f57d6ee0"]},{"id":"ITEM-2","itemData":{"DOI":"10.1016/j.compscitech.2020.108613","ISSN":"02663538","abstract":"In this paper, nanofibrillated celluloses (NFCs) with network-like structure were extracted from microcrystalline cellulose for the first time through swelling and mechanical shearing. The aim was to study the effect of the novel NFC on the mechanical, thermal, morphological, and crystallization properties of non-plasticized and green-plasticized PLA composites as well as to study the optimal composition of NFC and green plasticizer (ATBC). Interestingly, NFC particle presented a rod-shape as a whole with plenty of nanofibrils on edges. The addition of NFCs not only enhanced the strength and toughness remarkably, but it also improved the thermal stability of PLA composites. The maximum tensile strength, modulus, elongation, and impact strength values (4 wt% NFC content) increased by ca. 37%, 21%, 126%, and 78% compared with pure PLA, respectively. More importantly, after ATBC plasticization, the strength and thermal properties of PLA/NFC composites showed no decrease. Particularly, for 6 wt% NFC content, the strength and modulus of the as-prepared composites were comparable to those of pure PLA, and the elongation and toughness were improved by ca. 259% and ca. 121%. Beyond the above mentioned, wire-drawing and pull-off morphology revealed the evolution process of the molecule and microstructure of PLA during tensile deformation.","author":[{"dropping-particle":"","family":"Xu","given":"Linqiong","non-dropping-particle":"","parse-names":false,"suffix":""},{"dropping-particle":"","family":"Zhao","given":"Jinjin","non-dropping-particle":"","parse-names":false,"suffix":""},{"dropping-particle":"","family":"Qian","given":"Shaoping","non-dropping-particle":"","parse-names":false,"suffix":""},{"dropping-particle":"","family":"Zhu","given":"Xiaodong","non-dropping-particle":"","parse-names":false,"suffix":""},{"dropping-particle":"","family":"Takahashi","given":"Jun","non-dropping-particle":"","parse-names":false,"suffix":""}],"container-title":"Composites Science and Technology","id":"ITEM-2","issue":"December 2020","issued":{"date-parts":[["2021"]]},"page":"108613","publisher":"Elsevier Ltd","title":"Green-plasticized poly(lactic acid)/nanofibrillated cellulose biocomposites with high strength, good toughness and excellent heat resistance","type":"article-journal","volume":"203"},"uris":["http://www.mendeley.com/documents/?uuid=17ff0de8-1248-455e-a5f1-fa4e9a0163e6","http://www.mendeley.com/documents/?uuid=92f53d96-87ec-4fa6-94d2-fdc79757f46a"]}],"mendeley":{"formattedCitation":"(Xu et al. 2021; Roy et al. 2022)","plainTextFormattedCitation":"(Xu et al. 2021; Roy et al. 2022)","previouslyFormattedCitation":"(Roy et al., 2022; Xu et al., 2021)"},"properties":{"noteIndex":0},"schema":"https://github.com/citation-style-language/schema/raw/master/csl-citation.json"}</w:instrText>
      </w:r>
      <w:r w:rsidR="00E34BB8">
        <w:rPr>
          <w:rFonts w:ascii="Times New Roman" w:eastAsia="宋体" w:hAnsi="Times New Roman" w:cs="Times New Roman"/>
          <w:bCs/>
          <w:color w:val="000000" w:themeColor="text1"/>
          <w:sz w:val="24"/>
          <w:szCs w:val="24"/>
        </w:rPr>
        <w:fldChar w:fldCharType="separate"/>
      </w:r>
      <w:r w:rsidR="00E35A76" w:rsidRPr="00E35A76">
        <w:rPr>
          <w:rFonts w:ascii="Times New Roman" w:eastAsia="宋体" w:hAnsi="Times New Roman" w:cs="Times New Roman"/>
          <w:bCs/>
          <w:noProof/>
          <w:color w:val="000000" w:themeColor="text1"/>
          <w:sz w:val="24"/>
          <w:szCs w:val="24"/>
        </w:rPr>
        <w:t>(Xu et al. 2021; Roy et al. 2022)</w:t>
      </w:r>
      <w:r w:rsidR="00E34BB8">
        <w:rPr>
          <w:rFonts w:ascii="Times New Roman" w:eastAsia="宋体" w:hAnsi="Times New Roman" w:cs="Times New Roman"/>
          <w:bCs/>
          <w:color w:val="000000" w:themeColor="text1"/>
          <w:sz w:val="24"/>
          <w:szCs w:val="24"/>
        </w:rPr>
        <w:fldChar w:fldCharType="end"/>
      </w:r>
      <w:r w:rsidR="00422513" w:rsidRPr="00422513">
        <w:rPr>
          <w:rFonts w:ascii="Times New Roman" w:eastAsia="宋体" w:hAnsi="Times New Roman" w:cs="Times New Roman"/>
          <w:bCs/>
          <w:color w:val="000000" w:themeColor="text1"/>
          <w:sz w:val="24"/>
          <w:szCs w:val="24"/>
        </w:rPr>
        <w:t>.</w:t>
      </w:r>
    </w:p>
    <w:p w14:paraId="5308309E" w14:textId="4986AF39" w:rsidR="000D134D" w:rsidRDefault="00F704F4">
      <w:r>
        <w:rPr>
          <w:noProof/>
        </w:rPr>
        <w:drawing>
          <wp:inline distT="0" distB="0" distL="0" distR="0" wp14:anchorId="42339142" wp14:editId="67FE247C">
            <wp:extent cx="2152431" cy="1671320"/>
            <wp:effectExtent l="0" t="0" r="63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7" cstate="print">
                      <a:extLst>
                        <a:ext uri="{28A0092B-C50C-407E-A947-70E740481C1C}">
                          <a14:useLocalDpi xmlns:a14="http://schemas.microsoft.com/office/drawing/2010/main" val="0"/>
                        </a:ext>
                      </a:extLst>
                    </a:blip>
                    <a:srcRect l="12835" t="5516" r="24064" b="7380"/>
                    <a:stretch/>
                  </pic:blipFill>
                  <pic:spPr bwMode="auto">
                    <a:xfrm>
                      <a:off x="0" y="0"/>
                      <a:ext cx="2192195" cy="1702196"/>
                    </a:xfrm>
                    <a:prstGeom prst="rect">
                      <a:avLst/>
                    </a:prstGeom>
                    <a:ln>
                      <a:noFill/>
                    </a:ln>
                    <a:extLst>
                      <a:ext uri="{53640926-AAD7-44D8-BBD7-CCE9431645EC}">
                        <a14:shadowObscured xmlns:a14="http://schemas.microsoft.com/office/drawing/2010/main"/>
                      </a:ext>
                    </a:extLst>
                  </pic:spPr>
                </pic:pic>
              </a:graphicData>
            </a:graphic>
          </wp:inline>
        </w:drawing>
      </w:r>
      <w:r w:rsidR="004B4E40">
        <w:rPr>
          <w:noProof/>
        </w:rPr>
        <w:drawing>
          <wp:inline distT="0" distB="0" distL="0" distR="0" wp14:anchorId="48F9885A" wp14:editId="1BDBE25F">
            <wp:extent cx="2203450" cy="1669236"/>
            <wp:effectExtent l="0" t="0" r="635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rotWithShape="1">
                    <a:blip r:embed="rId8" cstate="print">
                      <a:extLst>
                        <a:ext uri="{28A0092B-C50C-407E-A947-70E740481C1C}">
                          <a14:useLocalDpi xmlns:a14="http://schemas.microsoft.com/office/drawing/2010/main" val="0"/>
                        </a:ext>
                      </a:extLst>
                    </a:blip>
                    <a:srcRect l="16044" t="8938" r="19135" b="3764"/>
                    <a:stretch/>
                  </pic:blipFill>
                  <pic:spPr bwMode="auto">
                    <a:xfrm>
                      <a:off x="0" y="0"/>
                      <a:ext cx="2237926" cy="1695353"/>
                    </a:xfrm>
                    <a:prstGeom prst="rect">
                      <a:avLst/>
                    </a:prstGeom>
                    <a:ln>
                      <a:noFill/>
                    </a:ln>
                    <a:extLst>
                      <a:ext uri="{53640926-AAD7-44D8-BBD7-CCE9431645EC}">
                        <a14:shadowObscured xmlns:a14="http://schemas.microsoft.com/office/drawing/2010/main"/>
                      </a:ext>
                    </a:extLst>
                  </pic:spPr>
                </pic:pic>
              </a:graphicData>
            </a:graphic>
          </wp:inline>
        </w:drawing>
      </w:r>
    </w:p>
    <w:p w14:paraId="2B3DF44A" w14:textId="1029EFD0" w:rsidR="00BC49F4" w:rsidRDefault="00FD7065" w:rsidP="00B43F58">
      <w:pPr>
        <w:spacing w:before="100" w:beforeAutospacing="1" w:after="100" w:afterAutospacing="1" w:line="480" w:lineRule="auto"/>
        <w:rPr>
          <w:rFonts w:ascii="Times New Roman" w:eastAsia="宋体" w:hAnsi="Times New Roman" w:cs="Times New Roman"/>
          <w:sz w:val="24"/>
          <w:szCs w:val="24"/>
        </w:rPr>
      </w:pPr>
      <w:bookmarkStart w:id="10" w:name="_Hlk91778832"/>
      <w:r>
        <w:rPr>
          <w:rFonts w:ascii="Times New Roman" w:eastAsia="宋体" w:hAnsi="Times New Roman" w:cs="Times New Roman" w:hint="eastAsia"/>
          <w:b/>
          <w:bCs/>
          <w:sz w:val="24"/>
          <w:szCs w:val="24"/>
        </w:rPr>
        <w:t>Fig</w:t>
      </w:r>
      <w:r w:rsidR="00B56121">
        <w:rPr>
          <w:rFonts w:ascii="Times New Roman" w:eastAsia="宋体" w:hAnsi="Times New Roman" w:cs="Times New Roman" w:hint="eastAsia"/>
          <w:b/>
          <w:bCs/>
          <w:sz w:val="24"/>
          <w:szCs w:val="24"/>
        </w:rPr>
        <w:t>.</w:t>
      </w:r>
      <w:r w:rsidR="00362E1F">
        <w:rPr>
          <w:rFonts w:ascii="Times New Roman" w:eastAsia="宋体" w:hAnsi="Times New Roman" w:cs="Times New Roman"/>
          <w:b/>
          <w:bCs/>
          <w:sz w:val="24"/>
          <w:szCs w:val="24"/>
        </w:rPr>
        <w:t xml:space="preserve"> </w:t>
      </w:r>
      <w:r>
        <w:rPr>
          <w:rFonts w:ascii="Times New Roman" w:eastAsia="宋体" w:hAnsi="Times New Roman" w:cs="Times New Roman" w:hint="eastAsia"/>
          <w:b/>
          <w:bCs/>
          <w:sz w:val="24"/>
          <w:szCs w:val="24"/>
        </w:rPr>
        <w:t>S</w:t>
      </w:r>
      <w:r>
        <w:rPr>
          <w:rFonts w:ascii="Times New Roman" w:eastAsia="宋体" w:hAnsi="Times New Roman" w:cs="Times New Roman"/>
          <w:b/>
          <w:bCs/>
          <w:sz w:val="24"/>
          <w:szCs w:val="24"/>
        </w:rPr>
        <w:t>1</w:t>
      </w:r>
      <w:bookmarkEnd w:id="10"/>
      <w:r w:rsidR="00A67DF7" w:rsidRPr="00A67DF7">
        <w:rPr>
          <w:rFonts w:ascii="Times New Roman" w:eastAsia="宋体" w:hAnsi="Times New Roman" w:cs="Times New Roman"/>
          <w:b/>
          <w:bCs/>
          <w:sz w:val="24"/>
          <w:szCs w:val="24"/>
        </w:rPr>
        <w:t xml:space="preserve"> </w:t>
      </w:r>
      <w:r w:rsidR="00F3035B" w:rsidRPr="00A67DF7">
        <w:rPr>
          <w:rFonts w:ascii="Times New Roman" w:eastAsia="宋体" w:hAnsi="Times New Roman" w:cs="Times New Roman"/>
          <w:sz w:val="24"/>
          <w:szCs w:val="24"/>
        </w:rPr>
        <w:t>(a) Stress-strain curve of plant tape under different immersion time (b) Stress-strain curve of plant tape before and after being immersed in water for 30 min (the illustration was the plant tape that has dried naturally after being immersed in water for 30 min)</w:t>
      </w:r>
    </w:p>
    <w:p w14:paraId="3988F9D1" w14:textId="5CC85368" w:rsidR="00BC49F4" w:rsidRPr="00A33C8C" w:rsidRDefault="00A33C8C" w:rsidP="00A33C8C">
      <w:pPr>
        <w:spacing w:line="480" w:lineRule="auto"/>
        <w:rPr>
          <w:rFonts w:ascii="Times New Roman" w:eastAsia="宋体" w:hAnsi="Times New Roman" w:cs="Times New Roman"/>
          <w:b/>
          <w:bCs/>
          <w:sz w:val="24"/>
          <w:szCs w:val="24"/>
        </w:rPr>
      </w:pPr>
      <w:r w:rsidRPr="00A33C8C">
        <w:rPr>
          <w:rFonts w:ascii="Times New Roman" w:eastAsia="宋体" w:hAnsi="Times New Roman" w:cs="Times New Roman"/>
          <w:sz w:val="24"/>
          <w:szCs w:val="24"/>
        </w:rPr>
        <w:t xml:space="preserve">The infrared spectrum of the maximum degradation temperature of BOPP </w:t>
      </w:r>
      <w:r w:rsidRPr="00A33C8C">
        <w:rPr>
          <w:rFonts w:ascii="Times New Roman" w:eastAsia="宋体" w:hAnsi="Times New Roman" w:cs="Times New Roman"/>
          <w:sz w:val="24"/>
          <w:szCs w:val="24"/>
        </w:rPr>
        <w:lastRenderedPageBreak/>
        <w:t xml:space="preserve">tape at 476 °C, as shown in </w:t>
      </w:r>
      <w:r w:rsidRPr="00A33C8C">
        <w:rPr>
          <w:rFonts w:ascii="Times New Roman" w:eastAsia="宋体" w:hAnsi="Times New Roman" w:cs="Times New Roman"/>
          <w:b/>
          <w:bCs/>
          <w:sz w:val="24"/>
          <w:szCs w:val="24"/>
        </w:rPr>
        <w:t>Fig.S2a</w:t>
      </w:r>
      <w:r>
        <w:rPr>
          <w:rFonts w:ascii="Times New Roman" w:eastAsia="宋体" w:hAnsi="Times New Roman" w:cs="Times New Roman"/>
          <w:b/>
          <w:bCs/>
          <w:sz w:val="24"/>
          <w:szCs w:val="24"/>
        </w:rPr>
        <w:t xml:space="preserve"> </w:t>
      </w:r>
      <w:proofErr w:type="gramStart"/>
      <w:r w:rsidRPr="00C76816">
        <w:rPr>
          <w:rFonts w:ascii="Times New Roman" w:eastAsia="宋体" w:hAnsi="Times New Roman" w:cs="Times New Roman"/>
          <w:color w:val="000000" w:themeColor="text1"/>
          <w:sz w:val="24"/>
          <w:szCs w:val="24"/>
        </w:rPr>
        <w:t>The</w:t>
      </w:r>
      <w:proofErr w:type="gramEnd"/>
      <w:r w:rsidRPr="00C76816">
        <w:rPr>
          <w:rFonts w:ascii="Times New Roman" w:eastAsia="宋体" w:hAnsi="Times New Roman" w:cs="Times New Roman"/>
          <w:color w:val="000000" w:themeColor="text1"/>
          <w:sz w:val="24"/>
          <w:szCs w:val="24"/>
        </w:rPr>
        <w:t xml:space="preserve"> stretching vibration peak near 3081 cm</w:t>
      </w:r>
      <w:r w:rsidRPr="00C37F31">
        <w:rPr>
          <w:rFonts w:ascii="Times New Roman" w:eastAsia="宋体" w:hAnsi="Times New Roman" w:cs="Times New Roman"/>
          <w:color w:val="000000" w:themeColor="text1"/>
          <w:sz w:val="24"/>
          <w:szCs w:val="24"/>
          <w:vertAlign w:val="superscript"/>
        </w:rPr>
        <w:t>-1</w:t>
      </w:r>
      <w:r w:rsidRPr="00C76816">
        <w:rPr>
          <w:rFonts w:ascii="Times New Roman" w:eastAsia="宋体" w:hAnsi="Times New Roman" w:cs="Times New Roman"/>
          <w:color w:val="000000" w:themeColor="text1"/>
          <w:sz w:val="24"/>
          <w:szCs w:val="24"/>
        </w:rPr>
        <w:t xml:space="preserve"> and -C=C- stretching and bending vibration (1674 cm</w:t>
      </w:r>
      <w:r w:rsidRPr="00C37F31">
        <w:rPr>
          <w:rFonts w:ascii="Times New Roman" w:eastAsia="宋体" w:hAnsi="Times New Roman" w:cs="Times New Roman"/>
          <w:color w:val="000000" w:themeColor="text1"/>
          <w:sz w:val="24"/>
          <w:szCs w:val="24"/>
          <w:vertAlign w:val="superscript"/>
        </w:rPr>
        <w:t>-1</w:t>
      </w:r>
      <w:r w:rsidRPr="00C76816">
        <w:rPr>
          <w:rFonts w:ascii="Times New Roman" w:eastAsia="宋体" w:hAnsi="Times New Roman" w:cs="Times New Roman"/>
          <w:color w:val="000000" w:themeColor="text1"/>
          <w:sz w:val="24"/>
          <w:szCs w:val="24"/>
        </w:rPr>
        <w:t xml:space="preserve">) indicate the formation of olefins. C-H </w:t>
      </w:r>
      <w:bookmarkStart w:id="11" w:name="_Hlk91708892"/>
      <w:r w:rsidRPr="00C76816">
        <w:rPr>
          <w:rFonts w:ascii="Times New Roman" w:eastAsia="宋体" w:hAnsi="Times New Roman" w:cs="Times New Roman"/>
          <w:color w:val="000000" w:themeColor="text1"/>
          <w:sz w:val="24"/>
          <w:szCs w:val="24"/>
        </w:rPr>
        <w:t xml:space="preserve">stretching </w:t>
      </w:r>
      <w:bookmarkEnd w:id="11"/>
      <w:r w:rsidRPr="00C76816">
        <w:rPr>
          <w:rFonts w:ascii="Times New Roman" w:eastAsia="宋体" w:hAnsi="Times New Roman" w:cs="Times New Roman"/>
          <w:color w:val="000000" w:themeColor="text1"/>
          <w:sz w:val="24"/>
          <w:szCs w:val="24"/>
        </w:rPr>
        <w:t xml:space="preserve">vibrations </w:t>
      </w:r>
      <w:r w:rsidRPr="00E01ED2">
        <w:rPr>
          <w:rFonts w:ascii="Times New Roman" w:eastAsia="宋体" w:hAnsi="Times New Roman" w:cs="Times New Roman"/>
          <w:color w:val="000000" w:themeColor="text1"/>
          <w:sz w:val="24"/>
          <w:szCs w:val="24"/>
        </w:rPr>
        <w:t>(2964 cm</w:t>
      </w:r>
      <w:r w:rsidRPr="00E01ED2">
        <w:rPr>
          <w:rFonts w:ascii="Times New Roman" w:eastAsia="宋体" w:hAnsi="Times New Roman" w:cs="Times New Roman"/>
          <w:color w:val="000000" w:themeColor="text1"/>
          <w:sz w:val="24"/>
          <w:szCs w:val="24"/>
          <w:vertAlign w:val="superscript"/>
        </w:rPr>
        <w:t>-1</w:t>
      </w:r>
      <w:r w:rsidRPr="00E01ED2">
        <w:rPr>
          <w:rFonts w:ascii="Times New Roman" w:eastAsia="宋体" w:hAnsi="Times New Roman" w:cs="Times New Roman"/>
          <w:color w:val="000000" w:themeColor="text1"/>
          <w:sz w:val="24"/>
          <w:szCs w:val="24"/>
        </w:rPr>
        <w:t xml:space="preserve"> and</w:t>
      </w:r>
      <w:r w:rsidRPr="00C76816">
        <w:rPr>
          <w:rFonts w:ascii="Times New Roman" w:eastAsia="宋体" w:hAnsi="Times New Roman" w:cs="Times New Roman"/>
          <w:color w:val="000000" w:themeColor="text1"/>
          <w:sz w:val="24"/>
          <w:szCs w:val="24"/>
        </w:rPr>
        <w:t xml:space="preserve"> 1382 cm</w:t>
      </w:r>
      <w:r w:rsidRPr="00C37F31">
        <w:rPr>
          <w:rFonts w:ascii="Times New Roman" w:eastAsia="宋体" w:hAnsi="Times New Roman" w:cs="Times New Roman"/>
          <w:color w:val="000000" w:themeColor="text1"/>
          <w:sz w:val="24"/>
          <w:szCs w:val="24"/>
          <w:vertAlign w:val="superscript"/>
        </w:rPr>
        <w:t>-1</w:t>
      </w:r>
      <w:r w:rsidRPr="00C76816">
        <w:rPr>
          <w:rFonts w:ascii="Times New Roman" w:eastAsia="宋体" w:hAnsi="Times New Roman" w:cs="Times New Roman"/>
          <w:color w:val="000000" w:themeColor="text1"/>
          <w:sz w:val="24"/>
          <w:szCs w:val="24"/>
        </w:rPr>
        <w:t>) and -CH</w:t>
      </w:r>
      <w:r w:rsidRPr="00C37F31">
        <w:rPr>
          <w:rFonts w:ascii="Times New Roman" w:eastAsia="宋体" w:hAnsi="Times New Roman" w:cs="Times New Roman"/>
          <w:color w:val="000000" w:themeColor="text1"/>
          <w:sz w:val="24"/>
          <w:szCs w:val="24"/>
          <w:vertAlign w:val="subscript"/>
        </w:rPr>
        <w:t>2</w:t>
      </w:r>
      <w:r w:rsidRPr="00C76816">
        <w:rPr>
          <w:rFonts w:ascii="Times New Roman" w:eastAsia="宋体" w:hAnsi="Times New Roman" w:cs="Times New Roman"/>
          <w:color w:val="000000" w:themeColor="text1"/>
          <w:sz w:val="24"/>
          <w:szCs w:val="24"/>
        </w:rPr>
        <w:t xml:space="preserve"> </w:t>
      </w:r>
      <w:r>
        <w:rPr>
          <w:rFonts w:ascii="Times New Roman" w:eastAsia="宋体" w:hAnsi="Times New Roman" w:cs="Times New Roman"/>
          <w:color w:val="000000" w:themeColor="text1"/>
          <w:sz w:val="24"/>
          <w:szCs w:val="24"/>
        </w:rPr>
        <w:t>s</w:t>
      </w:r>
      <w:r w:rsidRPr="000F04D2">
        <w:rPr>
          <w:rFonts w:ascii="Times New Roman" w:eastAsia="宋体" w:hAnsi="Times New Roman" w:cs="Times New Roman"/>
          <w:color w:val="000000" w:themeColor="text1"/>
          <w:sz w:val="24"/>
          <w:szCs w:val="24"/>
        </w:rPr>
        <w:t>cissor vibration</w:t>
      </w:r>
      <w:r w:rsidRPr="00C76816">
        <w:rPr>
          <w:rFonts w:ascii="Times New Roman" w:eastAsia="宋体" w:hAnsi="Times New Roman" w:cs="Times New Roman"/>
          <w:color w:val="000000" w:themeColor="text1"/>
          <w:sz w:val="24"/>
          <w:szCs w:val="24"/>
        </w:rPr>
        <w:t xml:space="preserve"> (1450 and 2985 cm</w:t>
      </w:r>
      <w:r w:rsidRPr="00C37F31">
        <w:rPr>
          <w:rFonts w:ascii="Times New Roman" w:eastAsia="宋体" w:hAnsi="Times New Roman" w:cs="Times New Roman"/>
          <w:color w:val="000000" w:themeColor="text1"/>
          <w:sz w:val="24"/>
          <w:szCs w:val="24"/>
          <w:vertAlign w:val="superscript"/>
        </w:rPr>
        <w:t>-1</w:t>
      </w:r>
      <w:r w:rsidRPr="00C76816">
        <w:rPr>
          <w:rFonts w:ascii="Times New Roman" w:eastAsia="宋体" w:hAnsi="Times New Roman" w:cs="Times New Roman"/>
          <w:color w:val="000000" w:themeColor="text1"/>
          <w:sz w:val="24"/>
          <w:szCs w:val="24"/>
        </w:rPr>
        <w:t>) reflect the formation of alkanes</w:t>
      </w:r>
      <w:r w:rsidR="004940C9">
        <w:rPr>
          <w:rFonts w:ascii="Times New Roman" w:eastAsia="宋体" w:hAnsi="Times New Roman" w:cs="Times New Roman"/>
          <w:color w:val="000000" w:themeColor="text1"/>
          <w:sz w:val="24"/>
          <w:szCs w:val="24"/>
        </w:rPr>
        <w:fldChar w:fldCharType="begin" w:fldLock="1"/>
      </w:r>
      <w:r w:rsidR="00E35A76">
        <w:rPr>
          <w:rFonts w:ascii="Times New Roman" w:eastAsia="宋体" w:hAnsi="Times New Roman" w:cs="Times New Roman"/>
          <w:color w:val="000000" w:themeColor="text1"/>
          <w:sz w:val="24"/>
          <w:szCs w:val="24"/>
        </w:rPr>
        <w:instrText>ADDIN CSL_CITATION {"citationItems":[{"id":"ITEM-1","itemData":{"DOI":"10.1021/acs.iecr.7b00754","ISSN":"15205045","abstract":"The objective of this work is to study the thermal degradation kinetic parameters of polypropylene (PP) and compare them to those of a polypropylene/starch blend (PP/S) (70/30 (wt %)), taking into account the effect of photodegradation caused by natural weathering. Samples were taken from tree shelters exposed to four years of natural weathering and compared to the unexposed material stored under laboratory conditions. Nonisothermal (dynamic) thermogravimetery was used with five different heating rates (β): 5, 10, 15, 20, and 25 °C min-1. Several analytical model-free methods were used to determine the kinetic parameters, including the Friedman, Coats and Redfern, Kissinger, and Flynn-Wall- Ozawa (FWO) methods. The model-fitting method of Criado was also applied to determine the optimal mechanism of degradation that the polymers followed. In addition, an analytical solution was developed to mathematically model the experimental data and estimate the kinetic parameters. The analytical approach was developed based on each degradation stage of the PP/S blend, considering starch degradation at first, followed by PP. A change in the degradation mechanism could be deduced because of the effect of weathering and starch addition, which affected the kinetic parameters of the degradation reaction. The thermal stability of the materials was also affected, because of the natural weathering and addition of starch, which, on the other hand, affected the kinetic parameters of the degradation reaction.","author":[{"dropping-particle":"","family":"Al-Salem","given":"S. M.","non-dropping-particle":"","parse-names":false,"suffix":""},{"dropping-particle":"","family":"Sharma","given":"Brajendra K.","non-dropping-particle":"","parse-names":false,"suffix":""},{"dropping-particle":"","family":"Khan","given":"A. R.","non-dropping-particle":"","parse-names":false,"suffix":""},{"dropping-particle":"","family":"Arnold","given":"J. C.","non-dropping-particle":"","parse-names":false,"suffix":""},{"dropping-particle":"","family":"Alston","given":"S. M.","non-dropping-particle":"","parse-names":false,"suffix":""},{"dropping-particle":"","family":"Chandrasekaran","given":"Sriraam R.","non-dropping-particle":"","parse-names":false,"suffix":""},{"dropping-particle":"","family":"Al-Dhafeeri","given":"A. T.","non-dropping-particle":"","parse-names":false,"suffix":""}],"container-title":"Industrial and Engineering Chemistry Research","id":"ITEM-1","issue":"18","issued":{"date-parts":[["2017"]]},"page":"5210-5220","title":"Thermal degradation kinetics of virgin polypropylene (PP) and PP with starch blends exposed to natural weathering","type":"article-journal","volume":"56"},"uris":["http://www.mendeley.com/documents/?uuid=c59d7361-d5e2-4327-8e3e-daae37fbb827"]}],"mendeley":{"formattedCitation":"(Al-Salem et al. 2017)","plainTextFormattedCitation":"(Al-Salem et al. 2017)","previouslyFormattedCitation":"(Al-Salem et al., 2017)"},"properties":{"noteIndex":0},"schema":"https://github.com/citation-style-language/schema/raw/master/csl-citation.json"}</w:instrText>
      </w:r>
      <w:r w:rsidR="004940C9">
        <w:rPr>
          <w:rFonts w:ascii="Times New Roman" w:eastAsia="宋体" w:hAnsi="Times New Roman" w:cs="Times New Roman"/>
          <w:color w:val="000000" w:themeColor="text1"/>
          <w:sz w:val="24"/>
          <w:szCs w:val="24"/>
        </w:rPr>
        <w:fldChar w:fldCharType="separate"/>
      </w:r>
      <w:r w:rsidR="00E35A76" w:rsidRPr="00E35A76">
        <w:rPr>
          <w:rFonts w:ascii="Times New Roman" w:eastAsia="宋体" w:hAnsi="Times New Roman" w:cs="Times New Roman"/>
          <w:noProof/>
          <w:color w:val="000000" w:themeColor="text1"/>
          <w:sz w:val="24"/>
          <w:szCs w:val="24"/>
        </w:rPr>
        <w:t>(Al-Salem et al. 2017)</w:t>
      </w:r>
      <w:r w:rsidR="004940C9">
        <w:rPr>
          <w:rFonts w:ascii="Times New Roman" w:eastAsia="宋体" w:hAnsi="Times New Roman" w:cs="Times New Roman"/>
          <w:color w:val="000000" w:themeColor="text1"/>
          <w:sz w:val="24"/>
          <w:szCs w:val="24"/>
        </w:rPr>
        <w:fldChar w:fldCharType="end"/>
      </w:r>
      <w:r>
        <w:rPr>
          <w:rFonts w:ascii="Times New Roman" w:eastAsia="宋体" w:hAnsi="Times New Roman" w:cs="Times New Roman"/>
          <w:color w:val="000000" w:themeColor="text1"/>
          <w:sz w:val="24"/>
          <w:szCs w:val="24"/>
        </w:rPr>
        <w:t>.</w:t>
      </w:r>
      <w:r w:rsidR="00AC35BF" w:rsidRPr="00AC35BF">
        <w:t xml:space="preserve"> </w:t>
      </w:r>
      <w:r w:rsidR="00AC35BF" w:rsidRPr="00AC35BF">
        <w:rPr>
          <w:rFonts w:ascii="Times New Roman" w:eastAsia="宋体" w:hAnsi="Times New Roman" w:cs="Times New Roman"/>
          <w:b/>
          <w:bCs/>
          <w:color w:val="000000" w:themeColor="text1"/>
          <w:sz w:val="24"/>
          <w:szCs w:val="24"/>
        </w:rPr>
        <w:t>Fig. S2b</w:t>
      </w:r>
      <w:r w:rsidR="00AC35BF" w:rsidRPr="00AC35BF">
        <w:rPr>
          <w:rFonts w:ascii="Times New Roman" w:eastAsia="宋体" w:hAnsi="Times New Roman" w:cs="Times New Roman"/>
          <w:color w:val="000000" w:themeColor="text1"/>
          <w:sz w:val="24"/>
          <w:szCs w:val="24"/>
        </w:rPr>
        <w:t xml:space="preserve"> shows the infrared spectrum of BOPP/CaCO</w:t>
      </w:r>
      <w:r w:rsidR="00AC35BF" w:rsidRPr="00AC35BF">
        <w:rPr>
          <w:rFonts w:ascii="Times New Roman" w:eastAsia="宋体" w:hAnsi="Times New Roman" w:cs="Times New Roman"/>
          <w:color w:val="000000" w:themeColor="text1"/>
          <w:sz w:val="24"/>
          <w:szCs w:val="24"/>
          <w:vertAlign w:val="subscript"/>
        </w:rPr>
        <w:t xml:space="preserve">3 </w:t>
      </w:r>
      <w:r w:rsidR="00AC35BF" w:rsidRPr="00AC35BF">
        <w:rPr>
          <w:rFonts w:ascii="Times New Roman" w:eastAsia="宋体" w:hAnsi="Times New Roman" w:cs="Times New Roman"/>
          <w:color w:val="000000" w:themeColor="text1"/>
          <w:sz w:val="24"/>
          <w:szCs w:val="24"/>
        </w:rPr>
        <w:t>tape with two maximum degradation temperatures of 482 and 782 °C.</w:t>
      </w:r>
    </w:p>
    <w:p w14:paraId="669F6C61" w14:textId="3A882596" w:rsidR="0065450A" w:rsidRDefault="0065450A" w:rsidP="00B43F58">
      <w:pPr>
        <w:spacing w:before="100" w:beforeAutospacing="1" w:after="100" w:afterAutospacing="1"/>
      </w:pPr>
      <w:r>
        <w:rPr>
          <w:rFonts w:hint="eastAsia"/>
          <w:noProof/>
        </w:rPr>
        <w:drawing>
          <wp:inline distT="0" distB="0" distL="0" distR="0" wp14:anchorId="3193F9DA" wp14:editId="6C753E74">
            <wp:extent cx="2216150" cy="193353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rotWithShape="1">
                    <a:blip r:embed="rId9" cstate="print">
                      <a:extLst>
                        <a:ext uri="{28A0092B-C50C-407E-A947-70E740481C1C}">
                          <a14:useLocalDpi xmlns:a14="http://schemas.microsoft.com/office/drawing/2010/main" val="0"/>
                        </a:ext>
                      </a:extLst>
                    </a:blip>
                    <a:srcRect l="18402" t="3994" r="23835" b="6413"/>
                    <a:stretch/>
                  </pic:blipFill>
                  <pic:spPr bwMode="auto">
                    <a:xfrm>
                      <a:off x="0" y="0"/>
                      <a:ext cx="2291451" cy="1999233"/>
                    </a:xfrm>
                    <a:prstGeom prst="rect">
                      <a:avLst/>
                    </a:prstGeom>
                    <a:ln>
                      <a:noFill/>
                    </a:ln>
                    <a:extLst>
                      <a:ext uri="{53640926-AAD7-44D8-BBD7-CCE9431645EC}">
                        <a14:shadowObscured xmlns:a14="http://schemas.microsoft.com/office/drawing/2010/main"/>
                      </a:ext>
                    </a:extLst>
                  </pic:spPr>
                </pic:pic>
              </a:graphicData>
            </a:graphic>
          </wp:inline>
        </w:drawing>
      </w:r>
      <w:r>
        <w:rPr>
          <w:rFonts w:hint="eastAsia"/>
          <w:noProof/>
        </w:rPr>
        <w:drawing>
          <wp:inline distT="0" distB="0" distL="0" distR="0" wp14:anchorId="786EB0CB" wp14:editId="286C83D1">
            <wp:extent cx="2406650" cy="1941267"/>
            <wp:effectExtent l="0" t="0" r="0"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rotWithShape="1">
                    <a:blip r:embed="rId10" cstate="print">
                      <a:extLst>
                        <a:ext uri="{28A0092B-C50C-407E-A947-70E740481C1C}">
                          <a14:useLocalDpi xmlns:a14="http://schemas.microsoft.com/office/drawing/2010/main" val="0"/>
                        </a:ext>
                      </a:extLst>
                    </a:blip>
                    <a:srcRect l="14655" t="3614" r="21283" b="4521"/>
                    <a:stretch/>
                  </pic:blipFill>
                  <pic:spPr bwMode="auto">
                    <a:xfrm>
                      <a:off x="0" y="0"/>
                      <a:ext cx="2441487" cy="1969367"/>
                    </a:xfrm>
                    <a:prstGeom prst="rect">
                      <a:avLst/>
                    </a:prstGeom>
                    <a:ln>
                      <a:noFill/>
                    </a:ln>
                    <a:extLst>
                      <a:ext uri="{53640926-AAD7-44D8-BBD7-CCE9431645EC}">
                        <a14:shadowObscured xmlns:a14="http://schemas.microsoft.com/office/drawing/2010/main"/>
                      </a:ext>
                    </a:extLst>
                  </pic:spPr>
                </pic:pic>
              </a:graphicData>
            </a:graphic>
          </wp:inline>
        </w:drawing>
      </w:r>
    </w:p>
    <w:p w14:paraId="22021296" w14:textId="0CF831D6" w:rsidR="0065450A" w:rsidRDefault="0065450A" w:rsidP="00FD7065">
      <w:pPr>
        <w:spacing w:before="100" w:beforeAutospacing="1" w:after="100" w:afterAutospacing="1"/>
        <w:jc w:val="center"/>
      </w:pPr>
      <w:r>
        <w:rPr>
          <w:rFonts w:hint="eastAsia"/>
          <w:noProof/>
        </w:rPr>
        <w:drawing>
          <wp:inline distT="0" distB="0" distL="0" distR="0" wp14:anchorId="335AE143" wp14:editId="5BAC86F4">
            <wp:extent cx="2540000" cy="2220956"/>
            <wp:effectExtent l="0" t="0" r="0" b="825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rotWithShape="1">
                    <a:blip r:embed="rId11" cstate="print">
                      <a:extLst>
                        <a:ext uri="{28A0092B-C50C-407E-A947-70E740481C1C}">
                          <a14:useLocalDpi xmlns:a14="http://schemas.microsoft.com/office/drawing/2010/main" val="0"/>
                        </a:ext>
                      </a:extLst>
                    </a:blip>
                    <a:srcRect l="18507" t="5134" r="23636" b="4929"/>
                    <a:stretch/>
                  </pic:blipFill>
                  <pic:spPr bwMode="auto">
                    <a:xfrm>
                      <a:off x="0" y="0"/>
                      <a:ext cx="2542857" cy="2223454"/>
                    </a:xfrm>
                    <a:prstGeom prst="rect">
                      <a:avLst/>
                    </a:prstGeom>
                    <a:ln>
                      <a:noFill/>
                    </a:ln>
                    <a:extLst>
                      <a:ext uri="{53640926-AAD7-44D8-BBD7-CCE9431645EC}">
                        <a14:shadowObscured xmlns:a14="http://schemas.microsoft.com/office/drawing/2010/main"/>
                      </a:ext>
                    </a:extLst>
                  </pic:spPr>
                </pic:pic>
              </a:graphicData>
            </a:graphic>
          </wp:inline>
        </w:drawing>
      </w:r>
    </w:p>
    <w:p w14:paraId="2765B25B" w14:textId="33E1CA3E" w:rsidR="005E7B99" w:rsidRDefault="00FD7065" w:rsidP="00E34BB8">
      <w:pPr>
        <w:spacing w:before="100" w:beforeAutospacing="1" w:after="100" w:afterAutospacing="1" w:line="480" w:lineRule="auto"/>
        <w:rPr>
          <w:rFonts w:ascii="Times New Roman" w:eastAsia="宋体" w:hAnsi="Times New Roman" w:cs="Times New Roman"/>
          <w:sz w:val="24"/>
          <w:szCs w:val="24"/>
        </w:rPr>
      </w:pPr>
      <w:r>
        <w:rPr>
          <w:rFonts w:ascii="Times New Roman" w:eastAsia="宋体" w:hAnsi="Times New Roman" w:cs="Times New Roman" w:hint="eastAsia"/>
          <w:b/>
          <w:bCs/>
          <w:sz w:val="24"/>
          <w:szCs w:val="24"/>
        </w:rPr>
        <w:t>Fig</w:t>
      </w:r>
      <w:r w:rsidR="00422513">
        <w:rPr>
          <w:rFonts w:ascii="Times New Roman" w:eastAsia="宋体" w:hAnsi="Times New Roman" w:cs="Times New Roman"/>
          <w:b/>
          <w:bCs/>
          <w:sz w:val="24"/>
          <w:szCs w:val="24"/>
        </w:rPr>
        <w:t>.</w:t>
      </w:r>
      <w:r w:rsidR="00362E1F">
        <w:rPr>
          <w:rFonts w:ascii="Times New Roman" w:eastAsia="宋体" w:hAnsi="Times New Roman" w:cs="Times New Roman"/>
          <w:b/>
          <w:bCs/>
          <w:sz w:val="24"/>
          <w:szCs w:val="24"/>
        </w:rPr>
        <w:t xml:space="preserve"> </w:t>
      </w:r>
      <w:r>
        <w:rPr>
          <w:rFonts w:ascii="Times New Roman" w:eastAsia="宋体" w:hAnsi="Times New Roman" w:cs="Times New Roman" w:hint="eastAsia"/>
          <w:b/>
          <w:bCs/>
          <w:sz w:val="24"/>
          <w:szCs w:val="24"/>
        </w:rPr>
        <w:t>S</w:t>
      </w:r>
      <w:r>
        <w:rPr>
          <w:rFonts w:ascii="Times New Roman" w:eastAsia="宋体" w:hAnsi="Times New Roman" w:cs="Times New Roman"/>
          <w:b/>
          <w:bCs/>
          <w:sz w:val="24"/>
          <w:szCs w:val="24"/>
        </w:rPr>
        <w:t>2</w:t>
      </w:r>
      <w:bookmarkStart w:id="12" w:name="_Hlk91778886"/>
      <w:r w:rsidR="00A67DF7" w:rsidRPr="00A67DF7">
        <w:rPr>
          <w:rFonts w:ascii="Times New Roman" w:hAnsi="Times New Roman" w:cs="Times New Roman"/>
          <w:b/>
          <w:bCs/>
          <w:sz w:val="24"/>
          <w:szCs w:val="24"/>
        </w:rPr>
        <w:t xml:space="preserve"> </w:t>
      </w:r>
      <w:r w:rsidR="004C5A79" w:rsidRPr="00FD7065">
        <w:rPr>
          <w:rFonts w:ascii="Times New Roman" w:eastAsia="宋体" w:hAnsi="Times New Roman" w:cs="Times New Roman"/>
          <w:sz w:val="24"/>
          <w:szCs w:val="24"/>
        </w:rPr>
        <w:t>(a), (b) and (c) are the infrared peaks of the maximum degradation peaks of BOPP tape, BOPP/CaCO</w:t>
      </w:r>
      <w:r w:rsidR="004C5A79" w:rsidRPr="00D36B6B">
        <w:rPr>
          <w:rFonts w:ascii="Times New Roman" w:eastAsia="宋体" w:hAnsi="Times New Roman" w:cs="Times New Roman"/>
          <w:sz w:val="24"/>
          <w:szCs w:val="24"/>
          <w:vertAlign w:val="subscript"/>
        </w:rPr>
        <w:t>3</w:t>
      </w:r>
      <w:r w:rsidR="004C5A79" w:rsidRPr="00FD7065">
        <w:rPr>
          <w:rFonts w:ascii="Times New Roman" w:eastAsia="宋体" w:hAnsi="Times New Roman" w:cs="Times New Roman"/>
          <w:sz w:val="24"/>
          <w:szCs w:val="24"/>
        </w:rPr>
        <w:t xml:space="preserve"> tape and </w:t>
      </w:r>
      <w:r w:rsidR="005A1C8C">
        <w:rPr>
          <w:rFonts w:ascii="Times New Roman" w:eastAsia="宋体" w:hAnsi="Times New Roman" w:cs="Times New Roman"/>
          <w:sz w:val="24"/>
          <w:szCs w:val="24"/>
        </w:rPr>
        <w:t>P</w:t>
      </w:r>
      <w:r w:rsidR="004C5A79" w:rsidRPr="00FD7065">
        <w:rPr>
          <w:rFonts w:ascii="Times New Roman" w:eastAsia="宋体" w:hAnsi="Times New Roman" w:cs="Times New Roman"/>
          <w:sz w:val="24"/>
          <w:szCs w:val="24"/>
        </w:rPr>
        <w:t>lant tape</w:t>
      </w:r>
      <w:bookmarkEnd w:id="12"/>
    </w:p>
    <w:p w14:paraId="203F9D1D" w14:textId="0B19D4AD" w:rsidR="007205D0" w:rsidRDefault="005E7B99" w:rsidP="000A296A">
      <w:pPr>
        <w:spacing w:line="480" w:lineRule="auto"/>
        <w:ind w:firstLineChars="100" w:firstLine="240"/>
        <w:rPr>
          <w:rFonts w:ascii="Times New Roman" w:eastAsia="宋体" w:hAnsi="Times New Roman" w:cs="Times New Roman"/>
          <w:color w:val="000000" w:themeColor="text1"/>
          <w:sz w:val="24"/>
          <w:szCs w:val="24"/>
        </w:rPr>
      </w:pPr>
      <w:r>
        <w:rPr>
          <w:rFonts w:ascii="Times New Roman" w:eastAsia="宋体" w:hAnsi="Times New Roman" w:cs="Times New Roman"/>
          <w:sz w:val="24"/>
          <w:szCs w:val="24"/>
        </w:rPr>
        <w:lastRenderedPageBreak/>
        <w:t>At 478</w:t>
      </w:r>
      <w:r w:rsidRPr="00AC35BF">
        <w:rPr>
          <w:rFonts w:ascii="Times New Roman" w:eastAsia="宋体" w:hAnsi="Times New Roman" w:cs="Times New Roman"/>
          <w:color w:val="000000" w:themeColor="text1"/>
          <w:sz w:val="24"/>
          <w:szCs w:val="24"/>
        </w:rPr>
        <w:t xml:space="preserve"> </w:t>
      </w:r>
      <w:bookmarkStart w:id="13" w:name="_Hlk92974168"/>
      <w:r w:rsidRPr="00AC35BF">
        <w:rPr>
          <w:rFonts w:ascii="Times New Roman" w:eastAsia="宋体" w:hAnsi="Times New Roman" w:cs="Times New Roman"/>
          <w:color w:val="000000" w:themeColor="text1"/>
          <w:sz w:val="24"/>
          <w:szCs w:val="24"/>
        </w:rPr>
        <w:t>°C</w:t>
      </w:r>
      <w:bookmarkEnd w:id="13"/>
      <w:r>
        <w:rPr>
          <w:rFonts w:ascii="Times New Roman" w:eastAsia="宋体" w:hAnsi="Times New Roman" w:cs="Times New Roman"/>
          <w:color w:val="000000" w:themeColor="text1"/>
          <w:sz w:val="24"/>
          <w:szCs w:val="24"/>
        </w:rPr>
        <w:t>,</w:t>
      </w:r>
      <w:r w:rsidRPr="005E7B99">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t</w:t>
      </w:r>
      <w:r w:rsidRPr="005E7B99">
        <w:rPr>
          <w:rFonts w:ascii="Times New Roman" w:eastAsia="宋体" w:hAnsi="Times New Roman" w:cs="Times New Roman"/>
          <w:sz w:val="24"/>
          <w:szCs w:val="24"/>
        </w:rPr>
        <w:t>he degradation product of BOPP/CaCO</w:t>
      </w:r>
      <w:r w:rsidRPr="005E7B99">
        <w:rPr>
          <w:rFonts w:ascii="Times New Roman" w:eastAsia="宋体" w:hAnsi="Times New Roman" w:cs="Times New Roman"/>
          <w:sz w:val="24"/>
          <w:szCs w:val="24"/>
          <w:vertAlign w:val="subscript"/>
        </w:rPr>
        <w:t>3</w:t>
      </w:r>
      <w:r w:rsidRPr="005E7B99">
        <w:rPr>
          <w:rFonts w:ascii="Times New Roman" w:eastAsia="宋体" w:hAnsi="Times New Roman" w:cs="Times New Roman"/>
          <w:sz w:val="24"/>
          <w:szCs w:val="24"/>
        </w:rPr>
        <w:t xml:space="preserve"> tape was almost the same as BOPP tape degradation, While the difference was calcium oxide in the product after BOPP/CaCO</w:t>
      </w:r>
      <w:r w:rsidRPr="005E7B99">
        <w:rPr>
          <w:rFonts w:ascii="Times New Roman" w:eastAsia="宋体" w:hAnsi="Times New Roman" w:cs="Times New Roman"/>
          <w:sz w:val="24"/>
          <w:szCs w:val="24"/>
          <w:vertAlign w:val="subscript"/>
        </w:rPr>
        <w:t>3</w:t>
      </w:r>
      <w:r w:rsidRPr="005E7B99">
        <w:rPr>
          <w:rFonts w:ascii="Times New Roman" w:eastAsia="宋体" w:hAnsi="Times New Roman" w:cs="Times New Roman"/>
          <w:sz w:val="24"/>
          <w:szCs w:val="24"/>
        </w:rPr>
        <w:t xml:space="preserve"> tape degradation.</w:t>
      </w:r>
      <w:r w:rsidR="008B0508" w:rsidRPr="008B0508">
        <w:rPr>
          <w:rFonts w:ascii="Times New Roman" w:eastAsia="宋体" w:hAnsi="Times New Roman" w:cs="Times New Roman"/>
          <w:color w:val="000000" w:themeColor="text1"/>
          <w:sz w:val="24"/>
          <w:szCs w:val="24"/>
        </w:rPr>
        <w:t xml:space="preserve"> </w:t>
      </w:r>
      <w:r w:rsidR="008B0508" w:rsidRPr="00D8693E">
        <w:rPr>
          <w:rFonts w:ascii="Times New Roman" w:eastAsia="宋体" w:hAnsi="Times New Roman" w:cs="Times New Roman"/>
          <w:color w:val="000000" w:themeColor="text1"/>
          <w:sz w:val="24"/>
          <w:szCs w:val="24"/>
        </w:rPr>
        <w:t>The characteristic peaks near 2358 and 666cm</w:t>
      </w:r>
      <w:r w:rsidR="008B0508" w:rsidRPr="0069324F">
        <w:rPr>
          <w:rFonts w:ascii="Times New Roman" w:eastAsia="宋体" w:hAnsi="Times New Roman" w:cs="Times New Roman"/>
          <w:color w:val="000000" w:themeColor="text1"/>
          <w:sz w:val="24"/>
          <w:szCs w:val="24"/>
          <w:vertAlign w:val="superscript"/>
        </w:rPr>
        <w:t>-1</w:t>
      </w:r>
      <w:r w:rsidR="008B0508">
        <w:rPr>
          <w:rFonts w:ascii="Times New Roman" w:eastAsia="宋体" w:hAnsi="Times New Roman" w:cs="Times New Roman"/>
          <w:color w:val="000000" w:themeColor="text1"/>
          <w:sz w:val="24"/>
          <w:szCs w:val="24"/>
        </w:rPr>
        <w:t>,</w:t>
      </w:r>
      <w:r w:rsidR="008B0508" w:rsidRPr="00D8693E">
        <w:rPr>
          <w:rFonts w:ascii="Times New Roman" w:eastAsia="宋体" w:hAnsi="Times New Roman" w:cs="Times New Roman"/>
          <w:color w:val="000000" w:themeColor="text1"/>
          <w:sz w:val="24"/>
          <w:szCs w:val="24"/>
        </w:rPr>
        <w:t xml:space="preserve"> due to the formation of CO</w:t>
      </w:r>
      <w:r w:rsidR="008B0508" w:rsidRPr="00C37F31">
        <w:rPr>
          <w:rFonts w:ascii="Times New Roman" w:eastAsia="宋体" w:hAnsi="Times New Roman" w:cs="Times New Roman"/>
          <w:color w:val="000000" w:themeColor="text1"/>
          <w:sz w:val="24"/>
          <w:szCs w:val="24"/>
          <w:vertAlign w:val="subscript"/>
        </w:rPr>
        <w:t>2</w:t>
      </w:r>
      <w:r w:rsidR="008B0508" w:rsidRPr="00D8693E">
        <w:rPr>
          <w:rFonts w:ascii="Times New Roman" w:eastAsia="宋体" w:hAnsi="Times New Roman" w:cs="Times New Roman"/>
          <w:color w:val="000000" w:themeColor="text1"/>
          <w:sz w:val="24"/>
          <w:szCs w:val="24"/>
        </w:rPr>
        <w:t xml:space="preserve"> which was the decomposition of </w:t>
      </w:r>
      <w:r w:rsidR="008B0508">
        <w:rPr>
          <w:rFonts w:ascii="Times New Roman" w:eastAsia="宋体" w:hAnsi="Times New Roman" w:cs="Times New Roman"/>
          <w:color w:val="000000" w:themeColor="text1"/>
          <w:sz w:val="24"/>
          <w:szCs w:val="24"/>
        </w:rPr>
        <w:t>CaCO</w:t>
      </w:r>
      <w:r w:rsidR="008B0508" w:rsidRPr="00C37F31">
        <w:rPr>
          <w:rFonts w:ascii="Times New Roman" w:eastAsia="宋体" w:hAnsi="Times New Roman" w:cs="Times New Roman"/>
          <w:color w:val="000000" w:themeColor="text1"/>
          <w:sz w:val="24"/>
          <w:szCs w:val="24"/>
          <w:vertAlign w:val="subscript"/>
        </w:rPr>
        <w:t>3</w:t>
      </w:r>
      <w:r w:rsidR="004940C9">
        <w:rPr>
          <w:rFonts w:ascii="Times New Roman" w:eastAsia="宋体" w:hAnsi="Times New Roman" w:cs="Times New Roman"/>
          <w:sz w:val="24"/>
          <w:szCs w:val="24"/>
        </w:rPr>
        <w:fldChar w:fldCharType="begin" w:fldLock="1"/>
      </w:r>
      <w:r w:rsidR="00E35A76">
        <w:rPr>
          <w:rFonts w:ascii="Times New Roman" w:eastAsia="宋体" w:hAnsi="Times New Roman" w:cs="Times New Roman"/>
          <w:sz w:val="24"/>
          <w:szCs w:val="24"/>
        </w:rPr>
        <w:instrText>ADDIN CSL_CITATION {"citationItems":[{"id":"ITEM-1","itemData":{"DOI":"10.1016/j.ijbiomac.2019.08.103","ISSN":"18790003","PMID":"31419559","abstract":"Processes for nanoparticle synthesis often use toxic solvents under aggressive conditions. A greener alternative is the burning of self-organized alginate systems. We followed the influence of the CaCl2 concentrations during gelation of sodium alginate and the heating rate on the synthesis of nanoparticles by the combustion method using TGA as a reactor vessel. Samples were collected after each main process of mass loss and characterized using the Scanning Electron Microscopy, Infrared Spectroscopy, and X-ray Diffraction. Samples treated at 50 °C·min−1 presented porous structures at temperatures more than 500 °C lower than the treatments at 10 °C·min−1. All calcium alginate samples presented changing from a predominantly amorphous to crystalline structures such as Ca(OH)2, CaCO3 in the calcite phase and CaO as a function of the temperature, while sodium alginate produced mainly Na2CO3, NaOH and NaO. We observed two main correlations: 1) between the porosity and the heating rate, and 2) between the formation of crystalline structure in intermediate temperatures and the CaCl2 concentration in the gelation step.","author":[{"dropping-particle":"","family":"Santos Araújo","given":"Patrícia","non-dropping-particle":"dos","parse-names":false,"suffix":""},{"dropping-particle":"","family":"Belini","given":"Gabriela Bertoni","non-dropping-particle":"","parse-names":false,"suffix":""},{"dropping-particle":"","family":"Mambrini","given":"Giovanni Pimenta","non-dropping-particle":"","parse-names":false,"suffix":""},{"dropping-particle":"","family":"Yamaji","given":"Fabio Minoru","non-dropping-particle":"","parse-names":false,"suffix":""},{"dropping-particle":"","family":"Waldman","given":"Walter Ruggeri","non-dropping-particle":"","parse-names":false,"suffix":""}],"container-title":"International Journal of Biological Macromolecules","id":"ITEM-1","issued":{"date-parts":[["2019"]]},"page":"749-760","publisher":"Elsevier B.V.","title":"Thermal degradation of calcium and sodium alginate: A greener synthesis towards calcium oxide micro/nanoparticles","type":"article-journal","volume":"140"},"uris":["http://www.mendeley.com/documents/?uuid=c0c93290-0c0d-4163-92f5-08a8431819e3"]}],"mendeley":{"formattedCitation":"(dos Santos Araújo et al. 2019)","plainTextFormattedCitation":"(dos Santos Araújo et al. 2019)","previouslyFormattedCitation":"(dos Santos Araújo et al., 2019)"},"properties":{"noteIndex":0},"schema":"https://github.com/citation-style-language/schema/raw/master/csl-citation.json"}</w:instrText>
      </w:r>
      <w:r w:rsidR="004940C9">
        <w:rPr>
          <w:rFonts w:ascii="Times New Roman" w:eastAsia="宋体" w:hAnsi="Times New Roman" w:cs="Times New Roman"/>
          <w:sz w:val="24"/>
          <w:szCs w:val="24"/>
        </w:rPr>
        <w:fldChar w:fldCharType="separate"/>
      </w:r>
      <w:r w:rsidR="00E35A76" w:rsidRPr="00E35A76">
        <w:rPr>
          <w:rFonts w:ascii="Times New Roman" w:eastAsia="宋体" w:hAnsi="Times New Roman" w:cs="Times New Roman"/>
          <w:noProof/>
          <w:sz w:val="24"/>
          <w:szCs w:val="24"/>
        </w:rPr>
        <w:t>(dos Santos Araújo et al. 2019)</w:t>
      </w:r>
      <w:r w:rsidR="004940C9">
        <w:rPr>
          <w:rFonts w:ascii="Times New Roman" w:eastAsia="宋体" w:hAnsi="Times New Roman" w:cs="Times New Roman"/>
          <w:sz w:val="24"/>
          <w:szCs w:val="24"/>
        </w:rPr>
        <w:fldChar w:fldCharType="end"/>
      </w:r>
      <w:r w:rsidR="008B0508">
        <w:rPr>
          <w:rFonts w:ascii="Times New Roman" w:eastAsia="宋体" w:hAnsi="Times New Roman" w:cs="Times New Roman"/>
          <w:sz w:val="24"/>
          <w:szCs w:val="24"/>
        </w:rPr>
        <w:t>.</w:t>
      </w:r>
      <w:r w:rsidR="007205D0" w:rsidRPr="007205D0">
        <w:rPr>
          <w:rFonts w:hint="eastAsia"/>
        </w:rPr>
        <w:t xml:space="preserve"> </w:t>
      </w:r>
      <w:r w:rsidR="007205D0" w:rsidRPr="007205D0">
        <w:rPr>
          <w:rFonts w:ascii="Times New Roman" w:eastAsia="宋体" w:hAnsi="Times New Roman" w:cs="Times New Roman" w:hint="eastAsia"/>
          <w:sz w:val="24"/>
          <w:szCs w:val="24"/>
        </w:rPr>
        <w:t>When the maximum degradation temperature of plant tape was 350</w:t>
      </w:r>
      <w:r w:rsidR="007205D0" w:rsidRPr="00AC35BF">
        <w:rPr>
          <w:rFonts w:ascii="Times New Roman" w:eastAsia="宋体" w:hAnsi="Times New Roman" w:cs="Times New Roman"/>
          <w:color w:val="000000" w:themeColor="text1"/>
          <w:sz w:val="24"/>
          <w:szCs w:val="24"/>
        </w:rPr>
        <w:t>°C</w:t>
      </w:r>
      <w:r w:rsidR="007205D0" w:rsidRPr="007205D0">
        <w:rPr>
          <w:rFonts w:ascii="Times New Roman" w:eastAsia="宋体" w:hAnsi="Times New Roman" w:cs="Times New Roman" w:hint="eastAsia"/>
          <w:sz w:val="24"/>
          <w:szCs w:val="24"/>
        </w:rPr>
        <w:t xml:space="preserve">, the infrared spectrum was shown in </w:t>
      </w:r>
      <w:r w:rsidR="007205D0" w:rsidRPr="007205D0">
        <w:rPr>
          <w:rFonts w:ascii="Times New Roman" w:eastAsia="宋体" w:hAnsi="Times New Roman" w:cs="Times New Roman" w:hint="eastAsia"/>
          <w:b/>
          <w:bCs/>
          <w:sz w:val="24"/>
          <w:szCs w:val="24"/>
        </w:rPr>
        <w:t>Fig. S2c</w:t>
      </w:r>
      <w:r w:rsidR="007205D0" w:rsidRPr="007205D0">
        <w:rPr>
          <w:rFonts w:ascii="Times New Roman" w:eastAsia="宋体" w:hAnsi="Times New Roman" w:cs="Times New Roman"/>
          <w:color w:val="000000" w:themeColor="text1"/>
          <w:sz w:val="24"/>
          <w:szCs w:val="24"/>
        </w:rPr>
        <w:t xml:space="preserve"> </w:t>
      </w:r>
      <w:r w:rsidR="007205D0">
        <w:rPr>
          <w:rFonts w:ascii="Times New Roman" w:eastAsia="宋体" w:hAnsi="Times New Roman" w:cs="Times New Roman"/>
          <w:color w:val="000000" w:themeColor="text1"/>
          <w:sz w:val="24"/>
          <w:szCs w:val="24"/>
        </w:rPr>
        <w:t>T</w:t>
      </w:r>
      <w:r w:rsidR="007205D0" w:rsidRPr="005E6999">
        <w:rPr>
          <w:rFonts w:ascii="Times New Roman" w:eastAsia="宋体" w:hAnsi="Times New Roman" w:cs="Times New Roman" w:hint="eastAsia"/>
          <w:color w:val="000000" w:themeColor="text1"/>
          <w:sz w:val="24"/>
          <w:szCs w:val="24"/>
        </w:rPr>
        <w:t xml:space="preserve">he </w:t>
      </w:r>
      <w:r w:rsidR="007205D0">
        <w:rPr>
          <w:rFonts w:ascii="Times New Roman" w:eastAsia="宋体" w:hAnsi="Times New Roman" w:cs="Times New Roman"/>
          <w:color w:val="000000" w:themeColor="text1"/>
          <w:sz w:val="24"/>
          <w:szCs w:val="24"/>
        </w:rPr>
        <w:t xml:space="preserve">-OH </w:t>
      </w:r>
      <w:r w:rsidR="007205D0" w:rsidRPr="005E6999">
        <w:rPr>
          <w:rFonts w:ascii="Times New Roman" w:eastAsia="宋体" w:hAnsi="Times New Roman" w:cs="Times New Roman" w:hint="eastAsia"/>
          <w:color w:val="000000" w:themeColor="text1"/>
          <w:sz w:val="24"/>
          <w:szCs w:val="24"/>
        </w:rPr>
        <w:t xml:space="preserve">characteristics peaks </w:t>
      </w:r>
      <w:r w:rsidR="007205D0">
        <w:rPr>
          <w:rFonts w:ascii="Times New Roman" w:eastAsia="宋体" w:hAnsi="Times New Roman" w:cs="Times New Roman"/>
          <w:color w:val="000000" w:themeColor="text1"/>
          <w:sz w:val="24"/>
          <w:szCs w:val="24"/>
        </w:rPr>
        <w:t xml:space="preserve">at </w:t>
      </w:r>
      <w:r w:rsidR="007205D0" w:rsidRPr="005E6999">
        <w:rPr>
          <w:rFonts w:ascii="Times New Roman" w:eastAsia="宋体" w:hAnsi="Times New Roman" w:cs="Times New Roman" w:hint="eastAsia"/>
          <w:color w:val="000000" w:themeColor="text1"/>
          <w:sz w:val="24"/>
          <w:szCs w:val="24"/>
        </w:rPr>
        <w:t>3730 cm</w:t>
      </w:r>
      <w:r w:rsidR="007205D0" w:rsidRPr="005E6999">
        <w:rPr>
          <w:rFonts w:ascii="Times New Roman" w:eastAsia="宋体" w:hAnsi="Times New Roman" w:cs="Times New Roman" w:hint="eastAsia"/>
          <w:color w:val="000000" w:themeColor="text1"/>
          <w:sz w:val="24"/>
          <w:szCs w:val="24"/>
          <w:vertAlign w:val="superscript"/>
        </w:rPr>
        <w:t>-</w:t>
      </w:r>
      <w:r w:rsidR="007205D0" w:rsidRPr="007D160A">
        <w:rPr>
          <w:rFonts w:ascii="Times New Roman" w:eastAsia="宋体" w:hAnsi="Times New Roman" w:cs="Times New Roman" w:hint="eastAsia"/>
          <w:color w:val="000000" w:themeColor="text1"/>
          <w:sz w:val="24"/>
          <w:szCs w:val="24"/>
          <w:vertAlign w:val="superscript"/>
        </w:rPr>
        <w:t>1</w:t>
      </w:r>
      <w:r w:rsidR="007205D0" w:rsidRPr="007D160A">
        <w:rPr>
          <w:rFonts w:ascii="Times New Roman" w:eastAsia="宋体" w:hAnsi="Times New Roman" w:cs="Times New Roman"/>
          <w:color w:val="000000" w:themeColor="text1"/>
          <w:sz w:val="24"/>
          <w:szCs w:val="24"/>
        </w:rPr>
        <w:t>,</w:t>
      </w:r>
      <w:r w:rsidR="007205D0" w:rsidRPr="007D160A">
        <w:rPr>
          <w:rFonts w:ascii="Times New Roman" w:eastAsia="宋体" w:hAnsi="Times New Roman" w:cs="Times New Roman" w:hint="eastAsia"/>
          <w:color w:val="000000" w:themeColor="text1"/>
          <w:sz w:val="24"/>
          <w:szCs w:val="24"/>
        </w:rPr>
        <w:t xml:space="preserve"> 2380-2278 cm</w:t>
      </w:r>
      <w:r w:rsidR="007205D0" w:rsidRPr="007D160A">
        <w:rPr>
          <w:rFonts w:ascii="Times New Roman" w:eastAsia="宋体" w:hAnsi="Times New Roman" w:cs="Times New Roman" w:hint="eastAsia"/>
          <w:color w:val="000000" w:themeColor="text1"/>
          <w:sz w:val="24"/>
          <w:szCs w:val="24"/>
          <w:vertAlign w:val="superscript"/>
        </w:rPr>
        <w:t>-1</w:t>
      </w:r>
      <w:r w:rsidR="007205D0" w:rsidRPr="007D160A">
        <w:rPr>
          <w:rFonts w:ascii="Times New Roman" w:eastAsia="宋体" w:hAnsi="Times New Roman" w:cs="Times New Roman"/>
          <w:color w:val="000000" w:themeColor="text1"/>
          <w:sz w:val="24"/>
          <w:szCs w:val="24"/>
        </w:rPr>
        <w:t>,6</w:t>
      </w:r>
      <w:r w:rsidR="007205D0" w:rsidRPr="007D160A">
        <w:rPr>
          <w:rFonts w:ascii="Times New Roman" w:eastAsia="宋体" w:hAnsi="Times New Roman" w:cs="Times New Roman" w:hint="eastAsia"/>
          <w:color w:val="000000" w:themeColor="text1"/>
          <w:sz w:val="24"/>
          <w:szCs w:val="24"/>
        </w:rPr>
        <w:t xml:space="preserve">66 </w:t>
      </w:r>
      <w:bookmarkStart w:id="14" w:name="_Hlk91708613"/>
      <w:r w:rsidR="007205D0" w:rsidRPr="007D160A">
        <w:rPr>
          <w:rFonts w:ascii="Times New Roman" w:eastAsia="宋体" w:hAnsi="Times New Roman" w:cs="Times New Roman" w:hint="eastAsia"/>
          <w:color w:val="000000" w:themeColor="text1"/>
          <w:sz w:val="24"/>
          <w:szCs w:val="24"/>
        </w:rPr>
        <w:t>cm</w:t>
      </w:r>
      <w:r w:rsidR="007205D0" w:rsidRPr="007D160A">
        <w:rPr>
          <w:rFonts w:ascii="Times New Roman" w:eastAsia="宋体" w:hAnsi="Times New Roman" w:cs="Times New Roman" w:hint="eastAsia"/>
          <w:color w:val="000000" w:themeColor="text1"/>
          <w:sz w:val="24"/>
          <w:szCs w:val="24"/>
          <w:vertAlign w:val="superscript"/>
        </w:rPr>
        <w:t>-1</w:t>
      </w:r>
      <w:bookmarkEnd w:id="14"/>
      <w:r w:rsidR="007205D0" w:rsidRPr="007D160A">
        <w:rPr>
          <w:rFonts w:ascii="Times New Roman" w:eastAsia="宋体" w:hAnsi="Times New Roman" w:cs="Times New Roman"/>
          <w:color w:val="000000" w:themeColor="text1"/>
          <w:sz w:val="24"/>
          <w:szCs w:val="24"/>
        </w:rPr>
        <w:t>,2</w:t>
      </w:r>
      <w:r w:rsidR="007205D0" w:rsidRPr="007D160A">
        <w:rPr>
          <w:rFonts w:ascii="Times New Roman" w:eastAsia="宋体" w:hAnsi="Times New Roman" w:cs="Times New Roman" w:hint="eastAsia"/>
          <w:color w:val="000000" w:themeColor="text1"/>
          <w:sz w:val="24"/>
          <w:szCs w:val="24"/>
        </w:rPr>
        <w:t>173 cm</w:t>
      </w:r>
      <w:r w:rsidR="007205D0" w:rsidRPr="007D160A">
        <w:rPr>
          <w:rFonts w:ascii="Times New Roman" w:eastAsia="宋体" w:hAnsi="Times New Roman" w:cs="Times New Roman" w:hint="eastAsia"/>
          <w:color w:val="000000" w:themeColor="text1"/>
          <w:sz w:val="24"/>
          <w:szCs w:val="24"/>
          <w:vertAlign w:val="superscript"/>
        </w:rPr>
        <w:t>-1</w:t>
      </w:r>
      <w:r w:rsidR="007205D0" w:rsidRPr="007D160A">
        <w:rPr>
          <w:rFonts w:ascii="Times New Roman" w:eastAsia="宋体" w:hAnsi="Times New Roman" w:cs="Times New Roman" w:hint="eastAsia"/>
          <w:color w:val="000000" w:themeColor="text1"/>
          <w:sz w:val="24"/>
          <w:szCs w:val="24"/>
        </w:rPr>
        <w:t xml:space="preserve"> and</w:t>
      </w:r>
      <w:r w:rsidR="007205D0" w:rsidRPr="005E6999">
        <w:rPr>
          <w:rFonts w:ascii="Times New Roman" w:eastAsia="宋体" w:hAnsi="Times New Roman" w:cs="Times New Roman" w:hint="eastAsia"/>
          <w:color w:val="000000" w:themeColor="text1"/>
          <w:sz w:val="24"/>
          <w:szCs w:val="24"/>
        </w:rPr>
        <w:t xml:space="preserve"> 2105 </w:t>
      </w:r>
      <w:bookmarkStart w:id="15" w:name="_Hlk91708466"/>
      <w:r w:rsidR="007205D0" w:rsidRPr="005E6999">
        <w:rPr>
          <w:rFonts w:ascii="Times New Roman" w:eastAsia="宋体" w:hAnsi="Times New Roman" w:cs="Times New Roman" w:hint="eastAsia"/>
          <w:color w:val="000000" w:themeColor="text1"/>
          <w:sz w:val="24"/>
          <w:szCs w:val="24"/>
        </w:rPr>
        <w:t>cm</w:t>
      </w:r>
      <w:r w:rsidR="007205D0" w:rsidRPr="005E6999">
        <w:rPr>
          <w:rFonts w:ascii="Times New Roman" w:eastAsia="宋体" w:hAnsi="Times New Roman" w:cs="Times New Roman" w:hint="eastAsia"/>
          <w:color w:val="000000" w:themeColor="text1"/>
          <w:sz w:val="24"/>
          <w:szCs w:val="24"/>
          <w:vertAlign w:val="superscript"/>
        </w:rPr>
        <w:t>-1</w:t>
      </w:r>
      <w:bookmarkEnd w:id="15"/>
      <w:r w:rsidR="007205D0" w:rsidRPr="005E6999">
        <w:rPr>
          <w:rFonts w:ascii="Times New Roman" w:eastAsia="宋体" w:hAnsi="Times New Roman" w:cs="Times New Roman" w:hint="eastAsia"/>
          <w:color w:val="000000" w:themeColor="text1"/>
          <w:sz w:val="24"/>
          <w:szCs w:val="24"/>
        </w:rPr>
        <w:t xml:space="preserve"> </w:t>
      </w:r>
      <w:r w:rsidR="007205D0">
        <w:rPr>
          <w:rFonts w:ascii="Times New Roman" w:eastAsia="宋体" w:hAnsi="Times New Roman" w:cs="Times New Roman"/>
          <w:color w:val="000000" w:themeColor="text1"/>
          <w:sz w:val="24"/>
          <w:szCs w:val="24"/>
        </w:rPr>
        <w:t xml:space="preserve">were </w:t>
      </w:r>
      <w:r w:rsidR="007205D0" w:rsidRPr="005E6999">
        <w:rPr>
          <w:rFonts w:ascii="Times New Roman" w:eastAsia="宋体" w:hAnsi="Times New Roman" w:cs="Times New Roman" w:hint="eastAsia"/>
          <w:color w:val="000000" w:themeColor="text1"/>
          <w:sz w:val="24"/>
          <w:szCs w:val="24"/>
        </w:rPr>
        <w:t>due to the formed of CO</w:t>
      </w:r>
      <w:r w:rsidR="007205D0" w:rsidRPr="005E6999">
        <w:rPr>
          <w:rFonts w:ascii="Times New Roman" w:eastAsia="宋体" w:hAnsi="Times New Roman" w:cs="Times New Roman" w:hint="eastAsia"/>
          <w:color w:val="000000" w:themeColor="text1"/>
          <w:sz w:val="24"/>
          <w:szCs w:val="24"/>
          <w:vertAlign w:val="subscript"/>
        </w:rPr>
        <w:t xml:space="preserve">2 </w:t>
      </w:r>
      <w:r w:rsidR="007205D0" w:rsidRPr="005E6999">
        <w:rPr>
          <w:rFonts w:ascii="Times New Roman" w:eastAsia="宋体" w:hAnsi="Times New Roman" w:cs="Times New Roman" w:hint="eastAsia"/>
          <w:color w:val="000000" w:themeColor="text1"/>
          <w:sz w:val="24"/>
          <w:szCs w:val="24"/>
        </w:rPr>
        <w:t xml:space="preserve">and CO, respectively. </w:t>
      </w:r>
      <w:r w:rsidR="007205D0" w:rsidRPr="005E6999">
        <w:rPr>
          <w:rFonts w:ascii="Times New Roman" w:eastAsia="宋体" w:hAnsi="Times New Roman" w:cs="Times New Roman"/>
          <w:color w:val="000000" w:themeColor="text1"/>
          <w:sz w:val="24"/>
          <w:szCs w:val="24"/>
        </w:rPr>
        <w:t>The peak at 1746 cm</w:t>
      </w:r>
      <w:r w:rsidR="007205D0" w:rsidRPr="005E6999">
        <w:rPr>
          <w:rFonts w:ascii="Times New Roman" w:eastAsia="宋体" w:hAnsi="Times New Roman" w:cs="Times New Roman"/>
          <w:color w:val="000000" w:themeColor="text1"/>
          <w:sz w:val="24"/>
          <w:szCs w:val="24"/>
          <w:vertAlign w:val="superscript"/>
        </w:rPr>
        <w:t>-1</w:t>
      </w:r>
      <w:r w:rsidR="007205D0" w:rsidRPr="005E6999">
        <w:rPr>
          <w:rFonts w:ascii="Times New Roman" w:eastAsia="宋体" w:hAnsi="Times New Roman" w:cs="Times New Roman"/>
          <w:color w:val="000000" w:themeColor="text1"/>
          <w:sz w:val="24"/>
          <w:szCs w:val="24"/>
        </w:rPr>
        <w:t xml:space="preserve"> was attributed to the C=O group of carbonyl compounds (including aldehydes, ketones, and acids) and the position 3000-2770 cm</w:t>
      </w:r>
      <w:r w:rsidR="007205D0" w:rsidRPr="005E6999">
        <w:rPr>
          <w:rFonts w:ascii="Times New Roman" w:eastAsia="宋体" w:hAnsi="Times New Roman" w:cs="Times New Roman"/>
          <w:color w:val="000000" w:themeColor="text1"/>
          <w:sz w:val="24"/>
          <w:szCs w:val="24"/>
          <w:vertAlign w:val="superscript"/>
        </w:rPr>
        <w:t>-1</w:t>
      </w:r>
      <w:r w:rsidR="007205D0" w:rsidRPr="005E6999">
        <w:rPr>
          <w:rFonts w:ascii="Times New Roman" w:eastAsia="宋体" w:hAnsi="Times New Roman" w:cs="Times New Roman"/>
          <w:color w:val="000000" w:themeColor="text1"/>
          <w:sz w:val="24"/>
          <w:szCs w:val="24"/>
        </w:rPr>
        <w:t xml:space="preserve"> and 1500-1300 cm</w:t>
      </w:r>
      <w:r w:rsidR="007205D0" w:rsidRPr="005E6999">
        <w:rPr>
          <w:rFonts w:ascii="Times New Roman" w:eastAsia="宋体" w:hAnsi="Times New Roman" w:cs="Times New Roman"/>
          <w:color w:val="000000" w:themeColor="text1"/>
          <w:sz w:val="24"/>
          <w:szCs w:val="24"/>
          <w:vertAlign w:val="superscript"/>
        </w:rPr>
        <w:t>-1</w:t>
      </w:r>
      <w:r w:rsidR="007205D0" w:rsidRPr="005E6999">
        <w:rPr>
          <w:rFonts w:ascii="Times New Roman" w:eastAsia="宋体" w:hAnsi="Times New Roman" w:cs="Times New Roman"/>
          <w:color w:val="000000" w:themeColor="text1"/>
          <w:sz w:val="24"/>
          <w:szCs w:val="24"/>
        </w:rPr>
        <w:t xml:space="preserve"> indicates the formation aliphatic alkanes</w:t>
      </w:r>
      <w:r w:rsidR="00D3580E">
        <w:rPr>
          <w:rFonts w:ascii="Times New Roman" w:eastAsia="宋体" w:hAnsi="Times New Roman" w:cs="Times New Roman"/>
          <w:color w:val="000000" w:themeColor="text1"/>
          <w:sz w:val="24"/>
          <w:szCs w:val="24"/>
        </w:rPr>
        <w:t xml:space="preserve"> </w:t>
      </w:r>
      <w:r w:rsidR="00D3580E">
        <w:rPr>
          <w:rFonts w:ascii="Times New Roman" w:eastAsia="宋体" w:hAnsi="Times New Roman" w:cs="Times New Roman"/>
          <w:color w:val="000000" w:themeColor="text1"/>
          <w:sz w:val="24"/>
          <w:szCs w:val="24"/>
        </w:rPr>
        <w:fldChar w:fldCharType="begin" w:fldLock="1"/>
      </w:r>
      <w:r w:rsidR="00E35A76">
        <w:rPr>
          <w:rFonts w:ascii="Times New Roman" w:eastAsia="宋体" w:hAnsi="Times New Roman" w:cs="Times New Roman"/>
          <w:color w:val="000000" w:themeColor="text1"/>
          <w:sz w:val="24"/>
          <w:szCs w:val="24"/>
        </w:rPr>
        <w:instrText>ADDIN CSL_CITATION {"citationItems":[{"id":"ITEM-1","itemData":{"DOI":"10.1007/s10973-018-7030-4","ISBN":"0123456789","ISSN":"15882926","abstract":"The present study investigated the structure, degradation properties, and combustion behavior of starch from maize, sweet potato, lotus root, and tobacco. Compared with other plant starches, tobacco starch had the smallest size, the highest amylose content and the least crystallinity. Microscale combustion calorimetry (MCC) experiment demonstrated that sweet potato starch showed the maximum peak heat release rate value (888.0 W g−1) while tobacco starch showed the minimum value (316.0 W g−1) and thermogravimetric analysis coupled with Fourier transform infrared spectrometer (TG-FTIR) results showed tobacco starch had good char formability (residue mass: 15.6%) and released more incombustible gaseous products, such as H2O and CO2. These results suggest that the thermal properties of plant starches were mainly influenced by the structural features and amylose content, especially the amylose ratio, and tobacco starch was very promising for application in green flame-retardant material.","author":[{"dropping-particle":"","family":"Zhu","given":"Xiaolan","non-dropping-particle":"","parse-names":false,"suffix":""},{"dropping-particle":"","family":"He","given":"Qing","non-dropping-particle":"","parse-names":false,"suffix":""},{"dropping-particle":"","family":"Hu","given":"Yonghua","non-dropping-particle":"","parse-names":false,"suffix":""},{"dropping-particle":"","family":"Huang","given":"Ruijie","non-dropping-particle":"","parse-names":false,"suffix":""},{"dropping-particle":"","family":"Shao","given":"Ning","non-dropping-particle":"","parse-names":false,"suffix":""},{"dropping-particle":"","family":"Gao","given":"Yun","non-dropping-particle":"","parse-names":false,"suffix":""}],"container-title":"Journal of Thermal Analysis and Calorimetry","id":"ITEM-1","issue":"2","issued":{"date-parts":[["2018"]]},"page":"927-935","publisher":"Springer Netherlands","title":"A comparative study of structure, thermal degradation, and combustion behavior of starch from different plant sources","type":"article-journal","volume":"132"},"uris":["http://www.mendeley.com/documents/?uuid=59a43c75-7379-4e38-b060-5cf33d6f28cb"]}],"mendeley":{"formattedCitation":"(Zhu et al. 2018)","plainTextFormattedCitation":"(Zhu et al. 2018)","previouslyFormattedCitation":"(Zhu et al., 2018)"},"properties":{"noteIndex":0},"schema":"https://github.com/citation-style-language/schema/raw/master/csl-citation.json"}</w:instrText>
      </w:r>
      <w:r w:rsidR="00D3580E">
        <w:rPr>
          <w:rFonts w:ascii="Times New Roman" w:eastAsia="宋体" w:hAnsi="Times New Roman" w:cs="Times New Roman"/>
          <w:color w:val="000000" w:themeColor="text1"/>
          <w:sz w:val="24"/>
          <w:szCs w:val="24"/>
        </w:rPr>
        <w:fldChar w:fldCharType="separate"/>
      </w:r>
      <w:r w:rsidR="00E35A76" w:rsidRPr="00E35A76">
        <w:rPr>
          <w:rFonts w:ascii="Times New Roman" w:eastAsia="宋体" w:hAnsi="Times New Roman" w:cs="Times New Roman"/>
          <w:noProof/>
          <w:color w:val="000000" w:themeColor="text1"/>
          <w:sz w:val="24"/>
          <w:szCs w:val="24"/>
        </w:rPr>
        <w:t>(Zhu et al. 2018)</w:t>
      </w:r>
      <w:r w:rsidR="00D3580E">
        <w:rPr>
          <w:rFonts w:ascii="Times New Roman" w:eastAsia="宋体" w:hAnsi="Times New Roman" w:cs="Times New Roman"/>
          <w:color w:val="000000" w:themeColor="text1"/>
          <w:sz w:val="24"/>
          <w:szCs w:val="24"/>
        </w:rPr>
        <w:fldChar w:fldCharType="end"/>
      </w:r>
    </w:p>
    <w:p w14:paraId="7900B8DA" w14:textId="2BC07264" w:rsidR="000A296A" w:rsidRDefault="000A296A" w:rsidP="000A296A">
      <w:pPr>
        <w:spacing w:line="480" w:lineRule="auto"/>
        <w:ind w:firstLineChars="100" w:firstLine="240"/>
        <w:rPr>
          <w:rFonts w:ascii="Times New Roman" w:eastAsia="宋体" w:hAnsi="Times New Roman" w:cs="Times New Roman"/>
          <w:color w:val="000000" w:themeColor="text1"/>
          <w:sz w:val="24"/>
          <w:szCs w:val="24"/>
        </w:rPr>
      </w:pPr>
    </w:p>
    <w:p w14:paraId="10F12F16" w14:textId="0FA820C8" w:rsidR="000A296A" w:rsidRDefault="000A296A" w:rsidP="000A296A">
      <w:pPr>
        <w:spacing w:line="480" w:lineRule="auto"/>
        <w:ind w:firstLineChars="100" w:firstLine="240"/>
        <w:rPr>
          <w:rFonts w:ascii="Times New Roman" w:eastAsia="宋体" w:hAnsi="Times New Roman" w:cs="Times New Roman"/>
          <w:color w:val="000000" w:themeColor="text1"/>
          <w:sz w:val="24"/>
          <w:szCs w:val="24"/>
        </w:rPr>
      </w:pPr>
    </w:p>
    <w:p w14:paraId="3FFE5E91" w14:textId="1C7EA636" w:rsidR="000A296A" w:rsidRDefault="000A296A" w:rsidP="000A296A">
      <w:pPr>
        <w:spacing w:line="480" w:lineRule="auto"/>
        <w:ind w:firstLineChars="100" w:firstLine="240"/>
        <w:rPr>
          <w:rFonts w:ascii="Times New Roman" w:eastAsia="宋体" w:hAnsi="Times New Roman" w:cs="Times New Roman"/>
          <w:color w:val="000000" w:themeColor="text1"/>
          <w:sz w:val="24"/>
          <w:szCs w:val="24"/>
        </w:rPr>
      </w:pPr>
    </w:p>
    <w:p w14:paraId="41BB2EAC" w14:textId="44FA5A25" w:rsidR="000A296A" w:rsidRDefault="000A296A" w:rsidP="000A296A">
      <w:pPr>
        <w:spacing w:line="480" w:lineRule="auto"/>
        <w:ind w:firstLineChars="100" w:firstLine="240"/>
        <w:rPr>
          <w:rFonts w:ascii="Times New Roman" w:eastAsia="宋体" w:hAnsi="Times New Roman" w:cs="Times New Roman"/>
          <w:color w:val="000000" w:themeColor="text1"/>
          <w:sz w:val="24"/>
          <w:szCs w:val="24"/>
        </w:rPr>
      </w:pPr>
    </w:p>
    <w:p w14:paraId="5361193A" w14:textId="4F11B377" w:rsidR="000A296A" w:rsidRDefault="000A296A" w:rsidP="000A296A">
      <w:pPr>
        <w:spacing w:line="480" w:lineRule="auto"/>
        <w:ind w:firstLineChars="100" w:firstLine="240"/>
        <w:rPr>
          <w:rFonts w:ascii="Times New Roman" w:eastAsia="宋体" w:hAnsi="Times New Roman" w:cs="Times New Roman"/>
          <w:color w:val="000000" w:themeColor="text1"/>
          <w:sz w:val="24"/>
          <w:szCs w:val="24"/>
        </w:rPr>
      </w:pPr>
    </w:p>
    <w:p w14:paraId="751EBD8F" w14:textId="375B1547" w:rsidR="000A296A" w:rsidRDefault="000A296A" w:rsidP="000A296A">
      <w:pPr>
        <w:spacing w:line="480" w:lineRule="auto"/>
        <w:ind w:firstLineChars="100" w:firstLine="240"/>
        <w:rPr>
          <w:rFonts w:ascii="Times New Roman" w:eastAsia="宋体" w:hAnsi="Times New Roman" w:cs="Times New Roman"/>
          <w:color w:val="000000" w:themeColor="text1"/>
          <w:sz w:val="24"/>
          <w:szCs w:val="24"/>
        </w:rPr>
      </w:pPr>
    </w:p>
    <w:p w14:paraId="3C4C2839" w14:textId="50AFEDF8" w:rsidR="000A296A" w:rsidRDefault="000A296A" w:rsidP="000A296A">
      <w:pPr>
        <w:spacing w:line="480" w:lineRule="auto"/>
        <w:ind w:firstLineChars="100" w:firstLine="240"/>
        <w:rPr>
          <w:rFonts w:ascii="Times New Roman" w:eastAsia="宋体" w:hAnsi="Times New Roman" w:cs="Times New Roman"/>
          <w:color w:val="000000" w:themeColor="text1"/>
          <w:sz w:val="24"/>
          <w:szCs w:val="24"/>
        </w:rPr>
      </w:pPr>
    </w:p>
    <w:p w14:paraId="08492614" w14:textId="79467EB7" w:rsidR="000A296A" w:rsidRDefault="000A296A" w:rsidP="000A296A">
      <w:pPr>
        <w:spacing w:line="480" w:lineRule="auto"/>
        <w:ind w:firstLineChars="100" w:firstLine="240"/>
        <w:rPr>
          <w:rFonts w:ascii="Times New Roman" w:eastAsia="宋体" w:hAnsi="Times New Roman" w:cs="Times New Roman"/>
          <w:color w:val="000000" w:themeColor="text1"/>
          <w:sz w:val="24"/>
          <w:szCs w:val="24"/>
        </w:rPr>
      </w:pPr>
    </w:p>
    <w:p w14:paraId="20782E30" w14:textId="3D90BD15" w:rsidR="000A296A" w:rsidRDefault="000A296A" w:rsidP="000A296A">
      <w:pPr>
        <w:spacing w:line="480" w:lineRule="auto"/>
        <w:ind w:firstLineChars="100" w:firstLine="240"/>
        <w:rPr>
          <w:rFonts w:ascii="Times New Roman" w:eastAsia="宋体" w:hAnsi="Times New Roman" w:cs="Times New Roman"/>
          <w:color w:val="000000" w:themeColor="text1"/>
          <w:sz w:val="24"/>
          <w:szCs w:val="24"/>
        </w:rPr>
      </w:pPr>
    </w:p>
    <w:p w14:paraId="74B299B4" w14:textId="02BF8EBF" w:rsidR="000A296A" w:rsidRDefault="000A296A" w:rsidP="000A296A">
      <w:pPr>
        <w:spacing w:line="480" w:lineRule="auto"/>
        <w:ind w:firstLineChars="100" w:firstLine="240"/>
        <w:rPr>
          <w:rFonts w:ascii="Times New Roman" w:eastAsia="宋体" w:hAnsi="Times New Roman" w:cs="Times New Roman"/>
          <w:color w:val="000000" w:themeColor="text1"/>
          <w:sz w:val="24"/>
          <w:szCs w:val="24"/>
        </w:rPr>
      </w:pPr>
    </w:p>
    <w:p w14:paraId="64326224" w14:textId="732EFB26" w:rsidR="007205D0" w:rsidRDefault="007205D0" w:rsidP="007205D0">
      <w:pPr>
        <w:rPr>
          <w:rFonts w:ascii="Times New Roman" w:eastAsia="宋体" w:hAnsi="Times New Roman" w:cs="Times New Roman"/>
          <w:color w:val="000000" w:themeColor="text1"/>
          <w:sz w:val="24"/>
          <w:szCs w:val="24"/>
        </w:rPr>
      </w:pPr>
    </w:p>
    <w:p w14:paraId="6C65CCB3" w14:textId="77777777" w:rsidR="000A296A" w:rsidRDefault="000A296A" w:rsidP="007205D0">
      <w:pPr>
        <w:rPr>
          <w:rFonts w:ascii="Times New Roman" w:eastAsia="宋体" w:hAnsi="Times New Roman" w:cs="Times New Roman" w:hint="eastAsia"/>
          <w:color w:val="000000" w:themeColor="text1"/>
          <w:sz w:val="24"/>
          <w:szCs w:val="24"/>
        </w:rPr>
      </w:pPr>
    </w:p>
    <w:p w14:paraId="60BC397A" w14:textId="77777777" w:rsidR="007205D0" w:rsidRPr="007205D0" w:rsidRDefault="007205D0" w:rsidP="007205D0">
      <w:pPr>
        <w:spacing w:line="480" w:lineRule="auto"/>
        <w:jc w:val="left"/>
        <w:rPr>
          <w:rFonts w:ascii="Times New Roman" w:eastAsia="宋体" w:hAnsi="Times New Roman" w:cs="Times New Roman"/>
          <w:b/>
          <w:color w:val="000000"/>
          <w:sz w:val="24"/>
          <w:szCs w:val="24"/>
        </w:rPr>
      </w:pPr>
      <w:r w:rsidRPr="007205D0">
        <w:rPr>
          <w:rFonts w:ascii="Times New Roman" w:eastAsia="宋体" w:hAnsi="Times New Roman" w:cs="Times New Roman" w:hint="eastAsia"/>
          <w:b/>
          <w:color w:val="000000"/>
          <w:sz w:val="24"/>
          <w:szCs w:val="24"/>
        </w:rPr>
        <w:lastRenderedPageBreak/>
        <w:t>Reference</w:t>
      </w:r>
    </w:p>
    <w:p w14:paraId="2859CA64" w14:textId="3E8BB19F" w:rsidR="00E35A76" w:rsidRPr="00E35A76" w:rsidRDefault="00E34BB8" w:rsidP="00E35A76">
      <w:pPr>
        <w:autoSpaceDE w:val="0"/>
        <w:autoSpaceDN w:val="0"/>
        <w:adjustRightInd w:val="0"/>
        <w:spacing w:line="480" w:lineRule="auto"/>
        <w:ind w:left="480" w:hanging="480"/>
        <w:jc w:val="left"/>
        <w:rPr>
          <w:rFonts w:ascii="Times New Roman" w:hAnsi="Times New Roman" w:cs="Times New Roman"/>
          <w:noProof/>
          <w:kern w:val="0"/>
          <w:sz w:val="24"/>
          <w:szCs w:val="24"/>
        </w:rPr>
      </w:pPr>
      <w:r>
        <w:rPr>
          <w:rFonts w:ascii="Times New Roman" w:eastAsia="宋体" w:hAnsi="Times New Roman" w:cs="Times New Roman"/>
          <w:sz w:val="24"/>
          <w:szCs w:val="24"/>
        </w:rPr>
        <w:fldChar w:fldCharType="begin" w:fldLock="1"/>
      </w:r>
      <w:r>
        <w:rPr>
          <w:rFonts w:ascii="Times New Roman" w:eastAsia="宋体" w:hAnsi="Times New Roman" w:cs="Times New Roman"/>
          <w:sz w:val="24"/>
          <w:szCs w:val="24"/>
        </w:rPr>
        <w:instrText xml:space="preserve">ADDIN Mendeley Bibliography CSL_BIBLIOGRAPHY </w:instrText>
      </w:r>
      <w:r>
        <w:rPr>
          <w:rFonts w:ascii="Times New Roman" w:eastAsia="宋体" w:hAnsi="Times New Roman" w:cs="Times New Roman"/>
          <w:sz w:val="24"/>
          <w:szCs w:val="24"/>
        </w:rPr>
        <w:fldChar w:fldCharType="separate"/>
      </w:r>
      <w:r w:rsidR="00E35A76" w:rsidRPr="00E35A76">
        <w:rPr>
          <w:rFonts w:ascii="Times New Roman" w:hAnsi="Times New Roman" w:cs="Times New Roman"/>
          <w:noProof/>
          <w:kern w:val="0"/>
          <w:sz w:val="24"/>
          <w:szCs w:val="24"/>
        </w:rPr>
        <w:t>Al-Salem SM, Sharma BK, Khan AR, et al (2017) Thermal degradation kinetics of virgin polypropylene (PP) and PP with starch blends exposed to natural weathering. Ind Eng Chem Res 56:5210–5220. https://doi.org/10.1021/acs.iecr.7b00754</w:t>
      </w:r>
    </w:p>
    <w:p w14:paraId="17B635EC" w14:textId="55E41D69" w:rsidR="00E35A76" w:rsidRPr="00E35A76" w:rsidRDefault="00E35A76" w:rsidP="00E35A76">
      <w:pPr>
        <w:autoSpaceDE w:val="0"/>
        <w:autoSpaceDN w:val="0"/>
        <w:adjustRightInd w:val="0"/>
        <w:spacing w:line="480" w:lineRule="auto"/>
        <w:ind w:left="480" w:hanging="480"/>
        <w:jc w:val="left"/>
        <w:rPr>
          <w:rFonts w:ascii="Times New Roman" w:hAnsi="Times New Roman" w:cs="Times New Roman"/>
          <w:noProof/>
          <w:kern w:val="0"/>
          <w:sz w:val="24"/>
          <w:szCs w:val="24"/>
        </w:rPr>
      </w:pPr>
      <w:r>
        <w:rPr>
          <w:rFonts w:ascii="Times New Roman" w:hAnsi="Times New Roman" w:cs="Times New Roman"/>
          <w:noProof/>
          <w:kern w:val="0"/>
          <w:sz w:val="24"/>
          <w:szCs w:val="24"/>
        </w:rPr>
        <w:t>D</w:t>
      </w:r>
      <w:r w:rsidRPr="00E35A76">
        <w:rPr>
          <w:rFonts w:ascii="Times New Roman" w:hAnsi="Times New Roman" w:cs="Times New Roman"/>
          <w:noProof/>
          <w:kern w:val="0"/>
          <w:sz w:val="24"/>
          <w:szCs w:val="24"/>
        </w:rPr>
        <w:t>os Santos Araújo P, Belini GB, Mambrini GP, et al (2019) Thermal degradation of calcium and sodium alginate: A greener synthesis towards calcium oxide micro/nanoparticles. Int J Biol Macromol 140:749–760. https://doi.org/10.1016/j.ijbiomac.2019.08.103</w:t>
      </w:r>
    </w:p>
    <w:p w14:paraId="443F5F2C" w14:textId="77777777" w:rsidR="00E35A76" w:rsidRPr="00E35A76" w:rsidRDefault="00E35A76" w:rsidP="00E35A76">
      <w:pPr>
        <w:autoSpaceDE w:val="0"/>
        <w:autoSpaceDN w:val="0"/>
        <w:adjustRightInd w:val="0"/>
        <w:spacing w:line="480" w:lineRule="auto"/>
        <w:ind w:left="480" w:hanging="480"/>
        <w:jc w:val="left"/>
        <w:rPr>
          <w:rFonts w:ascii="Times New Roman" w:hAnsi="Times New Roman" w:cs="Times New Roman"/>
          <w:noProof/>
          <w:kern w:val="0"/>
          <w:sz w:val="24"/>
          <w:szCs w:val="24"/>
        </w:rPr>
      </w:pPr>
      <w:r w:rsidRPr="00E35A76">
        <w:rPr>
          <w:rFonts w:ascii="Times New Roman" w:hAnsi="Times New Roman" w:cs="Times New Roman"/>
          <w:noProof/>
          <w:kern w:val="0"/>
          <w:sz w:val="24"/>
          <w:szCs w:val="24"/>
        </w:rPr>
        <w:t>Roy S, Ghosh BD, Goh KL, et al (2022) Modulation of interfacial interactions toward strong and tough cellulose nanofiber-based transparent thin films with antifogging feature. Compos Sci Technol 278:118974. https://doi.org/10.1016/j.compscitech.2020.108613</w:t>
      </w:r>
    </w:p>
    <w:p w14:paraId="4E32FCEA" w14:textId="77777777" w:rsidR="00E35A76" w:rsidRPr="00E35A76" w:rsidRDefault="00E35A76" w:rsidP="00E35A76">
      <w:pPr>
        <w:autoSpaceDE w:val="0"/>
        <w:autoSpaceDN w:val="0"/>
        <w:adjustRightInd w:val="0"/>
        <w:spacing w:line="480" w:lineRule="auto"/>
        <w:ind w:left="480" w:hanging="480"/>
        <w:jc w:val="left"/>
        <w:rPr>
          <w:rFonts w:ascii="Times New Roman" w:hAnsi="Times New Roman" w:cs="Times New Roman"/>
          <w:noProof/>
          <w:kern w:val="0"/>
          <w:sz w:val="24"/>
          <w:szCs w:val="24"/>
        </w:rPr>
      </w:pPr>
      <w:r w:rsidRPr="00E35A76">
        <w:rPr>
          <w:rFonts w:ascii="Times New Roman" w:hAnsi="Times New Roman" w:cs="Times New Roman"/>
          <w:noProof/>
          <w:kern w:val="0"/>
          <w:sz w:val="24"/>
          <w:szCs w:val="24"/>
        </w:rPr>
        <w:t>Xu L, Zhao J, Qian S, et al (2021) Green-plasticized poly(lactic acid)/nanofibrillated cellulose biocomposites with high strength, good toughness and excellent heat resistance. Compos Sci Technol 203:108613. https://doi.org/10.1016/j.compscitech.2020.108613</w:t>
      </w:r>
    </w:p>
    <w:p w14:paraId="151D865C" w14:textId="77777777" w:rsidR="00E35A76" w:rsidRPr="00E35A76" w:rsidRDefault="00E35A76" w:rsidP="00E35A76">
      <w:pPr>
        <w:autoSpaceDE w:val="0"/>
        <w:autoSpaceDN w:val="0"/>
        <w:adjustRightInd w:val="0"/>
        <w:spacing w:line="480" w:lineRule="auto"/>
        <w:ind w:left="480" w:hanging="480"/>
        <w:jc w:val="left"/>
        <w:rPr>
          <w:rFonts w:ascii="Times New Roman" w:hAnsi="Times New Roman" w:cs="Times New Roman"/>
          <w:noProof/>
          <w:sz w:val="24"/>
        </w:rPr>
      </w:pPr>
      <w:r w:rsidRPr="00E35A76">
        <w:rPr>
          <w:rFonts w:ascii="Times New Roman" w:hAnsi="Times New Roman" w:cs="Times New Roman"/>
          <w:noProof/>
          <w:kern w:val="0"/>
          <w:sz w:val="24"/>
          <w:szCs w:val="24"/>
        </w:rPr>
        <w:t>Zhu X, He Q, Hu Y, et al (2018) A comparative study of structure, thermal degradation, and combustion behavior of starch from different plant sources. J Therm Anal Calorim 132:927–935. https://doi.org/10.1007/s10973-018-7030-4</w:t>
      </w:r>
    </w:p>
    <w:p w14:paraId="21D0C257" w14:textId="75573736" w:rsidR="007205D0" w:rsidRPr="007205D0" w:rsidRDefault="00E34BB8" w:rsidP="00E34BB8">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fldChar w:fldCharType="end"/>
      </w:r>
    </w:p>
    <w:sectPr w:rsidR="007205D0" w:rsidRPr="007205D0" w:rsidSect="00B43F58">
      <w:footerReference w:type="default" r:id="rId12"/>
      <w:pgSz w:w="10800" w:h="15600"/>
      <w:pgMar w:top="1418" w:right="1701" w:bottom="1418" w:left="1701" w:header="720" w:footer="720" w:gutter="0"/>
      <w:cols w:space="425"/>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A5622" w14:textId="77777777" w:rsidR="0051424A" w:rsidRDefault="0051424A" w:rsidP="00F704F4">
      <w:r>
        <w:separator/>
      </w:r>
    </w:p>
  </w:endnote>
  <w:endnote w:type="continuationSeparator" w:id="0">
    <w:p w14:paraId="4677AD51" w14:textId="77777777" w:rsidR="0051424A" w:rsidRDefault="0051424A" w:rsidP="00F7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935F9" w14:textId="0BEB7554" w:rsidR="00FD7065" w:rsidRPr="00FD7065" w:rsidRDefault="00FD7065">
    <w:pPr>
      <w:pStyle w:val="a5"/>
      <w:jc w:val="center"/>
      <w:rPr>
        <w:rFonts w:ascii="Times New Roman" w:hAnsi="Times New Roman" w:cs="Times New Roman"/>
      </w:rPr>
    </w:pPr>
    <w:r w:rsidRPr="00FD7065">
      <w:rPr>
        <w:rFonts w:ascii="Times New Roman" w:hAnsi="Times New Roman" w:cs="Times New Roman"/>
      </w:rPr>
      <w:t>S</w:t>
    </w:r>
    <w:sdt>
      <w:sdtPr>
        <w:rPr>
          <w:rFonts w:ascii="Times New Roman" w:hAnsi="Times New Roman" w:cs="Times New Roman"/>
        </w:rPr>
        <w:id w:val="-2024535812"/>
        <w:docPartObj>
          <w:docPartGallery w:val="Page Numbers (Bottom of Page)"/>
          <w:docPartUnique/>
        </w:docPartObj>
      </w:sdtPr>
      <w:sdtContent>
        <w:r w:rsidRPr="00FD7065">
          <w:rPr>
            <w:rFonts w:ascii="Times New Roman" w:hAnsi="Times New Roman" w:cs="Times New Roman"/>
          </w:rPr>
          <w:fldChar w:fldCharType="begin"/>
        </w:r>
        <w:r w:rsidRPr="00FD7065">
          <w:rPr>
            <w:rFonts w:ascii="Times New Roman" w:hAnsi="Times New Roman" w:cs="Times New Roman"/>
          </w:rPr>
          <w:instrText>PAGE   \* MERGEFORMAT</w:instrText>
        </w:r>
        <w:r w:rsidRPr="00FD7065">
          <w:rPr>
            <w:rFonts w:ascii="Times New Roman" w:hAnsi="Times New Roman" w:cs="Times New Roman"/>
          </w:rPr>
          <w:fldChar w:fldCharType="separate"/>
        </w:r>
        <w:r w:rsidR="0071624E" w:rsidRPr="0071624E">
          <w:rPr>
            <w:rFonts w:ascii="Times New Roman" w:hAnsi="Times New Roman" w:cs="Times New Roman"/>
            <w:noProof/>
            <w:lang w:val="zh-CN"/>
          </w:rPr>
          <w:t>3</w:t>
        </w:r>
        <w:r w:rsidRPr="00FD7065">
          <w:rPr>
            <w:rFonts w:ascii="Times New Roman" w:hAnsi="Times New Roman" w:cs="Times New Roman"/>
          </w:rPr>
          <w:fldChar w:fldCharType="end"/>
        </w:r>
      </w:sdtContent>
    </w:sdt>
  </w:p>
  <w:p w14:paraId="7C7BB278" w14:textId="77777777" w:rsidR="00FD7065" w:rsidRDefault="00FD706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97550" w14:textId="77777777" w:rsidR="0051424A" w:rsidRDefault="0051424A" w:rsidP="00F704F4">
      <w:r>
        <w:separator/>
      </w:r>
    </w:p>
  </w:footnote>
  <w:footnote w:type="continuationSeparator" w:id="0">
    <w:p w14:paraId="4D6E9ABD" w14:textId="77777777" w:rsidR="0051424A" w:rsidRDefault="0051424A" w:rsidP="00F704F4">
      <w:r>
        <w:continuationSeparator/>
      </w:r>
    </w:p>
  </w:footnote>
  <w:footnote w:id="1">
    <w:p w14:paraId="5F29564E" w14:textId="77777777" w:rsidR="00A358AB" w:rsidRDefault="00A358AB" w:rsidP="00A358AB">
      <w:pPr>
        <w:widowControl/>
        <w:adjustRightInd w:val="0"/>
        <w:snapToGrid w:val="0"/>
        <w:rPr>
          <w:rFonts w:ascii="Times New Roman" w:eastAsia="宋体" w:hAnsi="Times New Roman" w:cs="Times New Roman"/>
          <w:i/>
          <w:iCs/>
          <w:sz w:val="24"/>
          <w:szCs w:val="24"/>
          <w:lang w:eastAsia="en-US"/>
        </w:rPr>
      </w:pPr>
      <w:r>
        <w:rPr>
          <w:rStyle w:val="aa"/>
        </w:rPr>
        <w:sym w:font="Symbol" w:char="F02A"/>
      </w:r>
      <w:r>
        <w:t xml:space="preserve"> </w:t>
      </w:r>
      <w:r>
        <w:rPr>
          <w:rFonts w:ascii="Times New Roman" w:eastAsia="宋体" w:hAnsi="Times New Roman" w:cs="Times New Roman"/>
          <w:i/>
          <w:iCs/>
          <w:sz w:val="24"/>
          <w:szCs w:val="24"/>
          <w:lang w:eastAsia="en-US"/>
        </w:rPr>
        <w:t>Corresponding authors. Tel: +86-571-86843618; Fax: +86-571-86843619.</w:t>
      </w:r>
    </w:p>
    <w:p w14:paraId="4FE0E073" w14:textId="220B931D" w:rsidR="00A358AB" w:rsidRDefault="00A358AB" w:rsidP="00A358AB">
      <w:pPr>
        <w:widowControl/>
        <w:spacing w:before="100" w:beforeAutospacing="1" w:after="100" w:afterAutospacing="1" w:line="360" w:lineRule="auto"/>
        <w:rPr>
          <w:rFonts w:ascii="Times New Roman" w:hAnsi="Times New Roman" w:cs="Times New Roman"/>
          <w:i/>
          <w:sz w:val="24"/>
          <w:szCs w:val="24"/>
        </w:rPr>
      </w:pPr>
      <w:r>
        <w:rPr>
          <w:rFonts w:ascii="Times New Roman" w:eastAsia="宋体" w:hAnsi="Times New Roman" w:cs="Times New Roman"/>
          <w:i/>
          <w:iCs/>
          <w:sz w:val="24"/>
          <w:szCs w:val="24"/>
          <w:lang w:eastAsia="en-US"/>
        </w:rPr>
        <w:t>E-mail addresses:</w:t>
      </w:r>
      <w:r>
        <w:rPr>
          <w:rFonts w:ascii="Times New Roman" w:eastAsia="宋体" w:hAnsi="Times New Roman" w:cs="Times New Roman"/>
          <w:i/>
          <w:iCs/>
          <w:color w:val="000000"/>
          <w:sz w:val="24"/>
          <w:szCs w:val="24"/>
          <w:lang w:eastAsia="en-US"/>
        </w:rPr>
        <w:t xml:space="preserve"> </w:t>
      </w:r>
      <w:hyperlink r:id="rId1" w:history="1">
        <w:r>
          <w:rPr>
            <w:rStyle w:val="ab"/>
            <w:rFonts w:ascii="Times New Roman" w:eastAsia="宋体" w:hAnsi="Times New Roman" w:cs="Times New Roman"/>
            <w:i/>
            <w:iCs/>
            <w:color w:val="000000"/>
            <w:sz w:val="24"/>
            <w:szCs w:val="24"/>
            <w:lang w:eastAsia="en-US"/>
          </w:rPr>
          <w:t>phdyu@zstu.edu.cn</w:t>
        </w:r>
      </w:hyperlink>
      <w:r w:rsidR="000A296A">
        <w:rPr>
          <w:rStyle w:val="ab"/>
          <w:rFonts w:ascii="Times New Roman" w:eastAsia="宋体" w:hAnsi="Times New Roman" w:cs="Times New Roman"/>
          <w:i/>
          <w:iCs/>
          <w:color w:val="000000"/>
          <w:sz w:val="24"/>
          <w:szCs w:val="24"/>
          <w:lang w:eastAsia="en-US"/>
        </w:rPr>
        <w:t xml:space="preserve"> </w:t>
      </w:r>
      <w:r w:rsidR="006261BD">
        <w:rPr>
          <w:rStyle w:val="ab"/>
          <w:rFonts w:ascii="Times New Roman" w:eastAsia="宋体" w:hAnsi="Times New Roman" w:cs="Times New Roman"/>
          <w:i/>
          <w:iCs/>
          <w:color w:val="000000"/>
          <w:sz w:val="24"/>
          <w:szCs w:val="24"/>
        </w:rPr>
        <w:t>(</w:t>
      </w:r>
      <w:proofErr w:type="spellStart"/>
      <w:r w:rsidR="006261BD" w:rsidRPr="006261BD">
        <w:rPr>
          <w:rFonts w:ascii="Times New Roman" w:hAnsi="Times New Roman" w:cs="Times New Roman"/>
          <w:i/>
          <w:kern w:val="0"/>
          <w:sz w:val="24"/>
          <w:szCs w:val="20"/>
          <w:lang w:eastAsia="en-US"/>
        </w:rPr>
        <w:t>Hou</w:t>
      </w:r>
      <w:r w:rsidR="000A296A">
        <w:rPr>
          <w:rFonts w:ascii="Times New Roman" w:hAnsi="Times New Roman" w:cs="Times New Roman"/>
          <w:i/>
          <w:kern w:val="0"/>
          <w:sz w:val="24"/>
          <w:szCs w:val="20"/>
          <w:lang w:eastAsia="en-US"/>
        </w:rPr>
        <w:t>y</w:t>
      </w:r>
      <w:r w:rsidR="006261BD" w:rsidRPr="006261BD">
        <w:rPr>
          <w:rFonts w:ascii="Times New Roman" w:hAnsi="Times New Roman" w:cs="Times New Roman"/>
          <w:i/>
          <w:kern w:val="0"/>
          <w:sz w:val="24"/>
          <w:szCs w:val="20"/>
          <w:lang w:eastAsia="en-US"/>
        </w:rPr>
        <w:t>ong</w:t>
      </w:r>
      <w:proofErr w:type="spellEnd"/>
      <w:r w:rsidR="006261BD" w:rsidRPr="006261BD">
        <w:rPr>
          <w:rFonts w:ascii="Times New Roman" w:hAnsi="Times New Roman" w:cs="Times New Roman"/>
          <w:i/>
          <w:kern w:val="0"/>
          <w:sz w:val="24"/>
          <w:szCs w:val="20"/>
          <w:lang w:eastAsia="en-US"/>
        </w:rPr>
        <w:t xml:space="preserve"> Yu</w:t>
      </w:r>
      <w:r w:rsidR="006261BD">
        <w:rPr>
          <w:rStyle w:val="ab"/>
          <w:rFonts w:ascii="Times New Roman" w:eastAsia="宋体" w:hAnsi="Times New Roman" w:cs="Times New Roman"/>
          <w:i/>
          <w:iCs/>
          <w:color w:val="000000"/>
          <w:sz w:val="24"/>
          <w:szCs w:val="24"/>
        </w:rPr>
        <w:t>)</w:t>
      </w:r>
      <w:r>
        <w:rPr>
          <w:rFonts w:ascii="Times New Roman" w:eastAsia="宋体" w:hAnsi="Times New Roman" w:cs="Times New Roman"/>
          <w:i/>
          <w:iCs/>
          <w:color w:val="000000"/>
          <w:sz w:val="24"/>
          <w:szCs w:val="24"/>
          <w:lang w:eastAsia="en-US"/>
        </w:rPr>
        <w:t>,</w:t>
      </w:r>
      <w:r>
        <w:rPr>
          <w:i/>
        </w:rPr>
        <w:t xml:space="preserve"> </w:t>
      </w:r>
      <w:hyperlink r:id="rId2" w:history="1">
        <w:r>
          <w:rPr>
            <w:rStyle w:val="ab"/>
            <w:rFonts w:ascii="Times New Roman" w:eastAsia="等线" w:hAnsi="Times New Roman" w:cs="Times New Roman"/>
            <w:i/>
            <w:sz w:val="24"/>
            <w:szCs w:val="24"/>
          </w:rPr>
          <w:t>cx9528@zstu.edu.cn</w:t>
        </w:r>
      </w:hyperlink>
      <w:r>
        <w:rPr>
          <w:rFonts w:ascii="Times New Roman" w:hAnsi="Times New Roman" w:cs="Times New Roman"/>
          <w:i/>
          <w:sz w:val="24"/>
          <w:szCs w:val="24"/>
        </w:rPr>
        <w:t xml:space="preserve"> (</w:t>
      </w:r>
      <w:r>
        <w:rPr>
          <w:rFonts w:ascii="Times New Roman" w:hAnsi="Times New Roman" w:cs="Times New Roman"/>
          <w:i/>
          <w:sz w:val="24"/>
          <w:szCs w:val="28"/>
        </w:rPr>
        <w:t>Xiang Chen</w:t>
      </w:r>
      <w:r>
        <w:rPr>
          <w:rFonts w:ascii="Times New Roman" w:hAnsi="Times New Roman" w:cs="Times New Roman"/>
          <w:i/>
          <w:sz w:val="24"/>
          <w:szCs w:val="24"/>
        </w:rPr>
        <w:t>)</w:t>
      </w:r>
    </w:p>
    <w:p w14:paraId="010F8E1F" w14:textId="77777777" w:rsidR="00A358AB" w:rsidRPr="00D94403" w:rsidRDefault="00A358AB" w:rsidP="00A358AB">
      <w:pPr>
        <w:pStyle w:val="a8"/>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activeWritingStyle w:appName="MSWord" w:lang="en-US" w:vendorID="64" w:dllVersion="0" w:nlCheck="1" w:checkStyle="0"/>
  <w:proofState w:spelling="clean" w:grammar="clean"/>
  <w:defaultTabStop w:val="420"/>
  <w:drawingGridHorizontalSpacing w:val="110"/>
  <w:drawingGridVerticalSpacing w:val="299"/>
  <w:displayHorizont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3MTYytDQ0NjczMTVW0lEKTi0uzszPAykwrgUAHOsnTCwAAAA="/>
  </w:docVars>
  <w:rsids>
    <w:rsidRoot w:val="003D73D1"/>
    <w:rsid w:val="00041029"/>
    <w:rsid w:val="00091EC1"/>
    <w:rsid w:val="000A296A"/>
    <w:rsid w:val="000D134D"/>
    <w:rsid w:val="001148D8"/>
    <w:rsid w:val="00132A54"/>
    <w:rsid w:val="001E7104"/>
    <w:rsid w:val="002011D5"/>
    <w:rsid w:val="0022604D"/>
    <w:rsid w:val="00234176"/>
    <w:rsid w:val="00276A25"/>
    <w:rsid w:val="002C1DDF"/>
    <w:rsid w:val="00304918"/>
    <w:rsid w:val="00324D7C"/>
    <w:rsid w:val="00362E1F"/>
    <w:rsid w:val="003D73D1"/>
    <w:rsid w:val="00422513"/>
    <w:rsid w:val="00491CFA"/>
    <w:rsid w:val="004940C9"/>
    <w:rsid w:val="004B4E40"/>
    <w:rsid w:val="004C5A79"/>
    <w:rsid w:val="0051424A"/>
    <w:rsid w:val="00556CA5"/>
    <w:rsid w:val="00591B56"/>
    <w:rsid w:val="005A1C8C"/>
    <w:rsid w:val="005B7401"/>
    <w:rsid w:val="005E7B99"/>
    <w:rsid w:val="006056A3"/>
    <w:rsid w:val="006261BD"/>
    <w:rsid w:val="00631159"/>
    <w:rsid w:val="0063748A"/>
    <w:rsid w:val="0065450A"/>
    <w:rsid w:val="00680B61"/>
    <w:rsid w:val="006D5F12"/>
    <w:rsid w:val="00713298"/>
    <w:rsid w:val="0071624E"/>
    <w:rsid w:val="007205D0"/>
    <w:rsid w:val="007903A6"/>
    <w:rsid w:val="007A07BF"/>
    <w:rsid w:val="007D3F25"/>
    <w:rsid w:val="00855F27"/>
    <w:rsid w:val="008658A7"/>
    <w:rsid w:val="00865E13"/>
    <w:rsid w:val="008B0508"/>
    <w:rsid w:val="00977994"/>
    <w:rsid w:val="009902E1"/>
    <w:rsid w:val="009A134E"/>
    <w:rsid w:val="00A027BD"/>
    <w:rsid w:val="00A16944"/>
    <w:rsid w:val="00A33C8C"/>
    <w:rsid w:val="00A358AB"/>
    <w:rsid w:val="00A67DF7"/>
    <w:rsid w:val="00AC35BF"/>
    <w:rsid w:val="00AE2086"/>
    <w:rsid w:val="00B43484"/>
    <w:rsid w:val="00B43F58"/>
    <w:rsid w:val="00B56121"/>
    <w:rsid w:val="00B923A7"/>
    <w:rsid w:val="00BC44E3"/>
    <w:rsid w:val="00BC49F4"/>
    <w:rsid w:val="00C06630"/>
    <w:rsid w:val="00C415FC"/>
    <w:rsid w:val="00C52950"/>
    <w:rsid w:val="00C92223"/>
    <w:rsid w:val="00CB06E2"/>
    <w:rsid w:val="00CB5077"/>
    <w:rsid w:val="00CE1B25"/>
    <w:rsid w:val="00D3580E"/>
    <w:rsid w:val="00D36B6B"/>
    <w:rsid w:val="00D94403"/>
    <w:rsid w:val="00E34BB8"/>
    <w:rsid w:val="00E35A76"/>
    <w:rsid w:val="00E43D9F"/>
    <w:rsid w:val="00EF6E49"/>
    <w:rsid w:val="00F01805"/>
    <w:rsid w:val="00F3035B"/>
    <w:rsid w:val="00F704F4"/>
    <w:rsid w:val="00F724BE"/>
    <w:rsid w:val="00FD7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766CC"/>
  <w15:chartTrackingRefBased/>
  <w15:docId w15:val="{008710C2-89F0-4B3E-8175-61E0CE54D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04F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704F4"/>
    <w:rPr>
      <w:sz w:val="18"/>
      <w:szCs w:val="18"/>
    </w:rPr>
  </w:style>
  <w:style w:type="paragraph" w:styleId="a5">
    <w:name w:val="footer"/>
    <w:basedOn w:val="a"/>
    <w:link w:val="a6"/>
    <w:uiPriority w:val="99"/>
    <w:unhideWhenUsed/>
    <w:rsid w:val="00F704F4"/>
    <w:pPr>
      <w:tabs>
        <w:tab w:val="center" w:pos="4153"/>
        <w:tab w:val="right" w:pos="8306"/>
      </w:tabs>
      <w:snapToGrid w:val="0"/>
      <w:jc w:val="left"/>
    </w:pPr>
    <w:rPr>
      <w:sz w:val="18"/>
      <w:szCs w:val="18"/>
    </w:rPr>
  </w:style>
  <w:style w:type="character" w:customStyle="1" w:styleId="a6">
    <w:name w:val="页脚 字符"/>
    <w:basedOn w:val="a0"/>
    <w:link w:val="a5"/>
    <w:uiPriority w:val="99"/>
    <w:rsid w:val="00F704F4"/>
    <w:rPr>
      <w:sz w:val="18"/>
      <w:szCs w:val="18"/>
    </w:rPr>
  </w:style>
  <w:style w:type="paragraph" w:styleId="a7">
    <w:name w:val="List Paragraph"/>
    <w:basedOn w:val="a"/>
    <w:uiPriority w:val="34"/>
    <w:qFormat/>
    <w:rsid w:val="00BC44E3"/>
    <w:pPr>
      <w:ind w:firstLineChars="200" w:firstLine="420"/>
    </w:pPr>
  </w:style>
  <w:style w:type="paragraph" w:styleId="a8">
    <w:name w:val="footnote text"/>
    <w:basedOn w:val="a"/>
    <w:link w:val="a9"/>
    <w:semiHidden/>
    <w:unhideWhenUsed/>
    <w:rsid w:val="00855F27"/>
    <w:pPr>
      <w:snapToGrid w:val="0"/>
      <w:jc w:val="left"/>
    </w:pPr>
    <w:rPr>
      <w:sz w:val="18"/>
      <w:szCs w:val="18"/>
    </w:rPr>
  </w:style>
  <w:style w:type="character" w:customStyle="1" w:styleId="a9">
    <w:name w:val="脚注文本 字符"/>
    <w:basedOn w:val="a0"/>
    <w:link w:val="a8"/>
    <w:semiHidden/>
    <w:rsid w:val="00855F27"/>
    <w:rPr>
      <w:sz w:val="18"/>
      <w:szCs w:val="18"/>
    </w:rPr>
  </w:style>
  <w:style w:type="paragraph" w:customStyle="1" w:styleId="yiv5361757237msonormal">
    <w:name w:val="yiv5361757237msonormal"/>
    <w:basedOn w:val="a"/>
    <w:rsid w:val="00855F27"/>
    <w:pPr>
      <w:widowControl/>
      <w:spacing w:before="100" w:beforeAutospacing="1" w:after="100" w:afterAutospacing="1"/>
      <w:jc w:val="left"/>
    </w:pPr>
    <w:rPr>
      <w:rFonts w:ascii="宋体" w:eastAsia="宋体" w:hAnsi="宋体" w:cs="宋体"/>
      <w:kern w:val="0"/>
      <w:sz w:val="24"/>
      <w:szCs w:val="24"/>
    </w:rPr>
  </w:style>
  <w:style w:type="character" w:styleId="aa">
    <w:name w:val="footnote reference"/>
    <w:basedOn w:val="a0"/>
    <w:uiPriority w:val="99"/>
    <w:unhideWhenUsed/>
    <w:rsid w:val="00041029"/>
    <w:rPr>
      <w:vertAlign w:val="superscript"/>
    </w:rPr>
  </w:style>
  <w:style w:type="character" w:styleId="ab">
    <w:name w:val="Hyperlink"/>
    <w:basedOn w:val="a0"/>
    <w:uiPriority w:val="99"/>
    <w:semiHidden/>
    <w:unhideWhenUsed/>
    <w:rsid w:val="00A358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56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cx9528@zstu.edu.cn" TargetMode="External"/><Relationship Id="rId1" Type="http://schemas.openxmlformats.org/officeDocument/2006/relationships/hyperlink" Target="mailto:phdyu@zst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118C9-29E2-48D9-9AE5-4E4A78249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2865</Words>
  <Characters>16336</Characters>
  <Application>Microsoft Office Word</Application>
  <DocSecurity>0</DocSecurity>
  <Lines>136</Lines>
  <Paragraphs>38</Paragraphs>
  <ScaleCrop>false</ScaleCrop>
  <Company/>
  <LinksUpToDate>false</LinksUpToDate>
  <CharactersWithSpaces>19163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 峰</dc:creator>
  <cp:keywords/>
  <dc:description/>
  <cp:lastModifiedBy>唐 峰</cp:lastModifiedBy>
  <cp:revision>12</cp:revision>
  <dcterms:created xsi:type="dcterms:W3CDTF">2022-01-13T06:39:00Z</dcterms:created>
  <dcterms:modified xsi:type="dcterms:W3CDTF">2022-08-22T10:50:00Z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http://www.zotero.org/styles/acs-applied-materials-and-interfaces</vt:lpwstr>
  </property>
  <property fmtid="{D5CDD505-2E9C-101B-9397-08002B2CF9AE}" pid="3" name="Mendeley Recent Style Name 0_1">
    <vt:lpwstr>ACS Applied Materials &amp; Interfaces</vt:lpwstr>
  </property>
  <property fmtid="{D5CDD505-2E9C-101B-9397-08002B2CF9AE}" pid="4" name="Mendeley Recent Style Id 1_1">
    <vt:lpwstr>http://www.zotero.org/styles/acs-sustainable-chemistry-and-engineering</vt:lpwstr>
  </property>
  <property fmtid="{D5CDD505-2E9C-101B-9397-08002B2CF9AE}" pid="5" name="Mendeley Recent Style Name 1_1">
    <vt:lpwstr>ACS Sustainable Chemistry &amp; Engineering</vt:lpwstr>
  </property>
  <property fmtid="{D5CDD505-2E9C-101B-9397-08002B2CF9AE}" pid="6" name="Mendeley Recent Style Id 2_1">
    <vt:lpwstr>http://www.zotero.org/styles/cellulose</vt:lpwstr>
  </property>
  <property fmtid="{D5CDD505-2E9C-101B-9397-08002B2CF9AE}" pid="7" name="Mendeley Recent Style Name 2_1">
    <vt:lpwstr>Cellulose</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http://www.zotero.org/styles/chinese-gb7714-2005-numeric</vt:lpwstr>
  </property>
  <property fmtid="{D5CDD505-2E9C-101B-9397-08002B2CF9AE}" pid="11" name="Mendeley Recent Style Name 4_1">
    <vt:lpwstr>China National Standard GB/T 7714-2005 (numeric, Chinese)</vt:lpwstr>
  </property>
  <property fmtid="{D5CDD505-2E9C-101B-9397-08002B2CF9AE}" pid="12" name="Mendeley Recent Style Id 5_1">
    <vt:lpwstr>http://www.zotero.org/styles/china-national-standard-gb-t-7714-2015-author-date</vt:lpwstr>
  </property>
  <property fmtid="{D5CDD505-2E9C-101B-9397-08002B2CF9AE}" pid="13" name="Mendeley Recent Style Name 5_1">
    <vt:lpwstr>China National Standard GB/T 7714-2015 (author-date, Chinese)</vt:lpwstr>
  </property>
  <property fmtid="{D5CDD505-2E9C-101B-9397-08002B2CF9AE}" pid="14" name="Mendeley Recent Style Id 6_1">
    <vt:lpwstr>http://www.zotero.org/styles/china-national-standard-gb-t-7714-2015-note</vt:lpwstr>
  </property>
  <property fmtid="{D5CDD505-2E9C-101B-9397-08002B2CF9AE}" pid="15" name="Mendeley Recent Style Name 6_1">
    <vt:lpwstr>China National Standard GB/T 7714-2015 (note, Chinese)</vt:lpwstr>
  </property>
  <property fmtid="{D5CDD505-2E9C-101B-9397-08002B2CF9AE}" pid="16" name="Mendeley Recent Style Id 7_1">
    <vt:lpwstr>http://www.zotero.org/styles/china-national-standard-gb-t-7714-2015-numeric</vt:lpwstr>
  </property>
  <property fmtid="{D5CDD505-2E9C-101B-9397-08002B2CF9AE}" pid="17" name="Mendeley Recent Style Name 7_1">
    <vt:lpwstr>China National Standard GB/T 7714-2015 (numeric, Chinese)</vt:lpwstr>
  </property>
  <property fmtid="{D5CDD505-2E9C-101B-9397-08002B2CF9AE}" pid="18" name="Mendeley Recent Style Id 8_1">
    <vt:lpwstr>http://www.zotero.org/styles/green-chemistry</vt:lpwstr>
  </property>
  <property fmtid="{D5CDD505-2E9C-101B-9397-08002B2CF9AE}" pid="19" name="Mendeley Recent Style Name 8_1">
    <vt:lpwstr>Green Chemistry</vt:lpwstr>
  </property>
  <property fmtid="{D5CDD505-2E9C-101B-9397-08002B2CF9AE}" pid="20" name="Mendeley Recent Style Id 9_1">
    <vt:lpwstr>http://www.zotero.org/styles/journal-of-materials-chemistry-a</vt:lpwstr>
  </property>
  <property fmtid="{D5CDD505-2E9C-101B-9397-08002B2CF9AE}" pid="21" name="Mendeley Recent Style Name 9_1">
    <vt:lpwstr>Journal of Materials Chemistry A</vt:lpwstr>
  </property>
  <property fmtid="{D5CDD505-2E9C-101B-9397-08002B2CF9AE}" pid="22" name="Mendeley Document_1">
    <vt:lpwstr>True</vt:lpwstr>
  </property>
  <property fmtid="{D5CDD505-2E9C-101B-9397-08002B2CF9AE}" pid="23" name="Mendeley Unique User Id_1">
    <vt:lpwstr>97d6dd46-53b4-3120-a805-473380575e9b</vt:lpwstr>
  </property>
  <property fmtid="{D5CDD505-2E9C-101B-9397-08002B2CF9AE}" pid="24" name="Mendeley Citation Style_1">
    <vt:lpwstr>http://www.zotero.org/styles/cellulose</vt:lpwstr>
  </property>
</Properties>
</file>