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7B2" w:rsidRPr="00F0106F" w:rsidRDefault="00D347B2" w:rsidP="00D347B2">
      <w:pPr>
        <w:rPr>
          <w:sz w:val="20"/>
          <w:szCs w:val="20"/>
        </w:rPr>
      </w:pPr>
      <w:bookmarkStart w:id="0" w:name="_GoBack"/>
      <w:r w:rsidRPr="00F0106F">
        <w:rPr>
          <w:sz w:val="20"/>
          <w:szCs w:val="20"/>
        </w:rPr>
        <w:t xml:space="preserve">Supplementary </w:t>
      </w:r>
      <w:r>
        <w:rPr>
          <w:sz w:val="20"/>
          <w:szCs w:val="20"/>
        </w:rPr>
        <w:t>m</w:t>
      </w:r>
      <w:r w:rsidRPr="00F0106F">
        <w:rPr>
          <w:sz w:val="20"/>
          <w:szCs w:val="20"/>
        </w:rPr>
        <w:t xml:space="preserve">aterial A </w:t>
      </w:r>
    </w:p>
    <w:p w:rsidR="00D347B2" w:rsidRPr="00F0106F" w:rsidRDefault="00D347B2" w:rsidP="00D347B2">
      <w:pPr>
        <w:rPr>
          <w:sz w:val="20"/>
          <w:szCs w:val="20"/>
        </w:rPr>
      </w:pPr>
    </w:p>
    <w:p w:rsidR="00D347B2" w:rsidRPr="00F0106F" w:rsidRDefault="00D347B2" w:rsidP="00D347B2">
      <w:pPr>
        <w:rPr>
          <w:sz w:val="20"/>
          <w:szCs w:val="20"/>
        </w:rPr>
      </w:pPr>
      <w:r w:rsidRPr="00F0106F">
        <w:rPr>
          <w:sz w:val="20"/>
          <w:szCs w:val="20"/>
        </w:rPr>
        <w:t>NEQ</w:t>
      </w:r>
    </w:p>
    <w:p w:rsidR="00D347B2" w:rsidRPr="00F0106F" w:rsidRDefault="00D347B2" w:rsidP="00D347B2">
      <w:pPr>
        <w:rPr>
          <w:sz w:val="20"/>
          <w:szCs w:val="20"/>
        </w:rPr>
      </w:pPr>
    </w:p>
    <w:p w:rsidR="00D347B2" w:rsidRPr="00F0106F" w:rsidRDefault="00D347B2" w:rsidP="00D347B2">
      <w:pPr>
        <w:pStyle w:val="CommentText"/>
        <w:rPr>
          <w:color w:val="000000" w:themeColor="text1"/>
        </w:rPr>
      </w:pPr>
      <w:r w:rsidRPr="00F0106F">
        <w:rPr>
          <w:color w:val="000000" w:themeColor="text1"/>
        </w:rPr>
        <w:t xml:space="preserve">Scoring directions: Questions 1-9, which focus on variables occurring before sleep onset, are answered by all participants. Questions 10-12 are answered by those scoring N1-4 on question 9, and 13 and 14 are answered by those scoring N1-4 on question 12. Question 15 is answered by all, and is not added to the total score, but used as a descriptor of the course of the symptoms. Items 1-14 are scored on a 0-4 Likert scale, with the exception of question 7 which has the additional option “check here if your mood does not change during the day”, which is scored as a zero. Items 1, 4 and 14 are reverse-scored, and items 1-12 and 14 are summed. Item 13 is not included in the total score, but is used to rule out the parasomnia, Nocturnal Sleep Related Eating Disorder. </w:t>
      </w:r>
      <w:r w:rsidRPr="00F0106F">
        <w:t>Individuals are considered to have NES if their score is 25 or over.</w:t>
      </w:r>
    </w:p>
    <w:p w:rsidR="00D347B2" w:rsidRPr="00F0106F" w:rsidRDefault="00D347B2" w:rsidP="00D347B2">
      <w:pPr>
        <w:rPr>
          <w:sz w:val="20"/>
          <w:szCs w:val="20"/>
        </w:rPr>
      </w:pPr>
    </w:p>
    <w:p w:rsidR="00D347B2" w:rsidRPr="00F0106F" w:rsidRDefault="00D347B2" w:rsidP="00D347B2">
      <w:pPr>
        <w:rPr>
          <w:sz w:val="20"/>
          <w:szCs w:val="20"/>
        </w:rPr>
      </w:pPr>
    </w:p>
    <w:p w:rsidR="00D347B2" w:rsidRPr="00F0106F" w:rsidRDefault="00D347B2" w:rsidP="00D347B2">
      <w:pPr>
        <w:rPr>
          <w:sz w:val="20"/>
          <w:szCs w:val="20"/>
        </w:rPr>
      </w:pPr>
      <w:r w:rsidRPr="00F0106F">
        <w:rPr>
          <w:sz w:val="20"/>
          <w:szCs w:val="20"/>
        </w:rPr>
        <w:t xml:space="preserve">Supplementary </w:t>
      </w:r>
      <w:r>
        <w:rPr>
          <w:sz w:val="20"/>
          <w:szCs w:val="20"/>
        </w:rPr>
        <w:t>m</w:t>
      </w:r>
      <w:r w:rsidRPr="00F0106F">
        <w:rPr>
          <w:sz w:val="20"/>
          <w:szCs w:val="20"/>
        </w:rPr>
        <w:t>aterial B</w:t>
      </w:r>
    </w:p>
    <w:p w:rsidR="00D347B2" w:rsidRPr="00F0106F" w:rsidRDefault="00D347B2" w:rsidP="00D347B2">
      <w:pPr>
        <w:rPr>
          <w:sz w:val="20"/>
          <w:szCs w:val="20"/>
        </w:rPr>
      </w:pPr>
    </w:p>
    <w:p w:rsidR="00D347B2" w:rsidRPr="00F0106F" w:rsidRDefault="00D347B2" w:rsidP="00D347B2">
      <w:pPr>
        <w:rPr>
          <w:color w:val="000000" w:themeColor="text1"/>
          <w:sz w:val="20"/>
          <w:szCs w:val="20"/>
        </w:rPr>
      </w:pPr>
      <w:r w:rsidRPr="00F0106F">
        <w:rPr>
          <w:color w:val="000000" w:themeColor="text1"/>
          <w:sz w:val="20"/>
          <w:szCs w:val="20"/>
        </w:rPr>
        <w:t>The researchers in the BEP study, due to overlap between BN and BED, split participants into three diagnoses. Participants with 24 or more episodes of purging behaviour in three months were considered ‘Bulimia Nervosa Purging’ (BNP), participants with 24 or more episodes of non-purging compensatory behaviour in three months were considered ‘Bulimia Nervosa Non-Purging’ (BNNP), and participants not in those categories, which included no compensatory behaviour as well as subthreshold cases, &lt;24 episodes of purging, were in the binge-eating disorder (BED) category. Diagnosis based on the three BEP categories was used since research suggests there are differences in NES frequency between BN and BED (Olejniczak et al, 2018; Tu, Tseng, &amp; Chang, 2018). Further information describing how the diagnosis categories were created can be found in Jordan et al., (2014).</w:t>
      </w:r>
    </w:p>
    <w:p w:rsidR="00D347B2" w:rsidRPr="00F0106F" w:rsidRDefault="00D347B2" w:rsidP="00D347B2">
      <w:pPr>
        <w:rPr>
          <w:color w:val="000000" w:themeColor="text1"/>
          <w:sz w:val="20"/>
          <w:szCs w:val="20"/>
        </w:rPr>
      </w:pPr>
    </w:p>
    <w:p w:rsidR="00D347B2" w:rsidRPr="00F0106F" w:rsidRDefault="00D347B2" w:rsidP="00D347B2">
      <w:pPr>
        <w:rPr>
          <w:color w:val="000000" w:themeColor="text1"/>
          <w:sz w:val="20"/>
          <w:szCs w:val="20"/>
        </w:rPr>
      </w:pPr>
    </w:p>
    <w:p w:rsidR="00D347B2" w:rsidRPr="00F0106F" w:rsidRDefault="00D347B2" w:rsidP="00D347B2">
      <w:pPr>
        <w:rPr>
          <w:color w:val="000000" w:themeColor="text1"/>
          <w:sz w:val="20"/>
          <w:szCs w:val="20"/>
        </w:rPr>
      </w:pPr>
      <w:r w:rsidRPr="00F0106F">
        <w:rPr>
          <w:color w:val="000000" w:themeColor="text1"/>
          <w:sz w:val="20"/>
          <w:szCs w:val="20"/>
        </w:rPr>
        <w:t xml:space="preserve">Supplementary </w:t>
      </w:r>
      <w:r>
        <w:rPr>
          <w:color w:val="000000" w:themeColor="text1"/>
          <w:sz w:val="20"/>
          <w:szCs w:val="20"/>
        </w:rPr>
        <w:t>m</w:t>
      </w:r>
      <w:r w:rsidRPr="00F0106F">
        <w:rPr>
          <w:color w:val="000000" w:themeColor="text1"/>
          <w:sz w:val="20"/>
          <w:szCs w:val="20"/>
        </w:rPr>
        <w:t>aterial C</w:t>
      </w:r>
    </w:p>
    <w:p w:rsidR="00D347B2" w:rsidRPr="00F0106F" w:rsidRDefault="00D347B2" w:rsidP="00D347B2">
      <w:pPr>
        <w:rPr>
          <w:color w:val="000000" w:themeColor="text1"/>
          <w:sz w:val="20"/>
          <w:szCs w:val="20"/>
        </w:rPr>
      </w:pPr>
    </w:p>
    <w:p w:rsidR="00D347B2" w:rsidRPr="00F0106F" w:rsidRDefault="00D347B2" w:rsidP="00D347B2">
      <w:pPr>
        <w:rPr>
          <w:i/>
          <w:iCs/>
          <w:sz w:val="20"/>
          <w:szCs w:val="20"/>
        </w:rPr>
      </w:pPr>
      <w:r w:rsidRPr="00F0106F">
        <w:rPr>
          <w:i/>
          <w:iCs/>
          <w:sz w:val="20"/>
          <w:szCs w:val="20"/>
        </w:rPr>
        <w:t>Personality trait characteristics of the study sample</w:t>
      </w:r>
    </w:p>
    <w:tbl>
      <w:tblPr>
        <w:tblStyle w:val="PlainTable2"/>
        <w:tblpPr w:leftFromText="180" w:rightFromText="180" w:vertAnchor="text" w:horzAnchor="margin" w:tblpY="213"/>
        <w:tblW w:w="6635" w:type="dxa"/>
        <w:tblLayout w:type="fixed"/>
        <w:tblLook w:val="0400" w:firstRow="0" w:lastRow="0" w:firstColumn="0" w:lastColumn="0" w:noHBand="0" w:noVBand="1"/>
      </w:tblPr>
      <w:tblGrid>
        <w:gridCol w:w="2949"/>
        <w:gridCol w:w="3686"/>
      </w:tblGrid>
      <w:tr w:rsidR="00D347B2" w:rsidRPr="00F0106F" w:rsidTr="00627DF6">
        <w:trPr>
          <w:cnfStyle w:val="000000100000" w:firstRow="0" w:lastRow="0" w:firstColumn="0" w:lastColumn="0" w:oddVBand="0" w:evenVBand="0" w:oddHBand="1" w:evenHBand="0" w:firstRowFirstColumn="0" w:firstRowLastColumn="0" w:lastRowFirstColumn="0" w:lastRowLastColumn="0"/>
          <w:trHeight w:val="300"/>
        </w:trPr>
        <w:tc>
          <w:tcPr>
            <w:tcW w:w="2949" w:type="dxa"/>
          </w:tcPr>
          <w:p w:rsidR="00D347B2" w:rsidRPr="00F0106F" w:rsidRDefault="00D347B2" w:rsidP="00627DF6">
            <w:pPr>
              <w:spacing w:line="360" w:lineRule="auto"/>
              <w:rPr>
                <w:rFonts w:eastAsia="Arial"/>
                <w:b/>
                <w:color w:val="000000" w:themeColor="text1"/>
                <w:sz w:val="20"/>
                <w:szCs w:val="20"/>
              </w:rPr>
            </w:pPr>
          </w:p>
          <w:p w:rsidR="00D347B2" w:rsidRPr="00F0106F" w:rsidRDefault="00D347B2" w:rsidP="00627DF6">
            <w:pPr>
              <w:rPr>
                <w:rFonts w:eastAsia="Arial"/>
                <w:color w:val="000000" w:themeColor="text1"/>
                <w:sz w:val="20"/>
                <w:szCs w:val="20"/>
              </w:rPr>
            </w:pPr>
            <w:r w:rsidRPr="00F0106F">
              <w:rPr>
                <w:rFonts w:eastAsia="Arial"/>
                <w:color w:val="000000" w:themeColor="text1"/>
                <w:sz w:val="20"/>
                <w:szCs w:val="20"/>
              </w:rPr>
              <w:t>(</w:t>
            </w:r>
            <w:r w:rsidRPr="00F0106F">
              <w:rPr>
                <w:rFonts w:eastAsia="Arial"/>
                <w:i/>
                <w:iCs/>
                <w:color w:val="000000" w:themeColor="text1"/>
                <w:sz w:val="20"/>
                <w:szCs w:val="20"/>
              </w:rPr>
              <w:t>N</w:t>
            </w:r>
            <w:r w:rsidRPr="00F0106F">
              <w:rPr>
                <w:rFonts w:eastAsia="Arial"/>
                <w:color w:val="000000" w:themeColor="text1"/>
                <w:sz w:val="20"/>
                <w:szCs w:val="20"/>
              </w:rPr>
              <w:t>=111)</w:t>
            </w:r>
          </w:p>
        </w:tc>
        <w:tc>
          <w:tcPr>
            <w:tcW w:w="3686" w:type="dxa"/>
          </w:tcPr>
          <w:p w:rsidR="00D347B2" w:rsidRPr="00F0106F" w:rsidRDefault="00D347B2" w:rsidP="00627DF6">
            <w:pPr>
              <w:spacing w:line="360" w:lineRule="auto"/>
              <w:rPr>
                <w:rFonts w:eastAsia="Arial"/>
                <w:b/>
                <w:color w:val="000000" w:themeColor="text1"/>
                <w:sz w:val="20"/>
                <w:szCs w:val="20"/>
              </w:rPr>
            </w:pPr>
            <w:r w:rsidRPr="00F0106F">
              <w:rPr>
                <w:rFonts w:eastAsia="Arial"/>
                <w:b/>
                <w:color w:val="000000" w:themeColor="text1"/>
                <w:sz w:val="20"/>
                <w:szCs w:val="20"/>
              </w:rPr>
              <w:t>Mean (SD)</w:t>
            </w:r>
            <w:r w:rsidRPr="00F0106F">
              <w:rPr>
                <w:color w:val="000000" w:themeColor="text1"/>
                <w:sz w:val="20"/>
                <w:szCs w:val="20"/>
                <w:vertAlign w:val="superscript"/>
              </w:rPr>
              <w:t xml:space="preserve"> </w:t>
            </w:r>
          </w:p>
        </w:tc>
      </w:tr>
      <w:tr w:rsidR="00D347B2" w:rsidRPr="00F0106F" w:rsidTr="00627DF6">
        <w:trPr>
          <w:trHeight w:val="300"/>
        </w:trPr>
        <w:tc>
          <w:tcPr>
            <w:tcW w:w="2949" w:type="dxa"/>
          </w:tcPr>
          <w:p w:rsidR="00D347B2" w:rsidRPr="00F0106F" w:rsidRDefault="00D347B2" w:rsidP="00627DF6">
            <w:pPr>
              <w:spacing w:line="360" w:lineRule="auto"/>
              <w:rPr>
                <w:rFonts w:eastAsia="Arial"/>
                <w:color w:val="000000" w:themeColor="text1"/>
                <w:sz w:val="20"/>
                <w:szCs w:val="20"/>
              </w:rPr>
            </w:pPr>
            <w:r w:rsidRPr="00F0106F">
              <w:rPr>
                <w:color w:val="000000" w:themeColor="text1"/>
                <w:sz w:val="20"/>
                <w:szCs w:val="20"/>
              </w:rPr>
              <w:t>Novelty Seeking</w:t>
            </w:r>
          </w:p>
        </w:tc>
        <w:tc>
          <w:tcPr>
            <w:tcW w:w="3686" w:type="dxa"/>
          </w:tcPr>
          <w:p w:rsidR="00D347B2" w:rsidRPr="00F0106F" w:rsidRDefault="00D347B2" w:rsidP="00627DF6">
            <w:pPr>
              <w:spacing w:line="360" w:lineRule="auto"/>
              <w:rPr>
                <w:rFonts w:eastAsia="Arial"/>
                <w:color w:val="000000" w:themeColor="text1"/>
                <w:sz w:val="20"/>
                <w:szCs w:val="20"/>
              </w:rPr>
            </w:pPr>
            <w:r w:rsidRPr="00F0106F">
              <w:rPr>
                <w:rFonts w:eastAsia="Arial"/>
                <w:color w:val="000000" w:themeColor="text1"/>
                <w:sz w:val="20"/>
                <w:szCs w:val="20"/>
              </w:rPr>
              <w:t>106.7 (15.8)</w:t>
            </w:r>
          </w:p>
        </w:tc>
      </w:tr>
      <w:tr w:rsidR="00D347B2" w:rsidRPr="00F0106F" w:rsidTr="00627DF6">
        <w:trPr>
          <w:cnfStyle w:val="000000100000" w:firstRow="0" w:lastRow="0" w:firstColumn="0" w:lastColumn="0" w:oddVBand="0" w:evenVBand="0" w:oddHBand="1" w:evenHBand="0" w:firstRowFirstColumn="0" w:firstRowLastColumn="0" w:lastRowFirstColumn="0" w:lastRowLastColumn="0"/>
          <w:trHeight w:val="300"/>
        </w:trPr>
        <w:tc>
          <w:tcPr>
            <w:tcW w:w="2949" w:type="dxa"/>
          </w:tcPr>
          <w:p w:rsidR="00D347B2" w:rsidRPr="00F0106F" w:rsidRDefault="00D347B2" w:rsidP="00627DF6">
            <w:pPr>
              <w:spacing w:line="360" w:lineRule="auto"/>
              <w:rPr>
                <w:rFonts w:eastAsia="Arial"/>
                <w:color w:val="000000" w:themeColor="text1"/>
                <w:sz w:val="20"/>
                <w:szCs w:val="20"/>
              </w:rPr>
            </w:pPr>
            <w:r w:rsidRPr="00F0106F">
              <w:rPr>
                <w:color w:val="000000" w:themeColor="text1"/>
                <w:sz w:val="20"/>
                <w:szCs w:val="20"/>
              </w:rPr>
              <w:t>Harm Avoidance</w:t>
            </w:r>
          </w:p>
        </w:tc>
        <w:tc>
          <w:tcPr>
            <w:tcW w:w="3686" w:type="dxa"/>
          </w:tcPr>
          <w:p w:rsidR="00D347B2" w:rsidRPr="00F0106F" w:rsidRDefault="00D347B2" w:rsidP="00627DF6">
            <w:pPr>
              <w:spacing w:line="360" w:lineRule="auto"/>
              <w:rPr>
                <w:rFonts w:eastAsia="Arial"/>
                <w:bCs/>
                <w:color w:val="000000" w:themeColor="text1"/>
                <w:sz w:val="20"/>
                <w:szCs w:val="20"/>
              </w:rPr>
            </w:pPr>
            <w:r w:rsidRPr="00F0106F">
              <w:rPr>
                <w:rFonts w:eastAsia="Arial"/>
                <w:bCs/>
                <w:color w:val="000000" w:themeColor="text1"/>
                <w:sz w:val="20"/>
                <w:szCs w:val="20"/>
              </w:rPr>
              <w:t>106.0 (20.2)</w:t>
            </w:r>
          </w:p>
        </w:tc>
      </w:tr>
      <w:tr w:rsidR="00D347B2" w:rsidRPr="00F0106F" w:rsidTr="00627DF6">
        <w:trPr>
          <w:trHeight w:val="300"/>
        </w:trPr>
        <w:tc>
          <w:tcPr>
            <w:tcW w:w="2949" w:type="dxa"/>
          </w:tcPr>
          <w:p w:rsidR="00D347B2" w:rsidRPr="00F0106F" w:rsidRDefault="00D347B2" w:rsidP="00627DF6">
            <w:pPr>
              <w:spacing w:line="360" w:lineRule="auto"/>
              <w:rPr>
                <w:rFonts w:eastAsia="Arial"/>
                <w:color w:val="000000" w:themeColor="text1"/>
                <w:sz w:val="20"/>
                <w:szCs w:val="20"/>
              </w:rPr>
            </w:pPr>
            <w:r w:rsidRPr="00F0106F">
              <w:rPr>
                <w:color w:val="000000" w:themeColor="text1"/>
                <w:sz w:val="20"/>
                <w:szCs w:val="20"/>
              </w:rPr>
              <w:t>Reward Dependence</w:t>
            </w:r>
          </w:p>
        </w:tc>
        <w:tc>
          <w:tcPr>
            <w:tcW w:w="3686" w:type="dxa"/>
          </w:tcPr>
          <w:p w:rsidR="00D347B2" w:rsidRPr="00F0106F" w:rsidRDefault="00D347B2" w:rsidP="00627DF6">
            <w:pPr>
              <w:spacing w:line="360" w:lineRule="auto"/>
              <w:rPr>
                <w:rFonts w:eastAsia="Arial"/>
                <w:bCs/>
                <w:color w:val="000000" w:themeColor="text1"/>
                <w:sz w:val="20"/>
                <w:szCs w:val="20"/>
              </w:rPr>
            </w:pPr>
            <w:r w:rsidRPr="00F0106F">
              <w:rPr>
                <w:rFonts w:eastAsia="Arial"/>
                <w:bCs/>
                <w:color w:val="000000" w:themeColor="text1"/>
                <w:sz w:val="20"/>
                <w:szCs w:val="20"/>
              </w:rPr>
              <w:t>103.7 (13.9)</w:t>
            </w:r>
          </w:p>
        </w:tc>
      </w:tr>
      <w:tr w:rsidR="00D347B2" w:rsidRPr="00F0106F" w:rsidTr="00627DF6">
        <w:trPr>
          <w:cnfStyle w:val="000000100000" w:firstRow="0" w:lastRow="0" w:firstColumn="0" w:lastColumn="0" w:oddVBand="0" w:evenVBand="0" w:oddHBand="1" w:evenHBand="0" w:firstRowFirstColumn="0" w:firstRowLastColumn="0" w:lastRowFirstColumn="0" w:lastRowLastColumn="0"/>
          <w:trHeight w:val="300"/>
        </w:trPr>
        <w:tc>
          <w:tcPr>
            <w:tcW w:w="2949" w:type="dxa"/>
          </w:tcPr>
          <w:p w:rsidR="00D347B2" w:rsidRPr="00F0106F" w:rsidRDefault="00D347B2" w:rsidP="00627DF6">
            <w:pPr>
              <w:spacing w:line="360" w:lineRule="auto"/>
              <w:rPr>
                <w:rFonts w:eastAsia="Arial"/>
                <w:color w:val="000000" w:themeColor="text1"/>
                <w:sz w:val="20"/>
                <w:szCs w:val="20"/>
                <w:vertAlign w:val="superscript"/>
              </w:rPr>
            </w:pPr>
            <w:r w:rsidRPr="00F0106F">
              <w:rPr>
                <w:color w:val="000000" w:themeColor="text1"/>
                <w:sz w:val="20"/>
                <w:szCs w:val="20"/>
              </w:rPr>
              <w:t>Persistence</w:t>
            </w:r>
          </w:p>
        </w:tc>
        <w:tc>
          <w:tcPr>
            <w:tcW w:w="3686" w:type="dxa"/>
          </w:tcPr>
          <w:p w:rsidR="00D347B2" w:rsidRPr="00F0106F" w:rsidRDefault="00D347B2" w:rsidP="00627DF6">
            <w:pPr>
              <w:spacing w:line="360" w:lineRule="auto"/>
              <w:rPr>
                <w:rFonts w:eastAsia="Arial"/>
                <w:bCs/>
                <w:color w:val="000000" w:themeColor="text1"/>
                <w:sz w:val="20"/>
                <w:szCs w:val="20"/>
              </w:rPr>
            </w:pPr>
            <w:r w:rsidRPr="00F0106F">
              <w:rPr>
                <w:rFonts w:eastAsia="Arial"/>
                <w:bCs/>
                <w:color w:val="000000" w:themeColor="text1"/>
                <w:sz w:val="20"/>
                <w:szCs w:val="20"/>
              </w:rPr>
              <w:t>112.3 (23.0)</w:t>
            </w:r>
          </w:p>
        </w:tc>
      </w:tr>
      <w:tr w:rsidR="00D347B2" w:rsidRPr="00F0106F" w:rsidTr="00627DF6">
        <w:trPr>
          <w:trHeight w:val="300"/>
        </w:trPr>
        <w:tc>
          <w:tcPr>
            <w:tcW w:w="2949" w:type="dxa"/>
          </w:tcPr>
          <w:p w:rsidR="00D347B2" w:rsidRPr="00F0106F" w:rsidRDefault="00D347B2" w:rsidP="00627DF6">
            <w:pPr>
              <w:spacing w:line="360" w:lineRule="auto"/>
              <w:rPr>
                <w:rFonts w:eastAsia="Arial"/>
                <w:color w:val="000000" w:themeColor="text1"/>
                <w:sz w:val="20"/>
                <w:szCs w:val="20"/>
              </w:rPr>
            </w:pPr>
            <w:r w:rsidRPr="00F0106F">
              <w:rPr>
                <w:color w:val="000000" w:themeColor="text1"/>
                <w:sz w:val="20"/>
                <w:szCs w:val="20"/>
              </w:rPr>
              <w:t>Self-Directedness</w:t>
            </w:r>
          </w:p>
        </w:tc>
        <w:tc>
          <w:tcPr>
            <w:tcW w:w="3686" w:type="dxa"/>
          </w:tcPr>
          <w:p w:rsidR="00D347B2" w:rsidRPr="00F0106F" w:rsidRDefault="00D347B2" w:rsidP="00627DF6">
            <w:pPr>
              <w:spacing w:line="360" w:lineRule="auto"/>
              <w:rPr>
                <w:rFonts w:eastAsia="Arial"/>
                <w:bCs/>
                <w:color w:val="000000" w:themeColor="text1"/>
                <w:sz w:val="20"/>
                <w:szCs w:val="20"/>
              </w:rPr>
            </w:pPr>
            <w:r w:rsidRPr="00F0106F">
              <w:rPr>
                <w:rFonts w:eastAsia="Arial"/>
                <w:bCs/>
                <w:color w:val="000000" w:themeColor="text1"/>
                <w:sz w:val="20"/>
                <w:szCs w:val="20"/>
              </w:rPr>
              <w:t>127.7 (19.8)</w:t>
            </w:r>
          </w:p>
        </w:tc>
      </w:tr>
      <w:tr w:rsidR="00D347B2" w:rsidRPr="00F0106F" w:rsidTr="00627DF6">
        <w:trPr>
          <w:cnfStyle w:val="000000100000" w:firstRow="0" w:lastRow="0" w:firstColumn="0" w:lastColumn="0" w:oddVBand="0" w:evenVBand="0" w:oddHBand="1" w:evenHBand="0" w:firstRowFirstColumn="0" w:firstRowLastColumn="0" w:lastRowFirstColumn="0" w:lastRowLastColumn="0"/>
          <w:trHeight w:val="300"/>
        </w:trPr>
        <w:tc>
          <w:tcPr>
            <w:tcW w:w="2949" w:type="dxa"/>
          </w:tcPr>
          <w:p w:rsidR="00D347B2" w:rsidRPr="00F0106F" w:rsidRDefault="00D347B2" w:rsidP="00627DF6">
            <w:pPr>
              <w:spacing w:line="360" w:lineRule="auto"/>
              <w:rPr>
                <w:rFonts w:eastAsia="Arial"/>
                <w:color w:val="000000" w:themeColor="text1"/>
                <w:sz w:val="20"/>
                <w:szCs w:val="20"/>
              </w:rPr>
            </w:pPr>
            <w:r w:rsidRPr="00F0106F">
              <w:rPr>
                <w:color w:val="000000" w:themeColor="text1"/>
                <w:sz w:val="20"/>
                <w:szCs w:val="20"/>
              </w:rPr>
              <w:t>Cooperativeness</w:t>
            </w:r>
          </w:p>
        </w:tc>
        <w:tc>
          <w:tcPr>
            <w:tcW w:w="3686" w:type="dxa"/>
          </w:tcPr>
          <w:p w:rsidR="00D347B2" w:rsidRPr="00F0106F" w:rsidRDefault="00D347B2" w:rsidP="00627DF6">
            <w:pPr>
              <w:spacing w:line="360" w:lineRule="auto"/>
              <w:rPr>
                <w:rFonts w:eastAsia="Arial"/>
                <w:bCs/>
                <w:color w:val="000000" w:themeColor="text1"/>
                <w:sz w:val="20"/>
                <w:szCs w:val="20"/>
              </w:rPr>
            </w:pPr>
            <w:r w:rsidRPr="00F0106F">
              <w:rPr>
                <w:rFonts w:eastAsia="Arial"/>
                <w:bCs/>
                <w:color w:val="000000" w:themeColor="text1"/>
                <w:sz w:val="20"/>
                <w:szCs w:val="20"/>
              </w:rPr>
              <w:t>136.7 (14.8)</w:t>
            </w:r>
          </w:p>
        </w:tc>
      </w:tr>
      <w:tr w:rsidR="00D347B2" w:rsidRPr="00F0106F" w:rsidTr="00627DF6">
        <w:trPr>
          <w:trHeight w:val="300"/>
        </w:trPr>
        <w:tc>
          <w:tcPr>
            <w:tcW w:w="2949" w:type="dxa"/>
          </w:tcPr>
          <w:p w:rsidR="00D347B2" w:rsidRPr="00F0106F" w:rsidRDefault="00D347B2" w:rsidP="00627DF6">
            <w:pPr>
              <w:spacing w:line="360" w:lineRule="auto"/>
              <w:rPr>
                <w:rFonts w:eastAsia="Arial"/>
                <w:color w:val="000000" w:themeColor="text1"/>
                <w:sz w:val="20"/>
                <w:szCs w:val="20"/>
              </w:rPr>
            </w:pPr>
            <w:r w:rsidRPr="00F0106F">
              <w:rPr>
                <w:color w:val="000000" w:themeColor="text1"/>
                <w:sz w:val="20"/>
                <w:szCs w:val="20"/>
              </w:rPr>
              <w:t>Self-Transcendence</w:t>
            </w:r>
          </w:p>
        </w:tc>
        <w:tc>
          <w:tcPr>
            <w:tcW w:w="3686" w:type="dxa"/>
          </w:tcPr>
          <w:p w:rsidR="00D347B2" w:rsidRPr="00F0106F" w:rsidRDefault="00D347B2" w:rsidP="00627DF6">
            <w:pPr>
              <w:spacing w:line="360" w:lineRule="auto"/>
              <w:rPr>
                <w:rFonts w:eastAsia="Arial"/>
                <w:bCs/>
                <w:color w:val="000000" w:themeColor="text1"/>
                <w:sz w:val="20"/>
                <w:szCs w:val="20"/>
              </w:rPr>
            </w:pPr>
            <w:r w:rsidRPr="00F0106F">
              <w:rPr>
                <w:rFonts w:eastAsia="Arial"/>
                <w:bCs/>
                <w:color w:val="000000" w:themeColor="text1"/>
                <w:sz w:val="20"/>
                <w:szCs w:val="20"/>
              </w:rPr>
              <w:t>61.3 (16.6)</w:t>
            </w:r>
          </w:p>
        </w:tc>
      </w:tr>
    </w:tbl>
    <w:p w:rsidR="00D347B2" w:rsidRDefault="00D347B2" w:rsidP="00D347B2">
      <w:pPr>
        <w:rPr>
          <w:color w:val="000000" w:themeColor="text1"/>
        </w:rPr>
      </w:pPr>
    </w:p>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F0106F" w:rsidRDefault="00D347B2" w:rsidP="00D347B2"/>
    <w:p w:rsidR="00D347B2" w:rsidRPr="0063060D" w:rsidRDefault="00D347B2" w:rsidP="00D347B2">
      <w:pPr>
        <w:spacing w:line="480" w:lineRule="auto"/>
        <w:rPr>
          <w:color w:val="000000" w:themeColor="text1"/>
          <w:sz w:val="20"/>
          <w:szCs w:val="20"/>
        </w:rPr>
      </w:pPr>
    </w:p>
    <w:bookmarkEnd w:id="0"/>
    <w:p w:rsidR="00D56072" w:rsidRDefault="00D56072"/>
    <w:sectPr w:rsidR="00D56072" w:rsidSect="00C06E43">
      <w:pgSz w:w="11901" w:h="16817"/>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7B2"/>
    <w:rsid w:val="00D347B2"/>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FB6244-4667-4044-A49C-9DBEC8E77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47B2"/>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D347B2"/>
    <w:rPr>
      <w:sz w:val="20"/>
      <w:szCs w:val="20"/>
    </w:rPr>
  </w:style>
  <w:style w:type="character" w:customStyle="1" w:styleId="CommentTextChar">
    <w:name w:val="Comment Text Char"/>
    <w:basedOn w:val="DefaultParagraphFont"/>
    <w:link w:val="CommentText"/>
    <w:uiPriority w:val="99"/>
    <w:rsid w:val="00D347B2"/>
    <w:rPr>
      <w:rFonts w:ascii="Times New Roman" w:eastAsia="Times New Roman" w:hAnsi="Times New Roman" w:cs="Times New Roman"/>
      <w:sz w:val="20"/>
      <w:szCs w:val="20"/>
      <w:lang w:val="en-GB" w:eastAsia="en-GB"/>
    </w:rPr>
  </w:style>
  <w:style w:type="table" w:styleId="PlainTable2">
    <w:name w:val="Plain Table 2"/>
    <w:basedOn w:val="TableNormal"/>
    <w:uiPriority w:val="42"/>
    <w:rsid w:val="00D347B2"/>
    <w:pPr>
      <w:spacing w:after="0" w:line="240" w:lineRule="auto"/>
    </w:pPr>
    <w:rPr>
      <w:sz w:val="24"/>
      <w:szCs w:val="24"/>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1785</Characters>
  <Application>Microsoft Office Word</Application>
  <DocSecurity>0</DocSecurity>
  <Lines>14</Lines>
  <Paragraphs>4</Paragraphs>
  <ScaleCrop>false</ScaleCrop>
  <Company>Springer Nature IT</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2021-02-18T16:38:00Z</dcterms:created>
  <dcterms:modified xsi:type="dcterms:W3CDTF">2021-02-18T16:38:00Z</dcterms:modified>
</cp:coreProperties>
</file>