
<file path=[Content_Types].xml><?xml version="1.0" encoding="utf-8"?>
<Types xmlns="http://schemas.openxmlformats.org/package/2006/content-types">
  <Default Extension="bin" ContentType="application/vnd.openxmlformats-officedocument.oleObject"/>
  <Default Extension="wmf" ContentType="image/x-w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cstheme="minorHAnsi"/>
          <w:b/>
          <w:sz w:val="32"/>
        </w:rPr>
      </w:pPr>
      <w:r>
        <w:rPr>
          <w:rFonts w:cstheme="minorHAnsi"/>
          <w:b/>
          <w:sz w:val="32"/>
        </w:rPr>
        <w:t>Supplemental Information</w:t>
      </w:r>
    </w:p>
    <w:p>
      <w:pPr>
        <w:jc w:val="center"/>
        <w:rPr>
          <w:rFonts w:ascii="Calibri" w:hAnsi="Calibri"/>
          <w:b/>
          <w:sz w:val="28"/>
          <w:szCs w:val="28"/>
        </w:rPr>
      </w:pPr>
    </w:p>
    <w:p>
      <w:pPr>
        <w:spacing w:line="520" w:lineRule="exact"/>
        <w:jc w:val="center"/>
        <w:rPr>
          <w:rFonts w:ascii="Calibri" w:hAnsi="Calibri" w:cs="Calibri"/>
          <w:b/>
          <w:sz w:val="28"/>
          <w:szCs w:val="28"/>
        </w:rPr>
      </w:pPr>
      <w:bookmarkStart w:id="20" w:name="_GoBack"/>
      <w:r>
        <w:rPr>
          <w:rFonts w:ascii="Calibri" w:hAnsi="Calibri" w:cs="Calibri"/>
          <w:b/>
          <w:sz w:val="28"/>
          <w:szCs w:val="28"/>
        </w:rPr>
        <w:t xml:space="preserve">Angiotensin blockade enhances motivational reward learning via enhancing striatal prediction error </w:t>
      </w:r>
      <w:r>
        <w:rPr>
          <w:rFonts w:hint="eastAsia" w:ascii="Calibri" w:hAnsi="Calibri" w:cs="Calibri"/>
          <w:b/>
          <w:sz w:val="28"/>
          <w:szCs w:val="28"/>
          <w:lang w:val="en-US" w:eastAsia="zh-CN"/>
        </w:rPr>
        <w:t xml:space="preserve">signaling </w:t>
      </w:r>
      <w:r>
        <w:rPr>
          <w:rFonts w:ascii="Calibri" w:hAnsi="Calibri" w:cs="Calibri"/>
          <w:b/>
          <w:sz w:val="28"/>
          <w:szCs w:val="28"/>
        </w:rPr>
        <w:t>and frontostriatal communication</w:t>
      </w:r>
    </w:p>
    <w:bookmarkEnd w:id="20"/>
    <w:p>
      <w:pPr>
        <w:rPr>
          <w:rFonts w:ascii="Calibri" w:hAnsi="Calibri" w:cs="Calibri"/>
          <w:b/>
          <w:sz w:val="24"/>
        </w:rPr>
      </w:pPr>
    </w:p>
    <w:p>
      <w:pPr>
        <w:jc w:val="center"/>
        <w:rPr>
          <w:rFonts w:ascii="Calibri" w:hAnsi="Calibri" w:cs="Calibri"/>
          <w:b/>
          <w:sz w:val="24"/>
        </w:rPr>
      </w:pPr>
    </w:p>
    <w:p>
      <w:pPr>
        <w:rPr>
          <w:rFonts w:ascii="Calibri" w:hAnsi="Calibri" w:cs="Calibri"/>
          <w:b/>
          <w:sz w:val="24"/>
        </w:rPr>
      </w:pPr>
      <w:r>
        <w:rPr>
          <w:rFonts w:ascii="Calibri" w:hAnsi="Calibri" w:cs="Calibri"/>
          <w:b/>
          <w:sz w:val="24"/>
        </w:rPr>
        <w:t>Authors</w:t>
      </w:r>
    </w:p>
    <w:p>
      <w:pPr>
        <w:spacing w:line="276" w:lineRule="auto"/>
        <w:jc w:val="left"/>
        <w:rPr>
          <w:rFonts w:ascii="Calibri" w:hAnsi="Calibri" w:cs="Calibri"/>
          <w:sz w:val="22"/>
          <w:vertAlign w:val="superscript"/>
        </w:rPr>
      </w:pPr>
      <w:r>
        <w:rPr>
          <w:rFonts w:ascii="Calibri" w:hAnsi="Calibri" w:cs="Calibri"/>
          <w:sz w:val="22"/>
          <w:lang w:bidi="ar"/>
        </w:rPr>
        <w:t>Ting Xu</w:t>
      </w:r>
      <w:r>
        <w:rPr>
          <w:rFonts w:ascii="Calibri" w:hAnsi="Calibri" w:cs="Calibri"/>
          <w:sz w:val="22"/>
          <w:vertAlign w:val="superscript"/>
          <w:lang w:bidi="ar"/>
        </w:rPr>
        <w:t>1</w:t>
      </w:r>
      <w:r>
        <w:rPr>
          <w:rFonts w:ascii="Calibri" w:hAnsi="Calibri" w:cs="Calibri"/>
          <w:sz w:val="22"/>
          <w:lang w:bidi="ar"/>
        </w:rPr>
        <w:t>, Xinqi Zhou</w:t>
      </w:r>
      <w:r>
        <w:rPr>
          <w:rFonts w:ascii="Calibri" w:hAnsi="Calibri" w:cs="Calibri"/>
          <w:sz w:val="22"/>
          <w:vertAlign w:val="superscript"/>
          <w:lang w:bidi="ar"/>
        </w:rPr>
        <w:t>1</w:t>
      </w:r>
      <w:r>
        <w:rPr>
          <w:rFonts w:ascii="Calibri" w:hAnsi="Calibri" w:cs="Calibri"/>
          <w:sz w:val="22"/>
          <w:lang w:bidi="ar"/>
        </w:rPr>
        <w:t>, Jonathan W. Kanen</w:t>
      </w:r>
      <w:r>
        <w:rPr>
          <w:rFonts w:ascii="Calibri" w:hAnsi="Calibri" w:cs="Calibri"/>
          <w:sz w:val="22"/>
          <w:vertAlign w:val="superscript"/>
          <w:lang w:bidi="ar"/>
        </w:rPr>
        <w:t>2,3</w:t>
      </w:r>
      <w:r>
        <w:rPr>
          <w:rFonts w:ascii="Calibri" w:hAnsi="Calibri" w:cs="Calibri"/>
          <w:sz w:val="22"/>
          <w:lang w:bidi="ar"/>
        </w:rPr>
        <w:t>, Lan Wang</w:t>
      </w:r>
      <w:r>
        <w:rPr>
          <w:rFonts w:ascii="Calibri" w:hAnsi="Calibri" w:cs="Calibri"/>
          <w:sz w:val="22"/>
          <w:vertAlign w:val="superscript"/>
          <w:lang w:bidi="ar"/>
        </w:rPr>
        <w:t>1</w:t>
      </w:r>
      <w:r>
        <w:rPr>
          <w:rFonts w:ascii="Calibri" w:hAnsi="Calibri" w:cs="Calibri"/>
          <w:sz w:val="22"/>
          <w:lang w:bidi="ar"/>
        </w:rPr>
        <w:t>,</w:t>
      </w:r>
      <w:r>
        <w:rPr>
          <w:rFonts w:hint="eastAsia" w:ascii="Calibri" w:hAnsi="Calibri" w:cs="Calibri"/>
          <w:sz w:val="22"/>
          <w:lang w:val="en-US" w:eastAsia="zh-CN" w:bidi="ar"/>
        </w:rPr>
        <w:t xml:space="preserve"> </w:t>
      </w:r>
      <w:r>
        <w:rPr>
          <w:rFonts w:hint="eastAsia" w:ascii="Calibri" w:hAnsi="Calibri" w:cs="Calibri"/>
          <w:sz w:val="22"/>
          <w:lang w:bidi="ar"/>
        </w:rPr>
        <w:t>Jialin Li</w:t>
      </w:r>
      <w:r>
        <w:rPr>
          <w:rFonts w:ascii="Calibri" w:hAnsi="Calibri" w:cs="Calibri"/>
          <w:sz w:val="22"/>
          <w:lang w:bidi="ar"/>
        </w:rPr>
        <w:t xml:space="preserve"> </w:t>
      </w:r>
      <w:r>
        <w:rPr>
          <w:rFonts w:hint="eastAsia" w:ascii="Calibri" w:hAnsi="Calibri" w:cs="Calibri"/>
          <w:sz w:val="22"/>
          <w:vertAlign w:val="superscript"/>
          <w:lang w:val="en-US" w:eastAsia="zh-CN" w:bidi="ar"/>
        </w:rPr>
        <w:t>4</w:t>
      </w:r>
      <w:r>
        <w:rPr>
          <w:rFonts w:hint="eastAsia" w:ascii="Calibri" w:hAnsi="Calibri" w:cs="Calibri"/>
          <w:sz w:val="22"/>
          <w:lang w:val="en-US" w:eastAsia="zh-CN" w:bidi="ar"/>
        </w:rPr>
        <w:t xml:space="preserve">, </w:t>
      </w:r>
      <w:r>
        <w:rPr>
          <w:rFonts w:ascii="Calibri" w:hAnsi="Calibri" w:cs="Calibri"/>
          <w:sz w:val="22"/>
          <w:lang w:bidi="ar"/>
        </w:rPr>
        <w:t>Zhiyi Chen</w:t>
      </w:r>
      <w:r>
        <w:rPr>
          <w:rFonts w:hint="eastAsia" w:ascii="Calibri" w:hAnsi="Calibri" w:cs="Calibri"/>
          <w:sz w:val="22"/>
          <w:vertAlign w:val="superscript"/>
          <w:lang w:val="en-US" w:eastAsia="zh-CN" w:bidi="ar"/>
        </w:rPr>
        <w:t>5</w:t>
      </w:r>
      <w:r>
        <w:rPr>
          <w:rFonts w:ascii="Calibri" w:hAnsi="Calibri" w:cs="Calibri"/>
          <w:sz w:val="22"/>
          <w:vertAlign w:val="superscript"/>
          <w:lang w:bidi="ar"/>
        </w:rPr>
        <w:t>,</w:t>
      </w:r>
      <w:r>
        <w:rPr>
          <w:rFonts w:hint="eastAsia" w:ascii="Calibri" w:hAnsi="Calibri" w:cs="Calibri"/>
          <w:sz w:val="22"/>
          <w:vertAlign w:val="superscript"/>
          <w:lang w:val="en-US" w:eastAsia="zh-CN" w:bidi="ar"/>
        </w:rPr>
        <w:t>6</w:t>
      </w:r>
      <w:r>
        <w:rPr>
          <w:rFonts w:ascii="Calibri" w:hAnsi="Calibri" w:cs="Calibri"/>
          <w:sz w:val="22"/>
          <w:lang w:bidi="ar"/>
        </w:rPr>
        <w:t>, Ran Zhang</w:t>
      </w:r>
      <w:r>
        <w:rPr>
          <w:rFonts w:ascii="Calibri" w:hAnsi="Calibri" w:cs="Calibri"/>
          <w:sz w:val="22"/>
          <w:vertAlign w:val="superscript"/>
          <w:lang w:bidi="ar"/>
        </w:rPr>
        <w:t>1</w:t>
      </w:r>
      <w:r>
        <w:rPr>
          <w:rFonts w:ascii="Calibri" w:hAnsi="Calibri" w:cs="Calibri"/>
          <w:sz w:val="22"/>
          <w:lang w:bidi="ar"/>
        </w:rPr>
        <w:t>, Guojuan Jiao</w:t>
      </w:r>
      <w:r>
        <w:rPr>
          <w:rFonts w:ascii="Calibri" w:hAnsi="Calibri" w:cs="Calibri"/>
          <w:sz w:val="22"/>
          <w:vertAlign w:val="superscript"/>
          <w:lang w:bidi="ar"/>
        </w:rPr>
        <w:t>1</w:t>
      </w:r>
      <w:r>
        <w:rPr>
          <w:rFonts w:ascii="Calibri" w:hAnsi="Calibri" w:cs="Calibri"/>
          <w:sz w:val="22"/>
          <w:lang w:bidi="ar"/>
        </w:rPr>
        <w:t>, Feng Zhou</w:t>
      </w:r>
      <w:r>
        <w:rPr>
          <w:rFonts w:hint="eastAsia" w:ascii="Calibri" w:hAnsi="Calibri" w:cs="Calibri"/>
          <w:sz w:val="22"/>
          <w:vertAlign w:val="superscript"/>
          <w:lang w:val="en-US" w:eastAsia="zh-CN" w:bidi="ar"/>
        </w:rPr>
        <w:t>5,6</w:t>
      </w:r>
      <w:r>
        <w:rPr>
          <w:rFonts w:ascii="Calibri" w:hAnsi="Calibri" w:eastAsia="AdvOTf0129623 + 20" w:cs="Calibri"/>
          <w:sz w:val="22"/>
          <w:szCs w:val="18"/>
          <w:lang w:bidi="ar"/>
        </w:rPr>
        <w:t xml:space="preserve">, </w:t>
      </w:r>
      <w:r>
        <w:rPr>
          <w:rFonts w:ascii="Calibri" w:hAnsi="Calibri" w:cs="Calibri"/>
          <w:sz w:val="22"/>
          <w:szCs w:val="22"/>
          <w:lang w:bidi="ar"/>
        </w:rPr>
        <w:t>Weihua Zhao</w:t>
      </w:r>
      <w:r>
        <w:rPr>
          <w:rFonts w:ascii="Calibri" w:hAnsi="Calibri" w:cs="Calibri"/>
          <w:sz w:val="22"/>
          <w:vertAlign w:val="superscript"/>
          <w:lang w:bidi="ar"/>
        </w:rPr>
        <w:t>1</w:t>
      </w:r>
      <w:r>
        <w:rPr>
          <w:rFonts w:ascii="Calibri" w:hAnsi="Calibri" w:cs="Calibri"/>
          <w:sz w:val="22"/>
          <w:szCs w:val="22"/>
          <w:lang w:bidi="ar"/>
        </w:rPr>
        <w:t>, Shuxia Yao</w:t>
      </w:r>
      <w:r>
        <w:rPr>
          <w:rFonts w:ascii="Calibri" w:hAnsi="Calibri" w:cs="Calibri"/>
          <w:sz w:val="22"/>
          <w:vertAlign w:val="superscript"/>
          <w:lang w:bidi="ar"/>
        </w:rPr>
        <w:t>1</w:t>
      </w:r>
      <w:r>
        <w:rPr>
          <w:rFonts w:ascii="Calibri" w:hAnsi="Calibri" w:cs="Calibri"/>
          <w:sz w:val="22"/>
          <w:lang w:bidi="ar"/>
        </w:rPr>
        <w:t xml:space="preserve">, </w:t>
      </w:r>
      <w:r>
        <w:rPr>
          <w:rFonts w:ascii="Calibri" w:hAnsi="Calibri" w:eastAsia="AdvOTf0129623 + 20" w:cs="Calibri"/>
          <w:sz w:val="22"/>
          <w:szCs w:val="18"/>
          <w:lang w:bidi="ar"/>
        </w:rPr>
        <w:t>Benjamin Becker</w:t>
      </w:r>
      <w:r>
        <w:rPr>
          <w:rFonts w:ascii="Calibri" w:hAnsi="Calibri" w:cs="Calibri"/>
          <w:sz w:val="22"/>
          <w:vertAlign w:val="superscript"/>
          <w:lang w:bidi="ar"/>
        </w:rPr>
        <w:t>1,*</w:t>
      </w:r>
    </w:p>
    <w:p>
      <w:pPr>
        <w:spacing w:line="276" w:lineRule="auto"/>
        <w:jc w:val="center"/>
        <w:rPr>
          <w:rFonts w:ascii="Calibri" w:hAnsi="Calibri" w:cs="Calibri"/>
          <w:sz w:val="24"/>
          <w:vertAlign w:val="superscript"/>
        </w:rPr>
      </w:pPr>
    </w:p>
    <w:p>
      <w:pPr>
        <w:spacing w:line="276" w:lineRule="auto"/>
        <w:jc w:val="center"/>
        <w:rPr>
          <w:rFonts w:ascii="Calibri" w:hAnsi="Calibri" w:cs="Calibri"/>
          <w:sz w:val="24"/>
          <w:vertAlign w:val="superscript"/>
        </w:rPr>
      </w:pPr>
    </w:p>
    <w:p>
      <w:pPr>
        <w:widowControl/>
        <w:spacing w:line="276" w:lineRule="auto"/>
        <w:jc w:val="left"/>
        <w:rPr>
          <w:rFonts w:ascii="Calibri" w:hAnsi="Calibri" w:cs="Calibri"/>
          <w:b/>
          <w:kern w:val="0"/>
          <w:sz w:val="24"/>
          <w:szCs w:val="22"/>
        </w:rPr>
      </w:pPr>
      <w:r>
        <w:rPr>
          <w:rFonts w:ascii="Calibri" w:hAnsi="Calibri" w:cs="Calibri"/>
          <w:b/>
          <w:kern w:val="0"/>
          <w:sz w:val="24"/>
          <w:szCs w:val="22"/>
        </w:rPr>
        <w:t>Affiliations</w:t>
      </w:r>
    </w:p>
    <w:p>
      <w:pPr>
        <w:widowControl/>
        <w:spacing w:line="276" w:lineRule="auto"/>
        <w:ind w:left="220" w:hanging="220" w:hangingChars="100"/>
        <w:jc w:val="left"/>
        <w:rPr>
          <w:rFonts w:hint="eastAsia" w:ascii="Calibri" w:hAnsi="Calibri" w:eastAsia="Times New Roman" w:cs="Calibri"/>
          <w:kern w:val="0"/>
          <w:sz w:val="22"/>
          <w:szCs w:val="22"/>
          <w:lang w:bidi="ar"/>
        </w:rPr>
      </w:pPr>
      <w:r>
        <w:rPr>
          <w:rFonts w:ascii="Calibri" w:hAnsi="Calibri" w:eastAsia="Times New Roman" w:cs="Calibri"/>
          <w:kern w:val="0"/>
          <w:sz w:val="22"/>
          <w:szCs w:val="22"/>
          <w:vertAlign w:val="superscript"/>
          <w:lang w:bidi="ar"/>
        </w:rPr>
        <w:t xml:space="preserve">1 </w:t>
      </w:r>
      <w:r>
        <w:rPr>
          <w:rFonts w:hint="eastAsia" w:ascii="Calibri" w:hAnsi="Calibri" w:eastAsia="Times New Roman" w:cs="Calibri"/>
          <w:kern w:val="0"/>
          <w:sz w:val="22"/>
          <w:szCs w:val="22"/>
          <w:lang w:bidi="ar"/>
        </w:rPr>
        <w:t>The Center of Psychosomatic Medicine, Sichuan Provincial Center for Mental Health, Sichuan</w:t>
      </w:r>
    </w:p>
    <w:p>
      <w:pPr>
        <w:widowControl/>
        <w:spacing w:line="276" w:lineRule="auto"/>
        <w:ind w:left="220" w:hanging="220" w:hangingChars="100"/>
        <w:jc w:val="left"/>
        <w:rPr>
          <w:rFonts w:hint="eastAsia" w:ascii="Calibri" w:hAnsi="Calibri" w:eastAsia="Times New Roman" w:cs="Calibri"/>
          <w:kern w:val="0"/>
          <w:sz w:val="22"/>
          <w:szCs w:val="22"/>
          <w:lang w:bidi="ar"/>
        </w:rPr>
      </w:pPr>
      <w:r>
        <w:rPr>
          <w:rFonts w:hint="eastAsia" w:ascii="Calibri" w:hAnsi="Calibri" w:eastAsia="Times New Roman" w:cs="Calibri"/>
          <w:kern w:val="0"/>
          <w:sz w:val="22"/>
          <w:szCs w:val="22"/>
          <w:lang w:bidi="ar"/>
        </w:rPr>
        <w:t>Provincial People's Hospital; MOE Key Laboratory for Neuroinformation, University of Electronic</w:t>
      </w:r>
    </w:p>
    <w:p>
      <w:pPr>
        <w:widowControl/>
        <w:spacing w:line="276" w:lineRule="auto"/>
        <w:ind w:left="220" w:hanging="220" w:hangingChars="100"/>
        <w:jc w:val="left"/>
        <w:rPr>
          <w:rFonts w:ascii="Calibri" w:hAnsi="Calibri" w:cs="Calibri"/>
          <w:kern w:val="0"/>
          <w:sz w:val="22"/>
          <w:szCs w:val="22"/>
          <w:vertAlign w:val="superscript"/>
          <w:lang w:bidi="ar"/>
        </w:rPr>
      </w:pPr>
      <w:r>
        <w:rPr>
          <w:rFonts w:hint="eastAsia" w:ascii="Calibri" w:hAnsi="Calibri" w:eastAsia="Times New Roman" w:cs="Calibri"/>
          <w:kern w:val="0"/>
          <w:sz w:val="22"/>
          <w:szCs w:val="22"/>
          <w:lang w:bidi="ar"/>
        </w:rPr>
        <w:t>Science and Technology of China, Chengdu, China</w:t>
      </w:r>
    </w:p>
    <w:p>
      <w:pPr>
        <w:widowControl/>
        <w:spacing w:line="276" w:lineRule="auto"/>
        <w:jc w:val="left"/>
        <w:rPr>
          <w:rFonts w:ascii="Calibri" w:hAnsi="Calibri" w:cs="Calibri"/>
          <w:kern w:val="0"/>
          <w:sz w:val="22"/>
          <w:szCs w:val="22"/>
          <w:lang w:bidi="ar"/>
        </w:rPr>
      </w:pPr>
      <w:r>
        <w:rPr>
          <w:rFonts w:ascii="Calibri" w:hAnsi="Calibri" w:cs="Calibri"/>
          <w:kern w:val="0"/>
          <w:sz w:val="22"/>
          <w:szCs w:val="22"/>
          <w:vertAlign w:val="superscript"/>
          <w:lang w:bidi="ar"/>
        </w:rPr>
        <w:t>2</w:t>
      </w:r>
      <w:r>
        <w:rPr>
          <w:rFonts w:ascii="Calibri" w:hAnsi="Calibri" w:cs="Calibri"/>
          <w:kern w:val="0"/>
          <w:sz w:val="22"/>
          <w:szCs w:val="22"/>
          <w:lang w:bidi="ar"/>
        </w:rPr>
        <w:t>Department of Psychology, University of Cambridge, Cambridge, UK</w:t>
      </w:r>
    </w:p>
    <w:p>
      <w:pPr>
        <w:widowControl/>
        <w:spacing w:line="276" w:lineRule="auto"/>
        <w:jc w:val="left"/>
        <w:rPr>
          <w:rFonts w:ascii="Calibri" w:hAnsi="Calibri" w:cs="Calibri"/>
          <w:kern w:val="0"/>
          <w:sz w:val="22"/>
          <w:szCs w:val="22"/>
          <w:lang w:bidi="ar"/>
        </w:rPr>
      </w:pPr>
      <w:r>
        <w:rPr>
          <w:rFonts w:ascii="Calibri" w:hAnsi="Calibri" w:cs="Calibri"/>
          <w:kern w:val="0"/>
          <w:sz w:val="22"/>
          <w:szCs w:val="22"/>
          <w:vertAlign w:val="superscript"/>
          <w:lang w:bidi="ar"/>
        </w:rPr>
        <w:t>3</w:t>
      </w:r>
      <w:r>
        <w:rPr>
          <w:rFonts w:ascii="Calibri" w:hAnsi="Calibri" w:cs="Calibri"/>
          <w:kern w:val="0"/>
          <w:sz w:val="22"/>
          <w:szCs w:val="22"/>
          <w:lang w:bidi="ar"/>
        </w:rPr>
        <w:t xml:space="preserve">Behavioural and Clinical Neuroscience Institute, University of Cambridge, Cambridge, UK </w:t>
      </w:r>
    </w:p>
    <w:p>
      <w:pPr>
        <w:widowControl/>
        <w:spacing w:line="276" w:lineRule="auto"/>
        <w:jc w:val="left"/>
        <w:rPr>
          <w:rFonts w:ascii="Calibri" w:hAnsi="Calibri" w:cs="Calibri"/>
          <w:kern w:val="0"/>
          <w:sz w:val="22"/>
          <w:szCs w:val="22"/>
          <w:lang w:bidi="ar"/>
        </w:rPr>
      </w:pPr>
      <w:r>
        <w:rPr>
          <w:rFonts w:hint="eastAsia" w:ascii="Calibri" w:hAnsi="Calibri" w:cs="Calibri"/>
          <w:kern w:val="0"/>
          <w:sz w:val="22"/>
          <w:szCs w:val="22"/>
          <w:vertAlign w:val="superscript"/>
          <w:lang w:val="en-US" w:eastAsia="zh-CN" w:bidi="ar"/>
        </w:rPr>
        <w:t>4</w:t>
      </w:r>
      <w:r>
        <w:rPr>
          <w:rFonts w:hint="eastAsia" w:ascii="Calibri" w:hAnsi="Calibri" w:cs="Calibri"/>
          <w:kern w:val="0"/>
          <w:sz w:val="22"/>
          <w:szCs w:val="22"/>
          <w:lang w:bidi="ar"/>
        </w:rPr>
        <w:t>Max Planck School of Cognition</w:t>
      </w:r>
      <w:r>
        <w:rPr>
          <w:rFonts w:hint="eastAsia" w:ascii="Calibri" w:hAnsi="Calibri" w:cs="Calibri"/>
          <w:kern w:val="0"/>
          <w:sz w:val="22"/>
          <w:szCs w:val="22"/>
          <w:lang w:val="en-US" w:eastAsia="zh-CN" w:bidi="ar"/>
        </w:rPr>
        <w:t>, Leipzig, Germany</w:t>
      </w:r>
      <w:r>
        <w:rPr>
          <w:rFonts w:ascii="Calibri" w:hAnsi="Calibri" w:cs="Calibri"/>
          <w:kern w:val="0"/>
          <w:sz w:val="22"/>
          <w:szCs w:val="22"/>
          <w:lang w:bidi="ar"/>
        </w:rPr>
        <w:t xml:space="preserve"> </w:t>
      </w:r>
    </w:p>
    <w:p>
      <w:pPr>
        <w:widowControl/>
        <w:spacing w:line="276" w:lineRule="auto"/>
        <w:jc w:val="left"/>
        <w:rPr>
          <w:rFonts w:ascii="Calibri" w:hAnsi="Calibri" w:cs="Calibri"/>
          <w:kern w:val="0"/>
          <w:sz w:val="22"/>
          <w:szCs w:val="22"/>
          <w:lang w:bidi="ar"/>
        </w:rPr>
      </w:pPr>
      <w:r>
        <w:rPr>
          <w:rFonts w:hint="eastAsia" w:ascii="Calibri" w:hAnsi="Calibri" w:cs="Calibri"/>
          <w:kern w:val="0"/>
          <w:sz w:val="22"/>
          <w:szCs w:val="22"/>
          <w:vertAlign w:val="superscript"/>
          <w:lang w:val="en-US" w:eastAsia="zh-CN" w:bidi="ar"/>
        </w:rPr>
        <w:t>5</w:t>
      </w:r>
      <w:r>
        <w:rPr>
          <w:rFonts w:ascii="Calibri" w:hAnsi="Calibri" w:cs="Calibri"/>
          <w:kern w:val="0"/>
          <w:sz w:val="22"/>
          <w:szCs w:val="22"/>
          <w:lang w:bidi="ar"/>
        </w:rPr>
        <w:t xml:space="preserve">Faculty of Psychology, Southwest University, Chongqing, China </w:t>
      </w:r>
    </w:p>
    <w:p>
      <w:pPr>
        <w:widowControl/>
        <w:spacing w:line="276" w:lineRule="auto"/>
        <w:jc w:val="left"/>
        <w:rPr>
          <w:rFonts w:ascii="Calibri" w:hAnsi="Calibri" w:cs="Calibri"/>
          <w:kern w:val="0"/>
          <w:sz w:val="22"/>
          <w:szCs w:val="22"/>
          <w:lang w:bidi="ar"/>
        </w:rPr>
      </w:pPr>
      <w:r>
        <w:rPr>
          <w:rFonts w:hint="eastAsia" w:ascii="Calibri" w:hAnsi="Calibri" w:cs="Calibri"/>
          <w:kern w:val="0"/>
          <w:sz w:val="22"/>
          <w:szCs w:val="22"/>
          <w:vertAlign w:val="superscript"/>
          <w:lang w:val="en-US" w:eastAsia="zh-CN" w:bidi="ar"/>
        </w:rPr>
        <w:t>6</w:t>
      </w:r>
      <w:r>
        <w:rPr>
          <w:rFonts w:ascii="Calibri" w:hAnsi="Calibri" w:cs="Calibri"/>
          <w:kern w:val="0"/>
          <w:sz w:val="22"/>
          <w:szCs w:val="22"/>
          <w:lang w:bidi="ar"/>
        </w:rPr>
        <w:t>Key Laboratory of Cognition and Personality, Ministry of Education, China</w:t>
      </w:r>
    </w:p>
    <w:p>
      <w:pPr>
        <w:widowControl/>
        <w:spacing w:line="276" w:lineRule="auto"/>
        <w:jc w:val="center"/>
        <w:rPr>
          <w:rFonts w:ascii="Calibri" w:hAnsi="Calibri" w:cs="Calibri"/>
          <w:kern w:val="0"/>
          <w:sz w:val="22"/>
          <w:szCs w:val="22"/>
          <w:lang w:bidi="ar"/>
        </w:rPr>
      </w:pPr>
    </w:p>
    <w:p>
      <w:pPr>
        <w:widowControl/>
        <w:spacing w:line="276" w:lineRule="auto"/>
        <w:rPr>
          <w:rFonts w:ascii="Calibri" w:hAnsi="Calibri" w:cs="Calibri"/>
          <w:kern w:val="0"/>
          <w:sz w:val="24"/>
        </w:rPr>
      </w:pPr>
    </w:p>
    <w:p>
      <w:pPr>
        <w:widowControl/>
        <w:spacing w:line="276" w:lineRule="auto"/>
        <w:jc w:val="left"/>
        <w:rPr>
          <w:rFonts w:ascii="Calibri" w:hAnsi="Calibri" w:eastAsia="Times New Roman" w:cs="Calibri"/>
          <w:b/>
          <w:kern w:val="0"/>
          <w:sz w:val="22"/>
          <w:szCs w:val="22"/>
          <w:lang w:bidi="ar"/>
        </w:rPr>
      </w:pPr>
      <w:r>
        <w:rPr>
          <w:rFonts w:ascii="Calibri" w:hAnsi="Calibri" w:eastAsia="Times New Roman" w:cs="Calibri"/>
          <w:b/>
          <w:kern w:val="0"/>
          <w:sz w:val="22"/>
          <w:szCs w:val="22"/>
          <w:lang w:bidi="ar"/>
        </w:rPr>
        <w:t>*Correspondence to</w:t>
      </w:r>
    </w:p>
    <w:p>
      <w:pPr>
        <w:widowControl/>
        <w:spacing w:line="276" w:lineRule="auto"/>
        <w:jc w:val="left"/>
        <w:rPr>
          <w:rFonts w:ascii="Calibri" w:hAnsi="Calibri" w:eastAsia="Times New Roman" w:cs="Calibri"/>
          <w:kern w:val="0"/>
          <w:sz w:val="22"/>
          <w:szCs w:val="22"/>
          <w:lang w:bidi="ar"/>
        </w:rPr>
      </w:pPr>
      <w:r>
        <w:rPr>
          <w:rFonts w:ascii="Calibri" w:hAnsi="Calibri" w:eastAsia="Times New Roman" w:cs="Calibri"/>
          <w:kern w:val="0"/>
          <w:sz w:val="22"/>
          <w:szCs w:val="22"/>
          <w:lang w:bidi="ar"/>
        </w:rPr>
        <w:t>Benjamin Becker</w:t>
      </w:r>
    </w:p>
    <w:p>
      <w:pPr>
        <w:widowControl/>
        <w:spacing w:line="276" w:lineRule="auto"/>
        <w:jc w:val="left"/>
        <w:rPr>
          <w:rFonts w:ascii="Calibri" w:hAnsi="Calibri" w:eastAsia="Times New Roman" w:cs="Calibri"/>
          <w:kern w:val="0"/>
          <w:sz w:val="22"/>
          <w:szCs w:val="22"/>
          <w:lang w:bidi="ar"/>
        </w:rPr>
      </w:pPr>
      <w:r>
        <w:rPr>
          <w:rFonts w:ascii="Calibri" w:hAnsi="Calibri" w:eastAsia="Times New Roman" w:cs="Calibri"/>
          <w:kern w:val="0"/>
          <w:sz w:val="22"/>
          <w:szCs w:val="22"/>
          <w:lang w:bidi="ar"/>
        </w:rPr>
        <w:t>University of Electronic Science and Technology</w:t>
      </w:r>
    </w:p>
    <w:p>
      <w:pPr>
        <w:widowControl/>
        <w:spacing w:line="276" w:lineRule="auto"/>
        <w:jc w:val="left"/>
        <w:rPr>
          <w:rFonts w:ascii="Calibri" w:hAnsi="Calibri" w:eastAsia="Times New Roman" w:cs="Calibri"/>
          <w:kern w:val="0"/>
          <w:sz w:val="22"/>
          <w:szCs w:val="22"/>
          <w:lang w:bidi="ar"/>
        </w:rPr>
      </w:pPr>
      <w:r>
        <w:rPr>
          <w:rFonts w:ascii="Calibri" w:hAnsi="Calibri" w:eastAsia="Times New Roman" w:cs="Calibri"/>
          <w:kern w:val="0"/>
          <w:sz w:val="22"/>
          <w:szCs w:val="22"/>
          <w:lang w:bidi="ar"/>
        </w:rPr>
        <w:t>Xiyuan Avenue 2006, 611731 Chengdu, China</w:t>
      </w:r>
    </w:p>
    <w:p>
      <w:pPr>
        <w:widowControl/>
        <w:spacing w:line="276" w:lineRule="auto"/>
        <w:jc w:val="left"/>
        <w:rPr>
          <w:rFonts w:ascii="Calibri" w:hAnsi="Calibri" w:eastAsia="Times New Roman" w:cs="Calibri"/>
          <w:kern w:val="0"/>
          <w:sz w:val="22"/>
          <w:szCs w:val="22"/>
          <w:lang w:bidi="ar"/>
        </w:rPr>
      </w:pPr>
      <w:r>
        <w:rPr>
          <w:rFonts w:ascii="Calibri" w:hAnsi="Calibri" w:eastAsia="Times New Roman" w:cs="Calibri"/>
          <w:kern w:val="0"/>
          <w:sz w:val="22"/>
          <w:szCs w:val="22"/>
          <w:lang w:bidi="ar"/>
        </w:rPr>
        <w:t>mail: ben_becker@gmx.de</w:t>
      </w:r>
    </w:p>
    <w:p>
      <w:pPr>
        <w:widowControl/>
        <w:jc w:val="left"/>
      </w:pPr>
      <w:r>
        <w:br w:type="page"/>
      </w:r>
    </w:p>
    <w:p>
      <w:pPr>
        <w:rPr>
          <w:rFonts w:cstheme="minorHAnsi"/>
          <w:b/>
          <w:sz w:val="28"/>
          <w:szCs w:val="22"/>
        </w:rPr>
      </w:pPr>
      <w:r>
        <w:rPr>
          <w:rFonts w:hint="eastAsia" w:cstheme="minorHAnsi"/>
          <w:b/>
          <w:sz w:val="28"/>
          <w:szCs w:val="22"/>
        </w:rPr>
        <w:t>Supplemental Methods</w:t>
      </w:r>
    </w:p>
    <w:p>
      <w:pPr>
        <w:rPr>
          <w:rFonts w:cstheme="minorHAnsi"/>
          <w:b/>
          <w:sz w:val="24"/>
        </w:rPr>
      </w:pPr>
      <w:r>
        <w:rPr>
          <w:rFonts w:cstheme="minorHAnsi"/>
          <w:b/>
          <w:sz w:val="24"/>
        </w:rPr>
        <w:t>Participants</w:t>
      </w:r>
    </w:p>
    <w:p>
      <w:pPr>
        <w:spacing w:line="360" w:lineRule="auto"/>
        <w:jc w:val="left"/>
        <w:rPr>
          <w:rStyle w:val="19"/>
          <w:rFonts w:ascii="Calibri" w:hAnsi="Calibri" w:eastAsia="Calibri Light" w:cs="Calibri"/>
          <w:sz w:val="24"/>
        </w:rPr>
      </w:pPr>
      <w:r>
        <w:rPr>
          <w:rFonts w:ascii="Calibri" w:hAnsi="Calibri" w:cs="Calibri"/>
          <w:sz w:val="24"/>
        </w:rPr>
        <w:t xml:space="preserve">Seventy </w:t>
      </w:r>
      <w:r>
        <w:rPr>
          <w:rFonts w:hint="eastAsia" w:ascii="Calibri" w:hAnsi="Calibri" w:cs="Calibri"/>
          <w:sz w:val="24"/>
        </w:rPr>
        <w:t>right-handed</w:t>
      </w:r>
      <w:r>
        <w:rPr>
          <w:rFonts w:ascii="Calibri" w:hAnsi="Calibri" w:cs="Calibri"/>
          <w:sz w:val="24"/>
        </w:rPr>
        <w:t xml:space="preserve"> healthy</w:t>
      </w:r>
      <w:r>
        <w:rPr>
          <w:rFonts w:hint="eastAsia" w:ascii="Calibri" w:hAnsi="Calibri" w:cs="Calibri"/>
          <w:sz w:val="24"/>
          <w:lang w:val="en-US" w:eastAsia="zh-CN"/>
        </w:rPr>
        <w:t xml:space="preserve"> </w:t>
      </w:r>
      <w:r>
        <w:rPr>
          <w:rFonts w:ascii="Calibri" w:hAnsi="Calibri" w:cs="Calibri"/>
          <w:sz w:val="24"/>
        </w:rPr>
        <w:t xml:space="preserve">male </w:t>
      </w:r>
      <w:r>
        <w:rPr>
          <w:rStyle w:val="19"/>
          <w:rFonts w:ascii="Calibri" w:hAnsi="Calibri" w:cs="Calibri"/>
          <w:sz w:val="24"/>
        </w:rPr>
        <w:t xml:space="preserve">participants </w:t>
      </w:r>
      <w:r>
        <w:rPr>
          <w:rStyle w:val="19"/>
          <w:rFonts w:hint="eastAsia" w:ascii="Calibri" w:hAnsi="Calibri" w:eastAsia="宋体" w:cs="Calibri"/>
          <w:sz w:val="24"/>
        </w:rPr>
        <w:t xml:space="preserve">from </w:t>
      </w:r>
      <w:r>
        <w:rPr>
          <w:rStyle w:val="19"/>
          <w:rFonts w:hint="eastAsia" w:ascii="Calibri" w:hAnsi="Calibri" w:eastAsia="宋体" w:cs="Calibri"/>
          <w:sz w:val="24"/>
          <w:lang w:val="en-US" w:eastAsia="zh-CN"/>
        </w:rPr>
        <w:t>a local university</w:t>
      </w:r>
      <w:r>
        <w:rPr>
          <w:rStyle w:val="19"/>
          <w:rFonts w:hint="eastAsia" w:ascii="Calibri" w:hAnsi="Calibri" w:eastAsia="宋体" w:cs="Calibri"/>
          <w:sz w:val="24"/>
        </w:rPr>
        <w:t xml:space="preserve"> </w:t>
      </w:r>
      <w:r>
        <w:rPr>
          <w:rStyle w:val="19"/>
          <w:rFonts w:ascii="Calibri" w:hAnsi="Calibri" w:cs="Calibri"/>
          <w:sz w:val="24"/>
        </w:rPr>
        <w:t xml:space="preserve">were </w:t>
      </w:r>
      <w:r>
        <w:rPr>
          <w:rStyle w:val="19"/>
          <w:rFonts w:hint="eastAsia" w:ascii="Calibri" w:hAnsi="Calibri" w:eastAsia="宋体" w:cs="Calibri"/>
          <w:sz w:val="24"/>
        </w:rPr>
        <w:t xml:space="preserve">enrolled and screened according to </w:t>
      </w:r>
      <w:r>
        <w:rPr>
          <w:rStyle w:val="19"/>
          <w:rFonts w:ascii="Calibri" w:hAnsi="Calibri" w:eastAsia="宋体" w:cs="Calibri"/>
          <w:sz w:val="24"/>
        </w:rPr>
        <w:t>following criteria</w:t>
      </w:r>
      <w:r>
        <w:rPr>
          <w:rStyle w:val="19"/>
          <w:rFonts w:hint="eastAsia" w:ascii="Calibri" w:hAnsi="Calibri" w:eastAsia="宋体" w:cs="Calibri"/>
          <w:sz w:val="24"/>
        </w:rPr>
        <w:t xml:space="preserve">: 1) </w:t>
      </w:r>
      <w:r>
        <w:rPr>
          <w:rStyle w:val="19"/>
          <w:rFonts w:ascii="Calibri" w:hAnsi="Calibri" w:eastAsia="宋体" w:cs="Calibri"/>
          <w:sz w:val="24"/>
        </w:rPr>
        <w:t>n</w:t>
      </w:r>
      <w:r>
        <w:rPr>
          <w:rStyle w:val="19"/>
          <w:rFonts w:hint="eastAsia" w:ascii="Calibri" w:hAnsi="Calibri" w:eastAsia="宋体" w:cs="Calibri"/>
          <w:sz w:val="24"/>
        </w:rPr>
        <w:t>o current or a history of psychiatric, neurological, or other medical</w:t>
      </w:r>
      <w:r>
        <w:rPr>
          <w:rStyle w:val="19"/>
          <w:rFonts w:ascii="Calibri" w:hAnsi="Calibri" w:eastAsia="宋体" w:cs="Calibri"/>
          <w:sz w:val="24"/>
        </w:rPr>
        <w:t xml:space="preserve"> </w:t>
      </w:r>
      <w:r>
        <w:rPr>
          <w:rStyle w:val="19"/>
          <w:rFonts w:hint="eastAsia" w:ascii="Calibri" w:hAnsi="Calibri" w:eastAsia="宋体" w:cs="Calibri"/>
          <w:sz w:val="24"/>
        </w:rPr>
        <w:t xml:space="preserve">disorders, 2) </w:t>
      </w:r>
      <w:r>
        <w:rPr>
          <w:rStyle w:val="19"/>
          <w:rFonts w:ascii="Calibri" w:hAnsi="Calibri" w:eastAsia="宋体" w:cs="Calibri"/>
          <w:sz w:val="24"/>
        </w:rPr>
        <w:t>n</w:t>
      </w:r>
      <w:r>
        <w:rPr>
          <w:rStyle w:val="19"/>
          <w:rFonts w:hint="eastAsia" w:ascii="Calibri" w:hAnsi="Calibri" w:eastAsia="宋体" w:cs="Calibri"/>
          <w:sz w:val="24"/>
        </w:rPr>
        <w:t xml:space="preserve">o current or regular use of psychotropic substances including nicotine, 3) a body mass index&lt;18 or &gt;24.9, 4) </w:t>
      </w:r>
      <w:r>
        <w:rPr>
          <w:rStyle w:val="19"/>
          <w:rFonts w:ascii="Calibri" w:hAnsi="Calibri" w:eastAsia="宋体" w:cs="Calibri"/>
          <w:sz w:val="24"/>
        </w:rPr>
        <w:t>n</w:t>
      </w:r>
      <w:r>
        <w:rPr>
          <w:rStyle w:val="19"/>
          <w:rFonts w:hint="eastAsia" w:ascii="Calibri" w:hAnsi="Calibri" w:eastAsia="宋体" w:cs="Calibri"/>
          <w:sz w:val="24"/>
        </w:rPr>
        <w:t xml:space="preserve">o visual or motor impairments, and </w:t>
      </w:r>
      <w:r>
        <w:rPr>
          <w:rStyle w:val="19"/>
          <w:rFonts w:ascii="Calibri" w:hAnsi="Calibri" w:eastAsia="宋体" w:cs="Calibri"/>
          <w:sz w:val="24"/>
        </w:rPr>
        <w:t>5</w:t>
      </w:r>
      <w:r>
        <w:rPr>
          <w:rStyle w:val="19"/>
          <w:rFonts w:hint="eastAsia" w:ascii="Calibri" w:hAnsi="Calibri" w:eastAsia="宋体" w:cs="Calibri"/>
          <w:sz w:val="24"/>
        </w:rPr>
        <w:t xml:space="preserve">) </w:t>
      </w:r>
      <w:r>
        <w:rPr>
          <w:rStyle w:val="19"/>
          <w:rFonts w:ascii="Calibri" w:hAnsi="Calibri" w:eastAsia="宋体" w:cs="Calibri"/>
          <w:sz w:val="24"/>
        </w:rPr>
        <w:t>n</w:t>
      </w:r>
      <w:r>
        <w:rPr>
          <w:rStyle w:val="19"/>
          <w:rFonts w:hint="eastAsia" w:ascii="Calibri" w:hAnsi="Calibri" w:eastAsia="宋体" w:cs="Calibri"/>
          <w:sz w:val="24"/>
        </w:rPr>
        <w:t>o contraindications for MRI or losartan</w:t>
      </w:r>
      <w:r>
        <w:rPr>
          <w:rStyle w:val="19"/>
          <w:rFonts w:ascii="Calibri" w:hAnsi="Calibri" w:eastAsia="宋体" w:cs="Calibri"/>
          <w:sz w:val="24"/>
        </w:rPr>
        <w:t>,</w:t>
      </w:r>
      <w:r>
        <w:rPr>
          <w:rStyle w:val="19"/>
          <w:rFonts w:hint="eastAsia" w:ascii="Calibri" w:hAnsi="Calibri" w:eastAsia="宋体" w:cs="Calibri"/>
          <w:sz w:val="24"/>
        </w:rPr>
        <w:t xml:space="preserve"> </w:t>
      </w:r>
      <w:r>
        <w:rPr>
          <w:rStyle w:val="19"/>
          <w:rFonts w:ascii="Calibri" w:hAnsi="Calibri" w:eastAsia="宋体" w:cs="Calibri"/>
          <w:sz w:val="24"/>
        </w:rPr>
        <w:t>6</w:t>
      </w:r>
      <w:r>
        <w:rPr>
          <w:rStyle w:val="19"/>
          <w:rFonts w:hint="eastAsia" w:ascii="Calibri" w:hAnsi="Calibri" w:eastAsia="宋体" w:cs="Calibri"/>
          <w:sz w:val="24"/>
        </w:rPr>
        <w:t>) refrain from excessive caffeine before the study</w:t>
      </w:r>
      <w:r>
        <w:rPr>
          <w:rStyle w:val="19"/>
          <w:rFonts w:ascii="Calibri" w:hAnsi="Calibri" w:eastAsia="Calibri Light" w:cs="Calibri"/>
          <w:sz w:val="24"/>
        </w:rPr>
        <w:t>.</w:t>
      </w:r>
    </w:p>
    <w:p>
      <w:pPr>
        <w:rPr>
          <w:rFonts w:cstheme="minorHAnsi"/>
          <w:b/>
          <w:sz w:val="22"/>
        </w:rPr>
      </w:pPr>
    </w:p>
    <w:p>
      <w:pPr>
        <w:spacing w:line="360" w:lineRule="auto"/>
        <w:jc w:val="left"/>
        <w:rPr>
          <w:rFonts w:ascii="Calibri" w:hAnsi="Calibri"/>
          <w:b/>
          <w:bCs/>
          <w:sz w:val="24"/>
          <w:szCs w:val="28"/>
        </w:rPr>
      </w:pPr>
      <w:r>
        <w:rPr>
          <w:rFonts w:hint="eastAsia" w:ascii="Calibri" w:hAnsi="Calibri"/>
          <w:b/>
          <w:bCs/>
          <w:sz w:val="24"/>
          <w:szCs w:val="28"/>
        </w:rPr>
        <w:t>P</w:t>
      </w:r>
      <w:r>
        <w:rPr>
          <w:rFonts w:ascii="Calibri" w:hAnsi="Calibri"/>
          <w:b/>
          <w:bCs/>
          <w:sz w:val="24"/>
          <w:szCs w:val="28"/>
        </w:rPr>
        <w:t>otential confounders</w:t>
      </w:r>
    </w:p>
    <w:p>
      <w:pPr>
        <w:spacing w:line="360" w:lineRule="auto"/>
        <w:jc w:val="left"/>
        <w:rPr>
          <w:rFonts w:ascii="Calibri" w:hAnsi="Calibri" w:cs="Calibri"/>
          <w:sz w:val="24"/>
          <w:szCs w:val="32"/>
        </w:rPr>
      </w:pPr>
      <w:r>
        <w:rPr>
          <w:rFonts w:ascii="Calibri" w:hAnsi="Calibri" w:cs="Calibri"/>
          <w:sz w:val="24"/>
          <w:szCs w:val="32"/>
        </w:rPr>
        <w:t xml:space="preserve">To control potential group differences in pre-treatment mood and anxiety as well as treatment effects on current mood and anxiety the Positive and Negative Affect Schedule and the Spielberger State-Trait Anxiety Inventory were administered before treatment and after the experiment. The Beck Depression Inventory was additionally administered before treatment. </w:t>
      </w:r>
      <w:r>
        <w:rPr>
          <w:rFonts w:hint="eastAsia" w:ascii="Calibri" w:hAnsi="Calibri" w:cs="Calibri"/>
          <w:sz w:val="24"/>
          <w:szCs w:val="32"/>
        </w:rPr>
        <w:t>In addition</w:t>
      </w:r>
      <w:r>
        <w:rPr>
          <w:rFonts w:ascii="Calibri" w:hAnsi="Calibri" w:cs="Calibri"/>
          <w:sz w:val="24"/>
          <w:szCs w:val="32"/>
        </w:rPr>
        <w:t xml:space="preserve">, potential treatment effects on working </w:t>
      </w:r>
      <w:r>
        <w:rPr>
          <w:rFonts w:hint="eastAsia" w:ascii="Calibri" w:hAnsi="Calibri" w:cs="Calibri"/>
          <w:sz w:val="24"/>
          <w:szCs w:val="32"/>
        </w:rPr>
        <w:t xml:space="preserve">memory capacity and attention were </w:t>
      </w:r>
      <w:r>
        <w:rPr>
          <w:rFonts w:ascii="Calibri" w:hAnsi="Calibri" w:cs="Calibri"/>
          <w:sz w:val="24"/>
          <w:szCs w:val="32"/>
        </w:rPr>
        <w:t>a</w:t>
      </w:r>
      <w:r>
        <w:rPr>
          <w:rFonts w:hint="eastAsia" w:ascii="Calibri" w:hAnsi="Calibri" w:cs="Calibri"/>
          <w:sz w:val="24"/>
          <w:szCs w:val="32"/>
        </w:rPr>
        <w:t xml:space="preserve">ssessed by means of a 2-back working memory task and a digit cancellation test. Although previous studies suggested that the effects of LT on cardiovascular activity </w:t>
      </w:r>
      <w:r>
        <w:rPr>
          <w:rFonts w:ascii="Calibri" w:hAnsi="Calibri" w:cs="Calibri"/>
          <w:sz w:val="24"/>
          <w:szCs w:val="32"/>
        </w:rPr>
        <w:t xml:space="preserve">only manifest after at </w:t>
      </w:r>
      <w:r>
        <w:rPr>
          <w:rFonts w:hint="eastAsia" w:ascii="Calibri" w:hAnsi="Calibri" w:cs="Calibri"/>
          <w:sz w:val="24"/>
          <w:szCs w:val="32"/>
        </w:rPr>
        <w:t xml:space="preserve">least 3 hours </w:t>
      </w:r>
      <w:r>
        <w:rPr>
          <w:rFonts w:ascii="Calibri" w:hAnsi="Calibri" w:cs="Calibri"/>
          <w:sz w:val="24"/>
          <w:szCs w:val="32"/>
        </w:rPr>
        <w:t xml:space="preserve">after p.o. administration </w:t>
      </w:r>
      <w:r>
        <w:rPr>
          <w:rFonts w:hint="eastAsia" w:ascii="Calibri" w:hAnsi="Calibri" w:cs="Calibri"/>
          <w:sz w:val="24"/>
          <w:szCs w:val="32"/>
        </w:rPr>
        <w:t xml:space="preserve">while the central effects occurred </w:t>
      </w:r>
      <w:r>
        <w:rPr>
          <w:rFonts w:ascii="Calibri" w:hAnsi="Calibri" w:cs="Calibri"/>
          <w:sz w:val="24"/>
          <w:szCs w:val="32"/>
        </w:rPr>
        <w:t xml:space="preserve">my faster </w:t>
      </w:r>
      <w:r>
        <w:rPr>
          <w:rFonts w:ascii="Calibri" w:hAnsi="Calibri" w:cs="Calibri"/>
          <w:sz w:val="24"/>
          <w:szCs w:val="32"/>
        </w:rPr>
        <w:fldChar w:fldCharType="begin">
          <w:fldData xml:space="preserve">PEVuZE5vdGU+PENpdGU+PEF1dGhvcj5Hb2xkYmVyZzwvQXV0aG9yPjxZZWFyPjE5OTM8L1llYXI+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</w:fldData>
        </w:fldChar>
      </w:r>
      <w:r>
        <w:rPr>
          <w:rFonts w:ascii="Calibri" w:hAnsi="Calibri" w:cs="Calibri"/>
          <w:sz w:val="24"/>
          <w:szCs w:val="32"/>
        </w:rPr>
        <w:instrText xml:space="preserve"> ADDIN EN.CITE </w:instrText>
      </w:r>
      <w:r>
        <w:rPr>
          <w:rFonts w:ascii="Calibri" w:hAnsi="Calibri" w:cs="Calibri"/>
          <w:sz w:val="24"/>
          <w:szCs w:val="32"/>
        </w:rPr>
        <w:fldChar w:fldCharType="begin">
          <w:fldData xml:space="preserve">PEVuZE5vdGU+PENpdGU+PEF1dGhvcj5Hb2xkYmVyZzwvQXV0aG9yPjxZZWFyPjE5OTM8L1llYXI+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</w:fldData>
        </w:fldChar>
      </w:r>
      <w:r>
        <w:rPr>
          <w:rFonts w:ascii="Calibri" w:hAnsi="Calibri" w:cs="Calibri"/>
          <w:sz w:val="24"/>
          <w:szCs w:val="32"/>
        </w:rPr>
        <w:instrText xml:space="preserve"> ADDIN EN.CITE.DATA </w:instrText>
      </w:r>
      <w:r>
        <w:rPr>
          <w:rFonts w:ascii="Calibri" w:hAnsi="Calibri" w:cs="Calibri"/>
          <w:sz w:val="24"/>
          <w:szCs w:val="32"/>
        </w:rPr>
        <w:fldChar w:fldCharType="end"/>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"_ENREF_7" \o "Goldberg, 1993 #19" </w:instrText>
      </w:r>
      <w:r>
        <w:fldChar w:fldCharType="separate"/>
      </w:r>
      <w:r>
        <w:rPr>
          <w:rFonts w:ascii="Calibri" w:hAnsi="Calibri" w:cs="Calibri"/>
          <w:sz w:val="24"/>
          <w:szCs w:val="32"/>
        </w:rPr>
        <w:t>Goldberg et al., 1993</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"_ENREF_14" \o "Mechaeil, 2011 #20" </w:instrText>
      </w:r>
      <w:r>
        <w:fldChar w:fldCharType="separate"/>
      </w:r>
      <w:r>
        <w:rPr>
          <w:rFonts w:ascii="Calibri" w:hAnsi="Calibri" w:cs="Calibri"/>
          <w:sz w:val="24"/>
          <w:szCs w:val="32"/>
        </w:rPr>
        <w:t>Mechaeil et al., 2011</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xml:space="preserve"> heart rate and blood pressure were </w:t>
      </w:r>
      <w:r>
        <w:rPr>
          <w:rFonts w:hint="eastAsia" w:ascii="Calibri" w:hAnsi="Calibri" w:cs="Calibri"/>
          <w:sz w:val="24"/>
          <w:szCs w:val="32"/>
        </w:rPr>
        <w:t>monitored</w:t>
      </w:r>
      <w:r>
        <w:rPr>
          <w:rFonts w:ascii="Calibri" w:hAnsi="Calibri" w:cs="Calibri"/>
          <w:sz w:val="24"/>
          <w:szCs w:val="32"/>
        </w:rPr>
        <w:t xml:space="preserve"> before and after the treatment administration, as well as after the</w:t>
      </w:r>
      <w:r>
        <w:rPr>
          <w:rFonts w:hint="eastAsia" w:ascii="Calibri" w:hAnsi="Calibri" w:cs="Calibri"/>
          <w:sz w:val="24"/>
          <w:szCs w:val="32"/>
        </w:rPr>
        <w:t xml:space="preserve"> fMRI</w:t>
      </w:r>
      <w:r>
        <w:rPr>
          <w:rFonts w:ascii="Calibri" w:hAnsi="Calibri" w:cs="Calibri"/>
          <w:sz w:val="24"/>
          <w:szCs w:val="32"/>
        </w:rPr>
        <w:t xml:space="preserve"> </w:t>
      </w:r>
      <w:r>
        <w:rPr>
          <w:rFonts w:hint="eastAsia" w:ascii="Calibri" w:hAnsi="Calibri" w:cs="Calibri"/>
          <w:sz w:val="24"/>
          <w:szCs w:val="32"/>
        </w:rPr>
        <w:t>experiment</w:t>
      </w:r>
      <w:r>
        <w:rPr>
          <w:rFonts w:ascii="Calibri" w:hAnsi="Calibri" w:cs="Calibri"/>
          <w:sz w:val="24"/>
          <w:szCs w:val="32"/>
        </w:rPr>
        <w:t xml:space="preserve">. </w:t>
      </w:r>
    </w:p>
    <w:p>
      <w:pPr>
        <w:jc w:val="left"/>
        <w:rPr>
          <w:rFonts w:cstheme="minorHAnsi"/>
          <w:b/>
          <w:sz w:val="22"/>
        </w:rPr>
      </w:pPr>
    </w:p>
    <w:p>
      <w:pPr>
        <w:jc w:val="left"/>
        <w:rPr>
          <w:rFonts w:cstheme="minorHAnsi"/>
          <w:b/>
          <w:sz w:val="24"/>
        </w:rPr>
      </w:pPr>
      <w:r>
        <w:rPr>
          <w:rFonts w:cstheme="minorHAnsi"/>
          <w:b/>
          <w:sz w:val="24"/>
        </w:rPr>
        <w:t>Multilevel Bayesian linear model analyses</w:t>
      </w:r>
    </w:p>
    <w:p>
      <w:pPr>
        <w:spacing w:line="360" w:lineRule="auto"/>
        <w:jc w:val="left"/>
        <w:rPr>
          <w:rFonts w:ascii="Calibri" w:hAnsi="Calibri" w:cs="Calibri"/>
          <w:sz w:val="24"/>
          <w:szCs w:val="32"/>
        </w:rPr>
      </w:pPr>
      <w:r>
        <w:rPr>
          <w:rFonts w:ascii="Calibri" w:hAnsi="Calibri" w:cs="Calibri"/>
          <w:sz w:val="24"/>
          <w:szCs w:val="32"/>
        </w:rPr>
        <w:t>We</w:t>
      </w:r>
      <w:r>
        <w:rPr>
          <w:rFonts w:hint="eastAsia" w:ascii="Calibri" w:hAnsi="Calibri" w:cs="Calibri"/>
          <w:sz w:val="24"/>
          <w:szCs w:val="32"/>
        </w:rPr>
        <w:t xml:space="preserve"> employed a </w:t>
      </w:r>
      <w:r>
        <w:rPr>
          <w:rFonts w:ascii="Calibri" w:hAnsi="Calibri" w:cs="Calibri"/>
          <w:sz w:val="24"/>
          <w:szCs w:val="32"/>
        </w:rPr>
        <w:t>multilevel Bayesian linear model</w:t>
      </w:r>
      <w:r>
        <w:rPr>
          <w:rFonts w:hint="eastAsia" w:ascii="Calibri" w:hAnsi="Calibri" w:cs="Calibri"/>
          <w:sz w:val="24"/>
          <w:szCs w:val="32"/>
        </w:rPr>
        <w:t xml:space="preserve"> to analyze trial-by-trial behavior </w:t>
      </w:r>
      <w:r>
        <w:rPr>
          <w:rFonts w:ascii="Calibri" w:hAnsi="Calibri" w:cs="Calibri"/>
          <w:sz w:val="24"/>
          <w:szCs w:val="32"/>
        </w:rPr>
        <w:t xml:space="preserve">using a Bayesian regression model in the Stan </w:t>
      </w:r>
      <w:r>
        <w:rPr>
          <w:rFonts w:hint="eastAsia" w:ascii="Calibri" w:hAnsi="Calibri" w:cs="Calibri"/>
          <w:sz w:val="24"/>
          <w:szCs w:val="32"/>
        </w:rPr>
        <w:t>(b</w:t>
      </w:r>
      <w:r>
        <w:rPr>
          <w:rFonts w:ascii="Calibri" w:hAnsi="Calibri" w:cs="Calibri"/>
          <w:sz w:val="24"/>
          <w:szCs w:val="32"/>
        </w:rPr>
        <w:t>rms</w:t>
      </w:r>
      <w:r>
        <w:rPr>
          <w:rFonts w:hint="eastAsia" w:ascii="Calibri" w:hAnsi="Calibri" w:cs="Calibri"/>
          <w:sz w:val="24"/>
          <w:szCs w:val="32"/>
        </w:rPr>
        <w:t xml:space="preserve">) package </w:t>
      </w:r>
      <w:r>
        <w:rPr>
          <w:rFonts w:ascii="Calibri" w:hAnsi="Calibri" w:cs="Calibri"/>
          <w:sz w:val="24"/>
          <w:szCs w:val="32"/>
        </w:rPr>
        <w:fldChar w:fldCharType="begin"/>
      </w:r>
      <w:r>
        <w:rPr>
          <w:rFonts w:ascii="Calibri" w:hAnsi="Calibri" w:cs="Calibri"/>
          <w:sz w:val="24"/>
          <w:szCs w:val="32"/>
        </w:rPr>
        <w:instrText xml:space="preserve"> ADDIN EN.CITE &lt;EndNote&gt;&lt;Cite&gt;&lt;Author&gt;Bürkner&lt;/Author&gt;&lt;Year&gt;2017&lt;/Year&gt;&lt;RecNum&gt;11&lt;/RecNum&gt;&lt;DisplayText&gt;(Bürkner, 2017)&lt;/DisplayText&gt;&lt;record&gt;&lt;rec-number&gt;11&lt;/rec-number&gt;&lt;foreign-keys&gt;&lt;key app="EN" db-id="sdta2fdp8zzp5ve9peeps0eefvdwwdt2vtft"&gt;11&lt;/key&gt;&lt;/foreign-keys&gt;&lt;ref-type name="Journal Article"&gt;17&lt;/ref-type&gt;&lt;contributors&gt;&lt;authors&gt;&lt;author&gt;Bürkner, Paul-Christian&lt;/author&gt;&lt;/authors&gt;&lt;/contributors&gt;&lt;titles&gt;&lt;title&gt;brms: An R package for Bayesian multilevel models using Stan&lt;/title&gt;&lt;secondary-title&gt;Journal of statistical software&lt;/secondary-title&gt;&lt;/titles&gt;&lt;periodical&gt;&lt;full-title&gt;Journal of statistical software&lt;/full-title&gt;&lt;/periodical&gt;&lt;pages&gt;1-28&lt;/pages&gt;&lt;volume&gt;80&lt;/volume&gt;&lt;number&gt;1&lt;/number&gt;&lt;dates&gt;&lt;year&gt;2017&lt;/year&gt;&lt;/dates&gt;&lt;isbn&gt;1548-7660&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"_ENREF_3" \o "Bürkner, 2017 #11" </w:instrText>
      </w:r>
      <w:r>
        <w:fldChar w:fldCharType="separate"/>
      </w:r>
      <w:r>
        <w:rPr>
          <w:rFonts w:ascii="Calibri" w:hAnsi="Calibri" w:cs="Calibri"/>
          <w:sz w:val="24"/>
          <w:szCs w:val="32"/>
        </w:rPr>
        <w:t>Bürkner, 2017</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xml:space="preserve"> </w:t>
      </w:r>
      <w:r>
        <w:rPr>
          <w:rFonts w:hint="eastAsia" w:ascii="Calibri" w:hAnsi="Calibri" w:cs="Calibri"/>
          <w:sz w:val="24"/>
          <w:szCs w:val="32"/>
        </w:rPr>
        <w:t xml:space="preserve">in R. </w:t>
      </w:r>
      <w:r>
        <w:rPr>
          <w:rFonts w:ascii="Calibri" w:hAnsi="Calibri" w:cs="Calibri"/>
          <w:sz w:val="24"/>
          <w:szCs w:val="32"/>
        </w:rPr>
        <w:t>F</w:t>
      </w:r>
      <w:r>
        <w:rPr>
          <w:rFonts w:hint="eastAsia" w:ascii="Calibri" w:hAnsi="Calibri" w:cs="Calibri"/>
          <w:sz w:val="24"/>
          <w:szCs w:val="32"/>
        </w:rPr>
        <w:t xml:space="preserve">or the learning behavior, the fixed and random trial-by-trial effects were coded with a varying intercept on per subject basis. </w:t>
      </w:r>
      <w:r>
        <w:rPr>
          <w:rFonts w:ascii="Calibri" w:hAnsi="Calibri" w:cs="Calibri"/>
          <w:sz w:val="24"/>
          <w:szCs w:val="32"/>
        </w:rPr>
        <w:t>Specifically,</w:t>
      </w:r>
      <w:r>
        <w:rPr>
          <w:rFonts w:hint="eastAsia" w:ascii="Calibri" w:hAnsi="Calibri" w:cs="Calibri"/>
          <w:sz w:val="24"/>
          <w:szCs w:val="32"/>
        </w:rPr>
        <w:t xml:space="preserve"> the choice accuracy </w:t>
      </w:r>
      <w:r>
        <w:rPr>
          <w:rFonts w:ascii="Calibri" w:hAnsi="Calibri" w:cs="Calibri"/>
          <w:sz w:val="24"/>
          <w:szCs w:val="32"/>
        </w:rPr>
        <w:t xml:space="preserve">for </w:t>
      </w:r>
      <w:r>
        <w:rPr>
          <w:rFonts w:hint="eastAsia" w:ascii="Calibri" w:hAnsi="Calibri" w:cs="Calibri"/>
          <w:sz w:val="24"/>
          <w:szCs w:val="32"/>
        </w:rPr>
        <w:t xml:space="preserve">choosing the better stimuli </w:t>
      </w:r>
      <w:r>
        <w:rPr>
          <w:rFonts w:ascii="Calibri" w:hAnsi="Calibri" w:cs="Calibri"/>
          <w:sz w:val="24"/>
          <w:szCs w:val="32"/>
        </w:rPr>
        <w:t xml:space="preserve">in a </w:t>
      </w:r>
      <w:r>
        <w:rPr>
          <w:rFonts w:hint="eastAsia" w:ascii="Calibri" w:hAnsi="Calibri" w:cs="Calibri"/>
          <w:sz w:val="24"/>
          <w:szCs w:val="32"/>
        </w:rPr>
        <w:t>pair was the dependent variable (correct =1, wrong =0) whereas the stimulus pair was set as the within-subjects variable ranging from easiest to the most difficult (AB=1, CD=0,</w:t>
      </w:r>
      <w:r>
        <w:rPr>
          <w:rFonts w:ascii="Calibri" w:hAnsi="Calibri" w:cs="Calibri"/>
          <w:sz w:val="24"/>
          <w:szCs w:val="32"/>
        </w:rPr>
        <w:t xml:space="preserve"> </w:t>
      </w:r>
      <w:r>
        <w:rPr>
          <w:rFonts w:hint="eastAsia" w:ascii="Calibri" w:hAnsi="Calibri" w:cs="Calibri"/>
          <w:sz w:val="24"/>
          <w:szCs w:val="32"/>
        </w:rPr>
        <w:t>EF=-1). The binary covariates of interest treatment (LT=1, PLC=0) and fMRI runs (Run1=1, Run2=2) were also included as</w:t>
      </w:r>
      <w:r>
        <w:rPr>
          <w:rFonts w:ascii="Calibri" w:hAnsi="Calibri" w:cs="Calibri"/>
          <w:sz w:val="24"/>
          <w:szCs w:val="32"/>
        </w:rPr>
        <w:t xml:space="preserve"> </w:t>
      </w:r>
      <w:r>
        <w:rPr>
          <w:rFonts w:hint="eastAsia" w:ascii="Calibri" w:hAnsi="Calibri" w:cs="Calibri"/>
          <w:sz w:val="24"/>
          <w:szCs w:val="32"/>
        </w:rPr>
        <w:t>between-subjects variables.</w:t>
      </w:r>
    </w:p>
    <w:p>
      <w:pPr>
        <w:spacing w:line="360" w:lineRule="auto"/>
        <w:ind w:firstLine="240" w:firstLineChars="100"/>
        <w:jc w:val="left"/>
        <w:rPr>
          <w:rFonts w:ascii="Calibri" w:hAnsi="Calibri" w:cs="Calibri"/>
          <w:sz w:val="24"/>
          <w:szCs w:val="32"/>
        </w:rPr>
      </w:pPr>
      <w:r>
        <w:rPr>
          <w:rFonts w:hint="eastAsia" w:ascii="Calibri" w:hAnsi="Calibri" w:cs="Calibri"/>
          <w:sz w:val="24"/>
          <w:szCs w:val="32"/>
        </w:rPr>
        <w:t>For the test phase, consistent with previous reinforcement learning</w:t>
      </w:r>
      <w:r>
        <w:rPr>
          <w:rFonts w:hint="eastAsia" w:ascii="Calibri" w:hAnsi="Calibri" w:cs="Calibri"/>
          <w:sz w:val="24"/>
        </w:rPr>
        <w:t xml:space="preserve"> </w:t>
      </w:r>
      <w:r>
        <w:rPr>
          <w:rFonts w:ascii="Calibri" w:hAnsi="Calibri" w:cs="Calibri"/>
          <w:sz w:val="24"/>
        </w:rPr>
        <w:t xml:space="preserve">studies </w:t>
      </w:r>
      <w:r>
        <w:rPr>
          <w:rFonts w:ascii="Calibri" w:hAnsi="Calibri" w:cs="Calibri"/>
          <w:sz w:val="24"/>
        </w:rPr>
        <w:fldChar w:fldCharType="begin">
          <w:fldData xml:space="preserve">PEVuZE5vdGU+PENpdGU+PEF1dGhvcj5TaW1vbjwvQXV0aG9yPjxZZWFyPjIwMTA8L1llYXI+PFJl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</w:fldData>
        </w:fldChar>
      </w:r>
      <w:r>
        <w:rPr>
          <w:rFonts w:ascii="Calibri" w:hAnsi="Calibri" w:cs="Calibri"/>
          <w:sz w:val="24"/>
        </w:rPr>
        <w:instrText xml:space="preserve"> ADDIN EN.CITE </w:instrText>
      </w:r>
      <w:r>
        <w:rPr>
          <w:rFonts w:ascii="Calibri" w:hAnsi="Calibri" w:cs="Calibri"/>
          <w:sz w:val="24"/>
        </w:rPr>
        <w:fldChar w:fldCharType="begin">
          <w:fldData xml:space="preserve">PEVuZE5vdGU+PENpdGU+PEF1dGhvcj5TaW1vbjwvQXV0aG9yPjxZZWFyPjIwMTA8L1llYXI+PFJl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</w:fldData>
        </w:fldChar>
      </w:r>
      <w:r>
        <w:rPr>
          <w:rFonts w:ascii="Calibri" w:hAnsi="Calibri" w:cs="Calibri"/>
          <w:sz w:val="24"/>
        </w:rPr>
        <w:instrText xml:space="preserve"> ADDIN EN.CITE.DATA </w:instrText>
      </w:r>
      <w:r>
        <w:rPr>
          <w:rFonts w:ascii="Calibri" w:hAnsi="Calibri" w:cs="Calibri"/>
          <w:sz w:val="24"/>
        </w:rPr>
        <w:fldChar w:fldCharType="end"/>
      </w:r>
      <w:r>
        <w:rPr>
          <w:rFonts w:ascii="Calibri" w:hAnsi="Calibri" w:cs="Calibri"/>
          <w:sz w:val="24"/>
        </w:rPr>
        <w:fldChar w:fldCharType="separate"/>
      </w:r>
      <w:r>
        <w:rPr>
          <w:rFonts w:ascii="Calibri" w:hAnsi="Calibri" w:cs="Calibri"/>
          <w:sz w:val="24"/>
        </w:rPr>
        <w:t>(</w:t>
      </w:r>
      <w:r>
        <w:fldChar w:fldCharType="begin"/>
      </w:r>
      <w:r>
        <w:instrText xml:space="preserve"> HYPERLINK "file:///E:\\3Project\\4%20Paper_pre\\RL\\updated_version\\refere.docx" \l "_ENREF_7" \o "Dowd, 2016 #71" </w:instrText>
      </w:r>
      <w:r>
        <w:fldChar w:fldCharType="separate"/>
      </w:r>
      <w:r>
        <w:rPr>
          <w:rStyle w:val="13"/>
          <w:rFonts w:ascii="Calibri" w:hAnsi="Calibri" w:eastAsia="宋体" w:cs="Times New Roman"/>
          <w:color w:val="auto"/>
          <w:sz w:val="24"/>
          <w:u w:val="none"/>
          <w:lang w:bidi="ar"/>
        </w:rPr>
        <w:t>Dowd et al., 2016</w:t>
      </w:r>
      <w:r>
        <w:rPr>
          <w:rStyle w:val="13"/>
          <w:rFonts w:ascii="Calibri" w:hAnsi="Calibri" w:eastAsia="宋体" w:cs="Times New Roman"/>
          <w:color w:val="auto"/>
          <w:sz w:val="24"/>
          <w:u w:val="none"/>
          <w:lang w:bidi="ar"/>
        </w:rPr>
        <w:fldChar w:fldCharType="end"/>
      </w:r>
      <w:r>
        <w:rPr>
          <w:rFonts w:ascii="Calibri" w:hAnsi="Calibri" w:cs="Calibri"/>
          <w:sz w:val="24"/>
        </w:rPr>
        <w:t xml:space="preserve">; </w:t>
      </w:r>
      <w:r>
        <w:fldChar w:fldCharType="begin"/>
      </w:r>
      <w:r>
        <w:instrText xml:space="preserve"> HYPERLINK \l "_ENREF_11" \o "Jocham, 2011 #21" </w:instrText>
      </w:r>
      <w:r>
        <w:fldChar w:fldCharType="separate"/>
      </w:r>
      <w:r>
        <w:rPr>
          <w:rFonts w:ascii="Calibri" w:hAnsi="Calibri" w:cs="Calibri"/>
          <w:sz w:val="24"/>
        </w:rPr>
        <w:t>Jocham et al., 2011</w:t>
      </w:r>
      <w:r>
        <w:rPr>
          <w:rFonts w:ascii="Calibri" w:hAnsi="Calibri" w:cs="Calibri"/>
          <w:sz w:val="24"/>
        </w:rPr>
        <w:fldChar w:fldCharType="end"/>
      </w:r>
      <w:r>
        <w:rPr>
          <w:rFonts w:ascii="Calibri" w:hAnsi="Calibri" w:cs="Calibri"/>
          <w:sz w:val="24"/>
        </w:rPr>
        <w:t xml:space="preserve">; </w:t>
      </w:r>
      <w:r>
        <w:fldChar w:fldCharType="begin"/>
      </w:r>
      <w:r>
        <w:instrText xml:space="preserve"> HYPERLINK \l "_ENREF_18" \o "Simon, 2010 #22" </w:instrText>
      </w:r>
      <w:r>
        <w:fldChar w:fldCharType="separate"/>
      </w:r>
      <w:r>
        <w:rPr>
          <w:rFonts w:ascii="Calibri" w:hAnsi="Calibri" w:cs="Calibri"/>
          <w:sz w:val="24"/>
        </w:rPr>
        <w:t>Simon et al., 2010</w:t>
      </w:r>
      <w:r>
        <w:rPr>
          <w:rFonts w:ascii="Calibri" w:hAnsi="Calibri" w:cs="Calibri"/>
          <w:sz w:val="24"/>
        </w:rPr>
        <w:fldChar w:fldCharType="end"/>
      </w:r>
      <w:r>
        <w:rPr>
          <w:rFonts w:ascii="Calibri" w:hAnsi="Calibri" w:cs="Calibri"/>
          <w:sz w:val="24"/>
        </w:rPr>
        <w:t>)</w:t>
      </w:r>
      <w:r>
        <w:rPr>
          <w:rFonts w:ascii="Calibri" w:hAnsi="Calibri" w:cs="Calibri"/>
          <w:sz w:val="24"/>
        </w:rPr>
        <w:fldChar w:fldCharType="end"/>
      </w:r>
      <w:r>
        <w:rPr>
          <w:rFonts w:hint="eastAsia" w:ascii="Calibri" w:hAnsi="Calibri" w:cs="Calibri"/>
          <w:sz w:val="24"/>
        </w:rPr>
        <w:t xml:space="preserve">, </w:t>
      </w:r>
      <w:r>
        <w:rPr>
          <w:rFonts w:hint="eastAsia" w:ascii="Calibri" w:hAnsi="Calibri" w:cs="Calibri"/>
          <w:sz w:val="24"/>
          <w:szCs w:val="32"/>
        </w:rPr>
        <w:t>we also explored the differential performance in</w:t>
      </w:r>
      <w:r>
        <w:rPr>
          <w:rFonts w:ascii="Calibri" w:hAnsi="Calibri" w:cs="Calibri"/>
          <w:sz w:val="24"/>
          <w:szCs w:val="32"/>
        </w:rPr>
        <w:t xml:space="preserve"> </w:t>
      </w:r>
      <w:r>
        <w:rPr>
          <w:rFonts w:hint="eastAsia" w:ascii="Calibri" w:hAnsi="Calibri" w:cs="Calibri"/>
          <w:sz w:val="24"/>
          <w:szCs w:val="32"/>
        </w:rPr>
        <w:t>selecting the best and avoiding the worst stimulus within the novel pairings. As such the regression models</w:t>
      </w:r>
      <w:r>
        <w:rPr>
          <w:rFonts w:ascii="Calibri" w:hAnsi="Calibri" w:cs="Calibri"/>
          <w:sz w:val="24"/>
          <w:szCs w:val="32"/>
        </w:rPr>
        <w:t xml:space="preserve"> during the transfer </w:t>
      </w:r>
      <w:r>
        <w:rPr>
          <w:rFonts w:hint="eastAsia" w:ascii="Calibri" w:hAnsi="Calibri" w:cs="Calibri"/>
          <w:sz w:val="24"/>
          <w:szCs w:val="32"/>
        </w:rPr>
        <w:t xml:space="preserve">phase </w:t>
      </w:r>
      <w:r>
        <w:rPr>
          <w:rFonts w:ascii="Calibri" w:hAnsi="Calibri" w:cs="Calibri"/>
          <w:sz w:val="24"/>
          <w:szCs w:val="32"/>
        </w:rPr>
        <w:t xml:space="preserve">focused on </w:t>
      </w:r>
      <w:r>
        <w:rPr>
          <w:rFonts w:hint="eastAsia" w:ascii="Calibri" w:hAnsi="Calibri" w:cs="Calibri"/>
          <w:sz w:val="24"/>
          <w:szCs w:val="32"/>
        </w:rPr>
        <w:t xml:space="preserve">trials </w:t>
      </w:r>
      <w:r>
        <w:rPr>
          <w:rFonts w:ascii="Calibri" w:hAnsi="Calibri" w:cs="Calibri"/>
          <w:sz w:val="24"/>
          <w:szCs w:val="32"/>
        </w:rPr>
        <w:t xml:space="preserve">during which either the </w:t>
      </w:r>
      <w:r>
        <w:rPr>
          <w:rFonts w:hint="eastAsia" w:ascii="Calibri" w:hAnsi="Calibri" w:cs="Calibri"/>
          <w:sz w:val="24"/>
          <w:szCs w:val="32"/>
        </w:rPr>
        <w:t xml:space="preserve">A or B stimulus </w:t>
      </w:r>
      <w:r>
        <w:rPr>
          <w:rFonts w:ascii="Calibri" w:hAnsi="Calibri" w:cs="Calibri"/>
          <w:sz w:val="24"/>
          <w:szCs w:val="32"/>
        </w:rPr>
        <w:t xml:space="preserve">were </w:t>
      </w:r>
      <w:r>
        <w:rPr>
          <w:rFonts w:hint="eastAsia" w:ascii="Calibri" w:hAnsi="Calibri" w:cs="Calibri"/>
          <w:sz w:val="24"/>
          <w:szCs w:val="32"/>
        </w:rPr>
        <w:t>presented</w:t>
      </w:r>
      <w:r>
        <w:rPr>
          <w:rFonts w:ascii="Calibri" w:hAnsi="Calibri" w:cs="Calibri"/>
          <w:sz w:val="24"/>
          <w:szCs w:val="32"/>
        </w:rPr>
        <w:t>.</w:t>
      </w:r>
      <w:r>
        <w:rPr>
          <w:rFonts w:hint="eastAsia" w:ascii="Calibri" w:hAnsi="Calibri" w:cs="Calibri"/>
          <w:sz w:val="24"/>
          <w:szCs w:val="32"/>
        </w:rPr>
        <w:t xml:space="preserve"> The within-subject variable was therefore changed </w:t>
      </w:r>
      <w:r>
        <w:rPr>
          <w:rFonts w:ascii="Calibri" w:hAnsi="Calibri" w:cs="Calibri"/>
          <w:sz w:val="24"/>
          <w:szCs w:val="32"/>
        </w:rPr>
        <w:t xml:space="preserve">to the </w:t>
      </w:r>
      <w:r>
        <w:rPr>
          <w:rFonts w:hint="eastAsia" w:ascii="Calibri" w:hAnsi="Calibri" w:cs="Calibri"/>
          <w:sz w:val="24"/>
          <w:szCs w:val="32"/>
        </w:rPr>
        <w:t>approach A or avoid B variable (A=1, B=-1) on each trial while the dependent variable was the choice accuracy in choosing A in approach A trials or not choosing B in avoid B trials (correct=1, incorrect=0). Treatment (LT=1, PLC=0) was also included as between-subject variable with a varying intercept per subject.</w:t>
      </w:r>
    </w:p>
    <w:p>
      <w:pPr>
        <w:spacing w:line="360" w:lineRule="auto"/>
        <w:ind w:firstLine="240" w:firstLineChars="100"/>
        <w:jc w:val="left"/>
        <w:rPr>
          <w:rFonts w:hint="default" w:ascii="Calibri" w:hAnsi="Calibri" w:cs="Calibri" w:eastAsiaTheme="minorEastAsia"/>
          <w:sz w:val="24"/>
          <w:szCs w:val="32"/>
          <w:lang w:val="en-US" w:eastAsia="zh-CN"/>
        </w:rPr>
      </w:pPr>
      <w:r>
        <w:rPr>
          <w:rFonts w:ascii="Calibri" w:hAnsi="Calibri" w:cs="Calibri"/>
          <w:sz w:val="24"/>
          <w:szCs w:val="32"/>
        </w:rPr>
        <w:t xml:space="preserve">For these </w:t>
      </w:r>
      <w:r>
        <w:rPr>
          <w:rFonts w:hint="eastAsia" w:ascii="Calibri" w:hAnsi="Calibri" w:cs="Calibri"/>
          <w:sz w:val="24"/>
          <w:szCs w:val="32"/>
        </w:rPr>
        <w:t>regression models</w:t>
      </w:r>
      <w:r>
        <w:rPr>
          <w:rFonts w:ascii="Calibri" w:hAnsi="Calibri" w:cs="Calibri"/>
          <w:sz w:val="24"/>
          <w:szCs w:val="32"/>
        </w:rPr>
        <w:t xml:space="preserve"> </w:t>
      </w:r>
      <w:r>
        <w:rPr>
          <w:rFonts w:hint="eastAsia" w:ascii="Calibri" w:hAnsi="Calibri" w:cs="Calibri"/>
          <w:sz w:val="24"/>
          <w:szCs w:val="32"/>
        </w:rPr>
        <w:t>sample</w:t>
      </w:r>
      <w:r>
        <w:rPr>
          <w:rFonts w:ascii="Calibri" w:hAnsi="Calibri" w:cs="Calibri"/>
          <w:sz w:val="24"/>
          <w:szCs w:val="32"/>
        </w:rPr>
        <w:t xml:space="preserve">s </w:t>
      </w:r>
      <w:r>
        <w:rPr>
          <w:rFonts w:hint="eastAsia" w:ascii="Calibri" w:hAnsi="Calibri" w:cs="Calibri"/>
          <w:sz w:val="24"/>
          <w:szCs w:val="32"/>
        </w:rPr>
        <w:t>of each parameter</w:t>
      </w:r>
      <w:r>
        <w:rPr>
          <w:rFonts w:ascii="Calibri" w:hAnsi="Calibri" w:cs="Calibri"/>
          <w:sz w:val="24"/>
          <w:szCs w:val="32"/>
        </w:rPr>
        <w:t>’</w:t>
      </w:r>
      <w:r>
        <w:rPr>
          <w:rFonts w:hint="eastAsia" w:ascii="Calibri" w:hAnsi="Calibri" w:cs="Calibri"/>
          <w:sz w:val="24"/>
          <w:szCs w:val="32"/>
        </w:rPr>
        <w:t xml:space="preserve">s posterior distribution were drawn with a Hamiltonian Monte Carlo sampling algorithm implemented in Stan </w:t>
      </w:r>
      <w:r>
        <w:rPr>
          <w:rFonts w:ascii="Calibri" w:hAnsi="Calibri" w:cs="Calibri"/>
          <w:sz w:val="24"/>
          <w:szCs w:val="32"/>
        </w:rPr>
        <w:fldChar w:fldCharType="begin"/>
      </w:r>
      <w:r>
        <w:rPr>
          <w:rFonts w:ascii="Calibri" w:hAnsi="Calibri" w:cs="Calibri"/>
          <w:sz w:val="24"/>
          <w:szCs w:val="32"/>
        </w:rPr>
        <w:instrText xml:space="preserve"> ADDIN EN.CITE &lt;EndNote&gt;&lt;Cite&gt;&lt;Author&gt;Hoffman&lt;/Author&gt;&lt;Year&gt;2014&lt;/Year&gt;&lt;RecNum&gt;25&lt;/RecNum&gt;&lt;DisplayText&gt;(Carpenter et al., 2017; Hoffman &amp;amp; Gelman, 2014)&lt;/DisplayText&gt;&lt;record&gt;&lt;rec-number&gt;25&lt;/rec-number&gt;&lt;foreign-keys&gt;&lt;key app="EN" db-id="sdta2fdp8zzp5ve9peeps0eefvdwwdt2vtft"&gt;25&lt;/key&gt;&lt;/foreign-keys&gt;&lt;ref-type name="Journal Article"&gt;17&lt;/ref-type&gt;&lt;contributors&gt;&lt;authors&gt;&lt;author&gt;Hoffman, Matthew D&lt;/author&gt;&lt;author&gt;Gelman, Andrew&lt;/author&gt;&lt;/authors&gt;&lt;/contributors&gt;&lt;titles&gt;&lt;title&gt;The No-U-Turn sampler: adaptively setting path lengths in Hamiltonian Monte Carlo&lt;/title&gt;&lt;secondary-title&gt;J. Mach. Learn. Res.&lt;/secondary-title&gt;&lt;/titles&gt;&lt;periodical&gt;&lt;full-title&gt;J. Mach. Learn. Res.&lt;/full-title&gt;&lt;/periodical&gt;&lt;pages&gt;1593-1623&lt;/pages&gt;&lt;volume&gt;15&lt;/volume&gt;&lt;number&gt;1&lt;/number&gt;&lt;dates&gt;&lt;year&gt;2014&lt;/year&gt;&lt;/dates&gt;&lt;urls&gt;&lt;/urls&gt;&lt;/record&gt;&lt;/Cite&gt;&lt;Cite&gt;&lt;Author&gt;Carpenter&lt;/Author&gt;&lt;Year&gt;2017&lt;/Year&gt;&lt;RecNum&gt;26&lt;/RecNum&gt;&lt;record&gt;&lt;rec-number&gt;26&lt;/rec-number&gt;&lt;foreign-keys&gt;&lt;key app="EN" db-id="sdta2fdp8zzp5ve9peeps0eefvdwwdt2vtft"&gt;26&lt;/key&gt;&lt;/foreign-keys&gt;&lt;ref-type name="Journal Article"&gt;17&lt;/ref-type&gt;&lt;contributors&gt;&lt;authors&gt;&lt;author&gt;Carpenter, Bob&lt;/author&gt;&lt;author&gt;Gelman, Andrew&lt;/author&gt;&lt;author&gt;Hoffman, Matthew D&lt;/author&gt;&lt;author&gt;Lee, Daniel&lt;/author&gt;&lt;author&gt;Goodrich, Ben&lt;/author&gt;&lt;author&gt;Betancourt, Michael&lt;/author&gt;&lt;author&gt;Brubaker, Marcus&lt;/author&gt;&lt;author&gt;Guo, Jiqiang&lt;/author&gt;&lt;author&gt;Li, Peter&lt;/author&gt;&lt;author&gt;Riddell, Allen&lt;/author&gt;&lt;/authors&gt;&lt;/contributors&gt;&lt;titles&gt;&lt;title&gt;Stan: A probabilistic programming language&lt;/title&gt;&lt;secondary-title&gt;Journal of statistical software&lt;/secondary-title&gt;&lt;/titles&gt;&lt;periodical&gt;&lt;full-title&gt;Journal of statistical software&lt;/full-title&gt;&lt;/periodical&gt;&lt;pages&gt;1-32&lt;/pages&gt;&lt;volume&gt;76&lt;/volume&gt;&lt;number&gt;1&lt;/number&gt;&lt;dates&gt;&lt;year&gt;2017&lt;/year&gt;&lt;/dates&gt;&lt;isbn&gt;1548-7660&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"_ENREF_4" \o "Carpenter, 2017 #26" </w:instrText>
      </w:r>
      <w:r>
        <w:fldChar w:fldCharType="separate"/>
      </w:r>
      <w:r>
        <w:rPr>
          <w:rFonts w:ascii="Calibri" w:hAnsi="Calibri" w:cs="Calibri"/>
          <w:sz w:val="24"/>
          <w:szCs w:val="32"/>
        </w:rPr>
        <w:t>Carpenter et al., 2017</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"_ENREF_8" \o "Hoffman, 2014 #25" </w:instrText>
      </w:r>
      <w:r>
        <w:fldChar w:fldCharType="separate"/>
      </w:r>
      <w:r>
        <w:rPr>
          <w:rFonts w:ascii="Calibri" w:hAnsi="Calibri" w:cs="Calibri"/>
          <w:sz w:val="24"/>
          <w:szCs w:val="32"/>
        </w:rPr>
        <w:t>Hoffman &amp; Gelman, 2014</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The model was fitted using</w:t>
      </w:r>
      <w:r>
        <w:rPr>
          <w:rFonts w:hint="eastAsia" w:ascii="Calibri" w:hAnsi="Calibri" w:cs="Calibri"/>
          <w:sz w:val="24"/>
          <w:szCs w:val="32"/>
        </w:rPr>
        <w:t xml:space="preserve"> three independent Markov Chains, each with </w:t>
      </w:r>
      <w:r>
        <w:rPr>
          <w:rFonts w:ascii="Calibri" w:hAnsi="Calibri" w:cs="Calibri"/>
          <w:sz w:val="24"/>
          <w:szCs w:val="32"/>
        </w:rPr>
        <w:t>5000 iterations of which 2000 were</w:t>
      </w:r>
      <w:r>
        <w:rPr>
          <w:rFonts w:hint="eastAsia" w:ascii="Calibri" w:hAnsi="Calibri" w:cs="Calibri"/>
          <w:sz w:val="24"/>
          <w:szCs w:val="32"/>
        </w:rPr>
        <w:t xml:space="preserve"> warm-up </w:t>
      </w:r>
      <w:r>
        <w:rPr>
          <w:rFonts w:ascii="Calibri" w:hAnsi="Calibri" w:cs="Calibri"/>
          <w:sz w:val="24"/>
          <w:szCs w:val="32"/>
        </w:rPr>
        <w:t>to calibrate the sampler, leading to a total of 9000 posterior samples</w:t>
      </w:r>
      <w:r>
        <w:rPr>
          <w:rFonts w:hint="eastAsia" w:ascii="Calibri" w:hAnsi="Calibri" w:cs="Calibri"/>
          <w:sz w:val="24"/>
          <w:szCs w:val="32"/>
        </w:rPr>
        <w:t xml:space="preserve">. To confirm that the samples for each chain converged to the same posterior distribution, the Geweke diagnostic and R-Hat statistics were calculated </w:t>
      </w:r>
      <w:r>
        <w:rPr>
          <w:rFonts w:ascii="Calibri" w:hAnsi="Calibri" w:cs="Calibri"/>
          <w:sz w:val="24"/>
          <w:szCs w:val="32"/>
        </w:rPr>
        <w:fldChar w:fldCharType="begin"/>
      </w:r>
      <w:r>
        <w:rPr>
          <w:rFonts w:ascii="Calibri" w:hAnsi="Calibri" w:cs="Calibri"/>
          <w:sz w:val="24"/>
          <w:szCs w:val="32"/>
        </w:rPr>
        <w:instrText xml:space="preserve"> ADDIN EN.CITE &lt;EndNote&gt;&lt;Cite&gt;&lt;Author&gt;Gelman&lt;/Author&gt;&lt;Year&gt;1992&lt;/Year&gt;&lt;RecNum&gt;24&lt;/RecNum&gt;&lt;DisplayText&gt;(Gelman &amp;amp; Rubin, 1992)&lt;/DisplayText&gt;&lt;record&gt;&lt;rec-number&gt;24&lt;/rec-number&gt;&lt;foreign-keys&gt;&lt;key app="EN" db-id="sdta2fdp8zzp5ve9peeps0eefvdwwdt2vtft"&gt;24&lt;/key&gt;&lt;/foreign-keys&gt;&lt;ref-type name="Journal Article"&gt;17&lt;/ref-type&gt;&lt;contributors&gt;&lt;authors&gt;&lt;author&gt;Gelman, Andrew&lt;/author&gt;&lt;author&gt;Rubin, Donald B&lt;/author&gt;&lt;/authors&gt;&lt;/contributors&gt;&lt;titles&gt;&lt;title&gt;Inference from iterative simulation using multiple sequences&lt;/title&gt;&lt;secondary-title&gt;Statistical science&lt;/secondary-title&gt;&lt;/titles&gt;&lt;periodical&gt;&lt;full-title&gt;Statistical science&lt;/full-title&gt;&lt;/periodical&gt;&lt;pages&gt;457-472&lt;/pages&gt;&lt;volume&gt;7&lt;/volume&gt;&lt;number&gt;4&lt;/number&gt;&lt;dates&gt;&lt;year&gt;1992&lt;/year&gt;&lt;/dates&gt;&lt;isbn&gt;0883-4237&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"_ENREF_6" \o "Gelman, 1992 #24" </w:instrText>
      </w:r>
      <w:r>
        <w:fldChar w:fldCharType="separate"/>
      </w:r>
      <w:r>
        <w:rPr>
          <w:rFonts w:ascii="Calibri" w:hAnsi="Calibri" w:cs="Calibri"/>
          <w:sz w:val="24"/>
          <w:szCs w:val="32"/>
        </w:rPr>
        <w:t>Gelman &amp; Rubin, 1992</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hint="eastAsia" w:ascii="Calibri" w:hAnsi="Calibri" w:cs="Calibri"/>
          <w:sz w:val="24"/>
          <w:szCs w:val="32"/>
        </w:rPr>
        <w:t xml:space="preserve">. </w:t>
      </w:r>
      <w:r>
        <w:rPr>
          <w:rFonts w:ascii="Calibri" w:hAnsi="Calibri" w:cs="Calibri"/>
          <w:sz w:val="24"/>
          <w:szCs w:val="32"/>
        </w:rPr>
        <w:t>Finally,</w:t>
      </w:r>
      <w:r>
        <w:rPr>
          <w:rFonts w:hint="eastAsia" w:ascii="Calibri" w:hAnsi="Calibri" w:cs="Calibri"/>
          <w:sz w:val="24"/>
          <w:szCs w:val="32"/>
        </w:rPr>
        <w:t xml:space="preserve"> we </w:t>
      </w:r>
      <w:r>
        <w:rPr>
          <w:rFonts w:ascii="Calibri" w:hAnsi="Calibri" w:cs="Calibri"/>
          <w:sz w:val="24"/>
          <w:szCs w:val="32"/>
        </w:rPr>
        <w:t xml:space="preserve">reported main </w:t>
      </w:r>
      <w:r>
        <w:rPr>
          <w:rFonts w:hint="eastAsia" w:ascii="Calibri" w:hAnsi="Calibri" w:cs="Calibri"/>
          <w:sz w:val="24"/>
          <w:szCs w:val="32"/>
        </w:rPr>
        <w:t>effects of treatment, stimulus pair, fMRI runs</w:t>
      </w:r>
      <w:r>
        <w:rPr>
          <w:rFonts w:ascii="Calibri" w:hAnsi="Calibri" w:cs="Calibri"/>
          <w:sz w:val="24"/>
          <w:szCs w:val="32"/>
        </w:rPr>
        <w:t>, and</w:t>
      </w:r>
      <w:r>
        <w:rPr>
          <w:rFonts w:hint="eastAsia" w:ascii="Calibri" w:hAnsi="Calibri" w:cs="Calibri"/>
          <w:sz w:val="24"/>
          <w:szCs w:val="32"/>
        </w:rPr>
        <w:t xml:space="preserve"> interaction</w:t>
      </w:r>
      <w:r>
        <w:rPr>
          <w:rFonts w:ascii="Calibri" w:hAnsi="Calibri" w:cs="Calibri"/>
          <w:sz w:val="24"/>
          <w:szCs w:val="32"/>
        </w:rPr>
        <w:t xml:space="preserve"> effects of stimulus pair with treatment</w:t>
      </w:r>
      <w:r>
        <w:rPr>
          <w:rFonts w:hint="eastAsia" w:ascii="Calibri" w:hAnsi="Calibri" w:cs="Calibri"/>
          <w:sz w:val="24"/>
          <w:szCs w:val="32"/>
        </w:rPr>
        <w:t xml:space="preserve"> on credibly different </w:t>
      </w:r>
      <w:r>
        <w:rPr>
          <w:rFonts w:ascii="Calibri" w:hAnsi="Calibri" w:cs="Calibri"/>
          <w:sz w:val="24"/>
          <w:szCs w:val="32"/>
        </w:rPr>
        <w:t xml:space="preserve">parameters, i.e. </w:t>
      </w:r>
      <w:r>
        <w:rPr>
          <w:rFonts w:hint="eastAsia" w:ascii="Calibri" w:hAnsi="Calibri" w:cs="Calibri"/>
          <w:sz w:val="24"/>
          <w:szCs w:val="32"/>
        </w:rPr>
        <w:t>when more than 95% of the posterior distribution is above/below zero.</w:t>
      </w:r>
    </w:p>
    <w:p/>
    <w:p>
      <w:pPr>
        <w:jc w:val="left"/>
        <w:rPr>
          <w:rFonts w:cstheme="minorHAnsi"/>
          <w:b/>
          <w:sz w:val="24"/>
        </w:rPr>
      </w:pPr>
      <w:r>
        <w:rPr>
          <w:rFonts w:cstheme="minorHAnsi"/>
          <w:b/>
          <w:sz w:val="24"/>
        </w:rPr>
        <w:t>Computational modeling</w:t>
      </w:r>
    </w:p>
    <w:p>
      <w:pPr>
        <w:spacing w:line="360" w:lineRule="auto"/>
        <w:jc w:val="left"/>
        <w:rPr>
          <w:rFonts w:ascii="Calibri" w:hAnsi="Calibri" w:cs="Calibri"/>
          <w:sz w:val="24"/>
          <w:szCs w:val="32"/>
        </w:rPr>
      </w:pPr>
      <w:r>
        <w:rPr>
          <w:rFonts w:ascii="Calibri" w:hAnsi="Calibri" w:cs="Calibri"/>
          <w:sz w:val="24"/>
          <w:szCs w:val="32"/>
        </w:rPr>
        <w:t xml:space="preserve">We explored the learning rate from </w:t>
      </w:r>
      <w:r>
        <w:rPr>
          <w:rFonts w:hint="eastAsia" w:ascii="Calibri" w:hAnsi="Calibri" w:cs="Calibri"/>
          <w:sz w:val="24"/>
          <w:szCs w:val="32"/>
        </w:rPr>
        <w:t>participants</w:t>
      </w:r>
      <w:r>
        <w:rPr>
          <w:rFonts w:ascii="Calibri" w:hAnsi="Calibri" w:cs="Calibri"/>
          <w:sz w:val="24"/>
          <w:szCs w:val="32"/>
        </w:rPr>
        <w:t xml:space="preserve">’ choice behavior by using a computational </w:t>
      </w:r>
      <w:r>
        <w:rPr>
          <w:rFonts w:hint="eastAsia" w:ascii="Calibri" w:hAnsi="Calibri" w:cs="Calibri"/>
          <w:sz w:val="24"/>
          <w:szCs w:val="32"/>
        </w:rPr>
        <w:t>reinforcement learning</w:t>
      </w:r>
      <w:r>
        <w:rPr>
          <w:rFonts w:ascii="Calibri" w:hAnsi="Calibri" w:cs="Calibri"/>
          <w:sz w:val="24"/>
          <w:szCs w:val="32"/>
        </w:rPr>
        <w:t xml:space="preserve"> ‘Q-learning’ algorithm with a hierarchical Bayesian parameter estimation</w:t>
      </w:r>
      <w:r>
        <w:rPr>
          <w:rFonts w:hint="eastAsia" w:ascii="Calibri" w:hAnsi="Calibri" w:cs="Calibri"/>
          <w:sz w:val="24"/>
          <w:szCs w:val="32"/>
        </w:rPr>
        <w:t xml:space="preserve"> for data collected in </w:t>
      </w:r>
      <w:r>
        <w:rPr>
          <w:rFonts w:ascii="Calibri" w:hAnsi="Calibri" w:cs="Calibri"/>
          <w:sz w:val="24"/>
          <w:szCs w:val="32"/>
        </w:rPr>
        <w:t xml:space="preserve">the </w:t>
      </w:r>
      <w:r>
        <w:rPr>
          <w:rFonts w:hint="eastAsia" w:ascii="Calibri" w:hAnsi="Calibri" w:cs="Calibri"/>
          <w:sz w:val="24"/>
          <w:szCs w:val="32"/>
        </w:rPr>
        <w:t>separate fMRI runs</w:t>
      </w:r>
      <w:r>
        <w:rPr>
          <w:rFonts w:ascii="Calibri" w:hAnsi="Calibri" w:cs="Calibri"/>
          <w:sz w:val="24"/>
          <w:szCs w:val="32"/>
        </w:rPr>
        <w:t xml:space="preserve">. In hierarchical models, group and individual parameter distributions are fitted simultaneously and constrain each other, leading to greater statistical power over standard non-hierarchical methods </w:t>
      </w:r>
      <w:r>
        <w:rPr>
          <w:rFonts w:ascii="Calibri" w:hAnsi="Calibri" w:cs="Calibri"/>
          <w:sz w:val="24"/>
          <w:szCs w:val="32"/>
        </w:rPr>
        <w:fldChar w:fldCharType="begin"/>
      </w:r>
      <w:r>
        <w:rPr>
          <w:rFonts w:ascii="Calibri" w:hAnsi="Calibri" w:cs="Calibri"/>
          <w:sz w:val="24"/>
          <w:szCs w:val="32"/>
        </w:rPr>
        <w:instrText xml:space="preserve"> ADDIN EN.CITE &lt;EndNote&gt;&lt;Cite&gt;&lt;Author&gt;Pedersen&lt;/Author&gt;&lt;Year&gt;2020&lt;/Year&gt;&lt;RecNum&gt;27&lt;/RecNum&gt;&lt;DisplayText&gt;(Pedersen &amp;amp; Frank, 2020)&lt;/DisplayText&gt;&lt;record&gt;&lt;rec-number&gt;27&lt;/rec-number&gt;&lt;foreign-keys&gt;&lt;key app="EN" db-id="sdta2fdp8zzp5ve9peeps0eefvdwwdt2vtft"&gt;27&lt;/key&gt;&lt;/foreign-keys&gt;&lt;ref-type name="Journal Article"&gt;17&lt;/ref-type&gt;&lt;contributors&gt;&lt;authors&gt;&lt;author&gt;Pedersen, Mads L&lt;/author&gt;&lt;author&gt;Frank, Michael J&lt;/author&gt;&lt;/authors&gt;&lt;/contributors&gt;&lt;titles&gt;&lt;title&gt;Simultaneous hierarchical bayesian parameter estimation for reinforcement learning and drift diffusion models: a tutorial and links to neural data&lt;/title&gt;&lt;secondary-title&gt;Computational Brain &amp;amp; Behavior&lt;/secondary-title&gt;&lt;/titles&gt;&lt;periodical&gt;&lt;full-title&gt;Computational Brain &amp;amp; Behavior&lt;/full-title&gt;&lt;/periodical&gt;&lt;pages&gt;458-471&lt;/pages&gt;&lt;volume&gt;3&lt;/volume&gt;&lt;dates&gt;&lt;year&gt;2020&lt;/year&gt;&lt;/dates&gt;&lt;isbn&gt;2522-0861&lt;/isbn&gt;&lt;urls&gt;&lt;/urls&gt;&lt;/record&gt;&lt;/Cite&gt;&lt;/EndNote&gt;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"_ENREF_15" \o "Pedersen, 2020 #27" </w:instrText>
      </w:r>
      <w:r>
        <w:fldChar w:fldCharType="separate"/>
      </w:r>
      <w:r>
        <w:rPr>
          <w:rFonts w:ascii="Calibri" w:hAnsi="Calibri" w:cs="Calibri"/>
          <w:sz w:val="24"/>
          <w:szCs w:val="32"/>
        </w:rPr>
        <w:t>Pedersen &amp; Frank, 2020</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In the current study, the model estimates the expected value (Q) of stimulus (A-F) based on the individual sequences of choices and experienced outcomes. The expected value for choosing one stimulus in a pair will be updated according to the following equation</w:t>
      </w:r>
      <w:r>
        <w:rPr>
          <w:rFonts w:hint="eastAsia" w:ascii="Calibri" w:hAnsi="Calibri" w:cs="Calibri"/>
          <w:sz w:val="24"/>
          <w:szCs w:val="32"/>
        </w:rPr>
        <w:t>:</w:t>
      </w:r>
    </w:p>
    <w:p>
      <w:pPr>
        <w:spacing w:line="360" w:lineRule="auto"/>
        <w:jc w:val="center"/>
        <w:rPr>
          <w:rFonts w:ascii="Calibri" w:hAnsi="Calibri" w:cs="Calibri"/>
          <w:sz w:val="24"/>
          <w:szCs w:val="32"/>
        </w:rPr>
      </w:pPr>
      <w:r>
        <w:rPr>
          <w:rFonts w:ascii="Calibri" w:hAnsi="Calibri" w:cs="Calibri"/>
          <w:position w:val="-32"/>
          <w:sz w:val="24"/>
          <w:szCs w:val="32"/>
        </w:rPr>
        <w:object>
          <v:shape id="_x0000_i1025" o:spt="75" type="#_x0000_t75" style="height:50.9pt;width:333.3pt;" o:ole="t" filled="f" o:preferrelative="t" stroked="f" coordsize="21600,21600">
            <v:path/>
            <v:fill on="f" focussize="0,0"/>
            <v:stroke on="f" joinstyle="miter"/>
            <v:imagedata r:id="rId5" o:title=""/>
            <o:lock v:ext="edit" aspectratio="t"/>
            <w10:wrap type="none"/>
            <w10:anchorlock/>
          </v:shape>
          <o:OLEObject Type="Embed" ProgID="Equation.KSEE3" ShapeID="_x0000_i1025" DrawAspect="Content" ObjectID="_1468075725" r:id="rId4">
            <o:LockedField>false</o:LockedField>
          </o:OLEObject>
        </w:object>
      </w:r>
    </w:p>
    <w:p>
      <w:pPr>
        <w:spacing w:line="360" w:lineRule="auto"/>
        <w:jc w:val="left"/>
        <w:rPr>
          <w:rFonts w:ascii="Calibri" w:hAnsi="Calibri" w:cs="Calibri"/>
          <w:sz w:val="24"/>
          <w:szCs w:val="32"/>
        </w:rPr>
      </w:pPr>
      <w:r>
        <w:rPr>
          <w:rFonts w:ascii="Calibri" w:hAnsi="Calibri" w:cs="Calibri"/>
          <w:sz w:val="24"/>
          <w:szCs w:val="32"/>
        </w:rPr>
        <w:t>Where the term Q</w:t>
      </w:r>
      <w:r>
        <w:rPr>
          <w:rFonts w:ascii="Calibri" w:hAnsi="Calibri" w:cs="Calibri"/>
          <w:sz w:val="24"/>
          <w:szCs w:val="32"/>
          <w:vertAlign w:val="subscript"/>
        </w:rPr>
        <w:t>cs</w:t>
      </w:r>
      <w:r>
        <w:rPr>
          <w:rFonts w:ascii="Calibri" w:hAnsi="Calibri" w:cs="Calibri"/>
          <w:sz w:val="24"/>
          <w:szCs w:val="32"/>
        </w:rPr>
        <w:t xml:space="preserve">(t+1) is the expected value of chosen stimulus on trial t + 1, which is determined by the expected value of last chosen stimulus on trial t and the learning rate. Because previous LT work demonstrated a distinguishable learning trend for positive and negative outcomes </w:t>
      </w:r>
      <w:r>
        <w:rPr>
          <w:rFonts w:ascii="Calibri" w:hAnsi="Calibri" w:cs="Calibri"/>
          <w:sz w:val="24"/>
          <w:szCs w:val="32"/>
        </w:rPr>
        <w:fldChar w:fldCharType="begin"/>
      </w:r>
      <w:r>
        <w:rPr>
          <w:rFonts w:ascii="Calibri" w:hAnsi="Calibri" w:cs="Calibri"/>
          <w:sz w:val="24"/>
          <w:szCs w:val="32"/>
        </w:rPr>
        <w:instrText xml:space="preserve"> ADDIN EN.CITE &lt;EndNote&gt;&lt;Cite&gt;&lt;Author&gt;Pulcu&lt;/Author&gt;&lt;Year&gt;2019&lt;/Year&gt;&lt;RecNum&gt;28&lt;/RecNum&gt;&lt;DisplayText&gt;(Pulcu et al., 2019)&lt;/DisplayText&gt;&lt;record&gt;&lt;rec-number&gt;28&lt;/rec-number&gt;&lt;foreign-keys&gt;&lt;key app="EN" db-id="sdta2fdp8zzp5ve9peeps0eefvdwwdt2vtft"&gt;28&lt;/key&gt;&lt;/foreign-keys&gt;&lt;ref-type name="Journal Article"&gt;17&lt;/ref-type&gt;&lt;contributors&gt;&lt;authors&gt;&lt;author&gt;Pulcu, Erdem&lt;/author&gt;&lt;author&gt;Shkreli, Lorika&lt;/author&gt;&lt;author&gt;Holst, Carolina Guzman&lt;/author&gt;&lt;author&gt;Woud, Marcella L&lt;/author&gt;&lt;author&gt;Craske, Michelle G&lt;/author&gt;&lt;author&gt;Browning, Michael&lt;/author&gt;&lt;author&gt;Reinecke, Andrea&lt;/author&gt;&lt;/authors&gt;&lt;/contributors&gt;&lt;titles&gt;&lt;title&gt;The effects of the angiotensin II receptor antagonist losartan on appetitive versus aversive learning: a randomized controlled trial&lt;/title&gt;&lt;secondary-title&gt;Biological psychiatry&lt;/secondary-title&gt;&lt;/titles&gt;&lt;periodical&gt;&lt;full-title&gt;Biological psychiatry&lt;/full-title&gt;&lt;/periodical&gt;&lt;pages&gt;397-404&lt;/pages&gt;&lt;volume&gt;86&lt;/volume&gt;&lt;number&gt;5&lt;/number&gt;&lt;dates&gt;&lt;year&gt;2019&lt;/year&gt;&lt;/dates&gt;&lt;isbn&gt;0006-3223&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"_ENREF_16" \o "Pulcu, 2019 #28" </w:instrText>
      </w:r>
      <w:r>
        <w:fldChar w:fldCharType="separate"/>
      </w:r>
      <w:r>
        <w:rPr>
          <w:rFonts w:ascii="Calibri" w:hAnsi="Calibri" w:cs="Calibri"/>
          <w:sz w:val="24"/>
          <w:szCs w:val="32"/>
        </w:rPr>
        <w:t>Pulcu et al., 2019</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we modeled separate learning rate parameters for positive (</w:t>
      </w:r>
      <w:r>
        <w:rPr>
          <w:rFonts w:hint="eastAsia" w:ascii="Calibri" w:hAnsi="Calibri" w:cs="Calibri"/>
          <w:sz w:val="24"/>
          <w:szCs w:val="32"/>
        </w:rPr>
        <w:t>gain</w:t>
      </w:r>
      <w:r>
        <w:rPr>
          <w:rFonts w:ascii="Calibri" w:hAnsi="Calibri" w:cs="Calibri"/>
          <w:sz w:val="24"/>
          <w:szCs w:val="32"/>
        </w:rPr>
        <w:t>) and negative (loss) reward prediction errors</w:t>
      </w:r>
      <w:r>
        <w:rPr>
          <w:rFonts w:hint="eastAsia" w:ascii="Calibri" w:hAnsi="Calibri" w:cs="Calibri"/>
          <w:sz w:val="24"/>
          <w:szCs w:val="32"/>
        </w:rPr>
        <w:t xml:space="preserve"> </w:t>
      </w:r>
      <w:r>
        <w:rPr>
          <w:rFonts w:ascii="Calibri" w:hAnsi="Calibri" w:cs="Calibri"/>
          <w:sz w:val="24"/>
          <w:szCs w:val="32"/>
        </w:rPr>
        <w:t>(RPE, r(t)-Q</w:t>
      </w:r>
      <w:r>
        <w:rPr>
          <w:rFonts w:ascii="Calibri" w:hAnsi="Calibri" w:cs="Calibri"/>
          <w:sz w:val="24"/>
          <w:szCs w:val="32"/>
          <w:vertAlign w:val="subscript"/>
        </w:rPr>
        <w:t>cs</w:t>
      </w:r>
      <w:r>
        <w:rPr>
          <w:rFonts w:ascii="Calibri" w:hAnsi="Calibri" w:cs="Calibri"/>
          <w:sz w:val="24"/>
          <w:szCs w:val="32"/>
        </w:rPr>
        <w:t>(t)).</w:t>
      </w:r>
      <w:r>
        <w:rPr>
          <w:rFonts w:hint="eastAsia" w:ascii="Calibri" w:hAnsi="Calibri" w:cs="Calibri"/>
          <w:sz w:val="24"/>
          <w:szCs w:val="32"/>
        </w:rPr>
        <w:t xml:space="preserve"> </w:t>
      </w:r>
      <w:r>
        <w:rPr>
          <w:rFonts w:ascii="Calibri" w:hAnsi="Calibri" w:cs="Calibri"/>
          <w:sz w:val="24"/>
          <w:szCs w:val="32"/>
        </w:rPr>
        <w:t>The choice on trial t followed by a positive feedback would be weighted by the learning rate (0≤α</w:t>
      </w:r>
      <w:r>
        <w:rPr>
          <w:rFonts w:ascii="Calibri" w:hAnsi="Calibri" w:cs="Calibri"/>
          <w:sz w:val="24"/>
          <w:szCs w:val="32"/>
          <w:vertAlign w:val="subscript"/>
        </w:rPr>
        <w:t>Gain</w:t>
      </w:r>
      <w:r>
        <w:rPr>
          <w:rFonts w:ascii="Calibri" w:hAnsi="Calibri" w:cs="Calibri"/>
          <w:sz w:val="24"/>
          <w:szCs w:val="32"/>
        </w:rPr>
        <w:t xml:space="preserve">≤1) for positive reward prediction error </w:t>
      </w:r>
      <w:r>
        <w:rPr>
          <w:rFonts w:hint="eastAsia" w:ascii="Calibri" w:hAnsi="Calibri" w:cs="Calibri"/>
          <w:sz w:val="24"/>
          <w:szCs w:val="32"/>
        </w:rPr>
        <w:t>(P</w:t>
      </w:r>
      <w:r>
        <w:rPr>
          <w:rFonts w:ascii="Calibri" w:hAnsi="Calibri" w:cs="Calibri"/>
          <w:sz w:val="24"/>
          <w:szCs w:val="32"/>
        </w:rPr>
        <w:t>RPE</w:t>
      </w:r>
      <w:r>
        <w:rPr>
          <w:rFonts w:hint="eastAsia" w:ascii="Calibri" w:hAnsi="Calibri" w:cs="Calibri"/>
          <w:sz w:val="24"/>
          <w:szCs w:val="32"/>
        </w:rPr>
        <w:t>)</w:t>
      </w:r>
      <w:r>
        <w:rPr>
          <w:rFonts w:ascii="Calibri" w:hAnsi="Calibri" w:cs="Calibri"/>
          <w:sz w:val="24"/>
          <w:szCs w:val="32"/>
        </w:rPr>
        <w:t>, or it was weighted by the learning rate (0≤α</w:t>
      </w:r>
      <w:r>
        <w:rPr>
          <w:rFonts w:ascii="Calibri" w:hAnsi="Calibri" w:cs="Calibri"/>
          <w:sz w:val="24"/>
          <w:szCs w:val="32"/>
          <w:vertAlign w:val="subscript"/>
        </w:rPr>
        <w:t>Loss</w:t>
      </w:r>
      <w:r>
        <w:rPr>
          <w:rFonts w:ascii="Calibri" w:hAnsi="Calibri" w:cs="Calibri"/>
          <w:sz w:val="24"/>
          <w:szCs w:val="32"/>
        </w:rPr>
        <w:t xml:space="preserve">≤1) for negative reward prediction error </w:t>
      </w:r>
      <w:r>
        <w:rPr>
          <w:rFonts w:hint="eastAsia" w:ascii="Calibri" w:hAnsi="Calibri" w:cs="Calibri"/>
          <w:sz w:val="24"/>
          <w:szCs w:val="32"/>
        </w:rPr>
        <w:t>(N</w:t>
      </w:r>
      <w:r>
        <w:rPr>
          <w:rFonts w:ascii="Calibri" w:hAnsi="Calibri" w:cs="Calibri"/>
          <w:sz w:val="24"/>
          <w:szCs w:val="32"/>
        </w:rPr>
        <w:t>RPE</w:t>
      </w:r>
      <w:r>
        <w:rPr>
          <w:rFonts w:hint="eastAsia" w:ascii="Calibri" w:hAnsi="Calibri" w:cs="Calibri"/>
          <w:sz w:val="24"/>
          <w:szCs w:val="32"/>
        </w:rPr>
        <w:t xml:space="preserve">) </w:t>
      </w:r>
      <w:r>
        <w:rPr>
          <w:rFonts w:ascii="Calibri" w:hAnsi="Calibri" w:cs="Calibri"/>
          <w:sz w:val="24"/>
          <w:szCs w:val="32"/>
        </w:rPr>
        <w:t xml:space="preserve">if followed by a negative feedback. The learning rate scales the degree to which the prediction error is used to update expected values, and a higher learning rate reflects a faster value updating relying on recent rewards whereas a lower learning rate indicates gradual value update uncovering long-lasting effects of outcome. To avoid the initial bias in the </w:t>
      </w:r>
      <w:r>
        <w:rPr>
          <w:rFonts w:hint="eastAsia" w:ascii="Calibri" w:hAnsi="Calibri" w:cs="Calibri"/>
          <w:sz w:val="24"/>
          <w:szCs w:val="32"/>
        </w:rPr>
        <w:t xml:space="preserve">expected </w:t>
      </w:r>
      <w:r>
        <w:rPr>
          <w:rFonts w:ascii="Calibri" w:hAnsi="Calibri" w:cs="Calibri"/>
          <w:sz w:val="24"/>
          <w:szCs w:val="32"/>
        </w:rPr>
        <w:t xml:space="preserve">value the Q value were all set to the 0.5 before learning. In each stimulus pair, the probability of choosing the </w:t>
      </w:r>
      <w:r>
        <w:rPr>
          <w:rFonts w:hint="eastAsia" w:ascii="Calibri" w:hAnsi="Calibri" w:cs="Calibri"/>
          <w:sz w:val="24"/>
          <w:szCs w:val="32"/>
        </w:rPr>
        <w:t xml:space="preserve">object </w:t>
      </w:r>
      <w:r>
        <w:rPr>
          <w:rFonts w:ascii="Calibri" w:hAnsi="Calibri" w:cs="Calibri"/>
          <w:sz w:val="24"/>
          <w:szCs w:val="32"/>
        </w:rPr>
        <w:t>stimul</w:t>
      </w:r>
      <w:r>
        <w:rPr>
          <w:rFonts w:hint="eastAsia" w:ascii="Calibri" w:hAnsi="Calibri" w:cs="Calibri"/>
          <w:sz w:val="24"/>
          <w:szCs w:val="32"/>
        </w:rPr>
        <w:t xml:space="preserve">i </w:t>
      </w:r>
      <w:r>
        <w:rPr>
          <w:rFonts w:ascii="Calibri" w:hAnsi="Calibri" w:cs="Calibri"/>
          <w:sz w:val="24"/>
          <w:szCs w:val="32"/>
        </w:rPr>
        <w:t>over the other one is estimated using the softmax rule as follows:</w:t>
      </w:r>
    </w:p>
    <w:p>
      <w:pPr>
        <w:spacing w:line="360" w:lineRule="auto"/>
        <w:jc w:val="center"/>
        <w:rPr>
          <w:rFonts w:ascii="Calibri" w:hAnsi="Calibri" w:cs="Calibri"/>
          <w:sz w:val="24"/>
          <w:szCs w:val="32"/>
        </w:rPr>
      </w:pPr>
      <w:r>
        <w:rPr>
          <w:rFonts w:ascii="Calibri" w:hAnsi="Calibri" w:cs="Calibri"/>
          <w:position w:val="-30"/>
          <w:sz w:val="24"/>
          <w:szCs w:val="32"/>
        </w:rPr>
        <w:object>
          <v:shape id="_x0000_i1026" o:spt="75" type="#_x0000_t75" style="height:45.3pt;width:250.15pt;" o:ole="t" filled="f" o:preferrelative="t" stroked="f" coordsize="21600,21600">
            <v:path/>
            <v:fill on="f" focussize="0,0"/>
            <v:stroke on="f" joinstyle="miter"/>
            <v:imagedata r:id="rId7" o:title=""/>
            <o:lock v:ext="edit" aspectratio="t"/>
            <w10:wrap type="none"/>
            <w10:anchorlock/>
          </v:shape>
          <o:OLEObject Type="Embed" ProgID="Equation.KSEE3" ShapeID="_x0000_i1026" DrawAspect="Content" ObjectID="_1468075726" r:id="rId6">
            <o:LockedField>false</o:LockedField>
          </o:OLEObject>
        </w:object>
      </w:r>
    </w:p>
    <w:p>
      <w:pPr>
        <w:spacing w:line="360" w:lineRule="auto"/>
        <w:jc w:val="left"/>
        <w:rPr>
          <w:rFonts w:ascii="Calibri" w:hAnsi="Calibri" w:cs="Calibri"/>
          <w:sz w:val="24"/>
          <w:szCs w:val="32"/>
        </w:rPr>
      </w:pPr>
      <w:r>
        <w:rPr>
          <w:rFonts w:ascii="Calibri" w:hAnsi="Calibri" w:cs="Calibri"/>
          <w:sz w:val="24"/>
          <w:szCs w:val="32"/>
        </w:rPr>
        <w:t xml:space="preserve">The parameter β </w:t>
      </w:r>
      <w:r>
        <w:rPr>
          <w:rFonts w:hint="eastAsia" w:ascii="Calibri" w:hAnsi="Calibri" w:cs="Calibri"/>
          <w:sz w:val="24"/>
          <w:szCs w:val="32"/>
          <w:lang w:val="en-US" w:eastAsia="zh-CN"/>
        </w:rPr>
        <w:t xml:space="preserve">with a range between 1 to 15 </w:t>
      </w:r>
      <w:r>
        <w:rPr>
          <w:rFonts w:ascii="Calibri" w:hAnsi="Calibri" w:cs="Calibri"/>
          <w:sz w:val="24"/>
          <w:szCs w:val="32"/>
        </w:rPr>
        <w:t>is referred to as inverse temperature revealing the exploratory or exploitatory choice behavior. High temperature β indicates a consistent choice behavior with the stimulus of higher expected value being invariably selected, whereas low estimates of this parameter reflects random choice behavior irrespective of the expected value of the stimulus. The parameters α</w:t>
      </w:r>
      <w:r>
        <w:rPr>
          <w:rFonts w:hint="eastAsia" w:ascii="Calibri" w:hAnsi="Calibri" w:cs="Calibri"/>
          <w:sz w:val="24"/>
          <w:szCs w:val="32"/>
          <w:vertAlign w:val="subscript"/>
        </w:rPr>
        <w:t>gain</w:t>
      </w:r>
      <w:r>
        <w:rPr>
          <w:rFonts w:ascii="Calibri" w:hAnsi="Calibri" w:cs="Calibri"/>
          <w:sz w:val="24"/>
          <w:szCs w:val="32"/>
        </w:rPr>
        <w:t>, α</w:t>
      </w:r>
      <w:r>
        <w:rPr>
          <w:rFonts w:ascii="Calibri" w:hAnsi="Calibri" w:cs="Calibri"/>
          <w:sz w:val="24"/>
          <w:szCs w:val="32"/>
          <w:vertAlign w:val="subscript"/>
        </w:rPr>
        <w:t>Los</w:t>
      </w:r>
      <w:r>
        <w:rPr>
          <w:rFonts w:hint="eastAsia" w:ascii="Calibri" w:hAnsi="Calibri" w:cs="Calibri"/>
          <w:sz w:val="24"/>
          <w:szCs w:val="32"/>
          <w:vertAlign w:val="subscript"/>
        </w:rPr>
        <w:t>s</w:t>
      </w:r>
      <w:r>
        <w:rPr>
          <w:rFonts w:ascii="Calibri" w:hAnsi="Calibri" w:cs="Calibri"/>
          <w:sz w:val="24"/>
          <w:szCs w:val="32"/>
        </w:rPr>
        <w:t xml:space="preserve"> and temperature β were estimated for each subject and each run, being modified to maximize the probability of the actual choices under the model.</w:t>
      </w:r>
    </w:p>
    <w:p>
      <w:pPr>
        <w:spacing w:line="360" w:lineRule="auto"/>
        <w:ind w:firstLine="240" w:firstLineChars="100"/>
        <w:jc w:val="left"/>
        <w:rPr>
          <w:rFonts w:ascii="Calibri" w:hAnsi="Calibri" w:cs="Calibri"/>
          <w:sz w:val="24"/>
          <w:szCs w:val="32"/>
        </w:rPr>
      </w:pPr>
      <w:r>
        <w:rPr>
          <w:rFonts w:ascii="Calibri" w:hAnsi="Calibri" w:cs="Calibri"/>
          <w:sz w:val="24"/>
          <w:szCs w:val="32"/>
        </w:rPr>
        <w:t xml:space="preserve">This model was estimated using Markov Chain Monte Carlo (MCMC) inference. Models were implemented using the Stan programming language </w:t>
      </w:r>
      <w:r>
        <w:rPr>
          <w:rFonts w:ascii="Calibri" w:hAnsi="Calibri" w:cs="Calibri"/>
          <w:sz w:val="24"/>
          <w:szCs w:val="32"/>
        </w:rPr>
        <w:fldChar w:fldCharType="begin"/>
      </w:r>
      <w:r>
        <w:rPr>
          <w:rFonts w:ascii="Calibri" w:hAnsi="Calibri" w:cs="Calibri"/>
          <w:sz w:val="24"/>
          <w:szCs w:val="32"/>
        </w:rPr>
        <w:instrText xml:space="preserve"> ADDIN EN.CITE &lt;EndNote&gt;&lt;Cite&gt;&lt;Author&gt;Hoffman&lt;/Author&gt;&lt;Year&gt;2014&lt;/Year&gt;&lt;RecNum&gt;25&lt;/RecNum&gt;&lt;DisplayText&gt;(Carpenter et al., 2017; Hoffman &amp;amp; Gelman, 2014)&lt;/DisplayText&gt;&lt;record&gt;&lt;rec-number&gt;25&lt;/rec-number&gt;&lt;foreign-keys&gt;&lt;key app="EN" db-id="sdta2fdp8zzp5ve9peeps0eefvdwwdt2vtft"&gt;25&lt;/key&gt;&lt;/foreign-keys&gt;&lt;ref-type name="Journal Article"&gt;17&lt;/ref-type&gt;&lt;contributors&gt;&lt;authors&gt;&lt;author&gt;Hoffman, Matthew D&lt;/author&gt;&lt;author&gt;Gelman, Andrew&lt;/author&gt;&lt;/authors&gt;&lt;/contributors&gt;&lt;titles&gt;&lt;title&gt;The No-U-Turn sampler: adaptively setting path lengths in Hamiltonian Monte Carlo&lt;/title&gt;&lt;secondary-title&gt;J. Mach. Learn. Res.&lt;/secondary-title&gt;&lt;/titles&gt;&lt;periodical&gt;&lt;full-title&gt;J. Mach. Learn. Res.&lt;/full-title&gt;&lt;/periodical&gt;&lt;pages&gt;1593-1623&lt;/pages&gt;&lt;volume&gt;15&lt;/volume&gt;&lt;number&gt;1&lt;/number&gt;&lt;dates&gt;&lt;year&gt;2014&lt;/year&gt;&lt;/dates&gt;&lt;urls&gt;&lt;/urls&gt;&lt;/record&gt;&lt;/Cite&gt;&lt;Cite&gt;&lt;Author&gt;Carpenter&lt;/Author&gt;&lt;Year&gt;2017&lt;/Year&gt;&lt;RecNum&gt;26&lt;/RecNum&gt;&lt;record&gt;&lt;rec-number&gt;26&lt;/rec-number&gt;&lt;foreign-keys&gt;&lt;key app="EN" db-id="sdta2fdp8zzp5ve9peeps0eefvdwwdt2vtft"&gt;26&lt;/key&gt;&lt;/foreign-keys&gt;&lt;ref-type name="Journal Article"&gt;17&lt;/ref-type&gt;&lt;contributors&gt;&lt;authors&gt;&lt;author&gt;Carpenter, Bob&lt;/author&gt;&lt;author&gt;Gelman, Andrew&lt;/author&gt;&lt;author&gt;Hoffman, Matthew D&lt;/author&gt;&lt;author&gt;Lee, Daniel&lt;/author&gt;&lt;author&gt;Goodrich, Ben&lt;/author&gt;&lt;author&gt;Betancourt, Michael&lt;/author&gt;&lt;author&gt;Brubaker, Marcus&lt;/author&gt;&lt;author&gt;Guo, Jiqiang&lt;/author&gt;&lt;author&gt;Li, Peter&lt;/author&gt;&lt;author&gt;Riddell, Allen&lt;/author&gt;&lt;/authors&gt;&lt;/contributors&gt;&lt;titles&gt;&lt;title&gt;Stan: A probabilistic programming language&lt;/title&gt;&lt;secondary-title&gt;Journal of statistical software&lt;/secondary-title&gt;&lt;/titles&gt;&lt;periodical&gt;&lt;full-title&gt;Journal of statistical software&lt;/full-title&gt;&lt;/periodical&gt;&lt;pages&gt;1-32&lt;/pages&gt;&lt;volume&gt;76&lt;/volume&gt;&lt;number&gt;1&lt;/number&gt;&lt;dates&gt;&lt;year&gt;2017&lt;/year&gt;&lt;/dates&gt;&lt;isbn&gt;1548-7660&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"_ENREF_4" \o "Carpenter, 2017 #26" </w:instrText>
      </w:r>
      <w:r>
        <w:fldChar w:fldCharType="separate"/>
      </w:r>
      <w:r>
        <w:rPr>
          <w:rFonts w:ascii="Calibri" w:hAnsi="Calibri" w:cs="Calibri"/>
          <w:sz w:val="24"/>
          <w:szCs w:val="32"/>
        </w:rPr>
        <w:t>Carpenter et al., 2017</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"_ENREF_8" \o "Hoffman, 2014 #25" </w:instrText>
      </w:r>
      <w:r>
        <w:fldChar w:fldCharType="separate"/>
      </w:r>
      <w:r>
        <w:rPr>
          <w:rFonts w:ascii="Calibri" w:hAnsi="Calibri" w:cs="Calibri"/>
          <w:sz w:val="24"/>
          <w:szCs w:val="32"/>
        </w:rPr>
        <w:t>Hoffman &amp; Gelman, 2014</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xml:space="preserve">. We ran three chains of 5000 samples each (discarding the first 2500 of each chain for burn-in), and ensured convergence using manual examination of the trace plots (hairy caterpillars, easily moving around the parameter space) and evaluation of R-Hat statistics, which were all less than 1.1 </w:t>
      </w:r>
      <w:r>
        <w:rPr>
          <w:rFonts w:ascii="Calibri" w:hAnsi="Calibri" w:cs="Calibri"/>
          <w:sz w:val="24"/>
          <w:szCs w:val="32"/>
        </w:rPr>
        <w:fldChar w:fldCharType="begin"/>
      </w:r>
      <w:r>
        <w:rPr>
          <w:rFonts w:ascii="Calibri" w:hAnsi="Calibri" w:cs="Calibri"/>
          <w:sz w:val="24"/>
          <w:szCs w:val="32"/>
        </w:rPr>
        <w:instrText xml:space="preserve"> ADDIN EN.CITE &lt;EndNote&gt;&lt;Cite&gt;&lt;Author&gt;Gelman&lt;/Author&gt;&lt;Year&gt;1992&lt;/Year&gt;&lt;RecNum&gt;24&lt;/RecNum&gt;&lt;DisplayText&gt;(Gelman &amp;amp; Rubin, 1992)&lt;/DisplayText&gt;&lt;record&gt;&lt;rec-number&gt;24&lt;/rec-number&gt;&lt;foreign-keys&gt;&lt;key app="EN" db-id="sdta2fdp8zzp5ve9peeps0eefvdwwdt2vtft"&gt;24&lt;/key&gt;&lt;/foreign-keys&gt;&lt;ref-type name="Journal Article"&gt;17&lt;/ref-type&gt;&lt;contributors&gt;&lt;authors&gt;&lt;author&gt;Gelman, Andrew&lt;/author&gt;&lt;author&gt;Rubin, Donald B&lt;/author&gt;&lt;/authors&gt;&lt;/contributors&gt;&lt;titles&gt;&lt;title&gt;Inference from iterative simulation using multiple sequences&lt;/title&gt;&lt;secondary-title&gt;Statistical science&lt;/secondary-title&gt;&lt;/titles&gt;&lt;periodical&gt;&lt;full-title&gt;Statistical science&lt;/full-title&gt;&lt;/periodical&gt;&lt;pages&gt;457-472&lt;/pages&gt;&lt;volume&gt;7&lt;/volume&gt;&lt;number&gt;4&lt;/number&gt;&lt;dates&gt;&lt;year&gt;1992&lt;/year&gt;&lt;/dates&gt;&lt;isbn&gt;0883-4237&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"_ENREF_6" \o "Gelman, 1992 #24" </w:instrText>
      </w:r>
      <w:r>
        <w:fldChar w:fldCharType="separate"/>
      </w:r>
      <w:r>
        <w:rPr>
          <w:rFonts w:ascii="Calibri" w:hAnsi="Calibri" w:cs="Calibri"/>
          <w:sz w:val="24"/>
          <w:szCs w:val="32"/>
        </w:rPr>
        <w:t>Gelman &amp; Rubin, 1992</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In addition group-level parameter estimate distributions were obtained (</w:t>
      </w:r>
      <w:r>
        <w:rPr>
          <w:rFonts w:ascii="Calibri" w:hAnsi="Calibri" w:cs="Calibri"/>
          <w:b/>
          <w:sz w:val="24"/>
          <w:szCs w:val="32"/>
        </w:rPr>
        <w:t>Fig. S3a</w:t>
      </w:r>
      <w:r>
        <w:rPr>
          <w:rFonts w:ascii="Calibri" w:hAnsi="Calibri" w:cs="Calibri"/>
          <w:sz w:val="24"/>
          <w:szCs w:val="32"/>
        </w:rPr>
        <w:t xml:space="preserve">) and an “optimism bias” that revealed a higher learning rate for positive versus negative outcomes was observed, which is in line previous studies using separate learning for positive and negative events </w:t>
      </w:r>
      <w:r>
        <w:rPr>
          <w:rFonts w:ascii="Calibri" w:hAnsi="Calibri" w:cs="Calibri"/>
          <w:sz w:val="24"/>
          <w:szCs w:val="32"/>
        </w:rPr>
        <w:fldChar w:fldCharType="begin">
          <w:fldData xml:space="preserve">PEVuZE5vdGU+PENpdGU+PEF1dGhvcj5KYWhmYXJpPC9BdXRob3I+PFllYXI+MjAxOTwvWWVhcj48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</w:fldData>
        </w:fldChar>
      </w:r>
      <w:r>
        <w:rPr>
          <w:rFonts w:ascii="Calibri" w:hAnsi="Calibri" w:cs="Calibri"/>
          <w:sz w:val="24"/>
          <w:szCs w:val="32"/>
        </w:rPr>
        <w:instrText xml:space="preserve"> ADDIN EN.CITE </w:instrText>
      </w:r>
      <w:r>
        <w:rPr>
          <w:rFonts w:ascii="Calibri" w:hAnsi="Calibri" w:cs="Calibri"/>
          <w:sz w:val="24"/>
          <w:szCs w:val="32"/>
        </w:rPr>
        <w:fldChar w:fldCharType="begin">
          <w:fldData xml:space="preserve">PEVuZE5vdGU+PENpdGU+PEF1dGhvcj5KYWhmYXJpPC9BdXRob3I+PFllYXI+MjAxOTwvWWVhcj48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</w:fldData>
        </w:fldChar>
      </w:r>
      <w:r>
        <w:rPr>
          <w:rFonts w:ascii="Calibri" w:hAnsi="Calibri" w:cs="Calibri"/>
          <w:sz w:val="24"/>
          <w:szCs w:val="32"/>
        </w:rPr>
        <w:instrText xml:space="preserve"> ADDIN EN.CITE.DATA </w:instrText>
      </w:r>
      <w:r>
        <w:rPr>
          <w:rFonts w:ascii="Calibri" w:hAnsi="Calibri" w:cs="Calibri"/>
          <w:sz w:val="24"/>
          <w:szCs w:val="32"/>
        </w:rPr>
        <w:fldChar w:fldCharType="end"/>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"_ENREF_9" \o "Jahfari, 2019 #10" </w:instrText>
      </w:r>
      <w:r>
        <w:fldChar w:fldCharType="separate"/>
      </w:r>
      <w:r>
        <w:rPr>
          <w:rFonts w:ascii="Calibri" w:hAnsi="Calibri" w:cs="Calibri"/>
          <w:sz w:val="24"/>
          <w:szCs w:val="32"/>
        </w:rPr>
        <w:t>Jahfari et al., 2019</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"_ENREF_10" \o "Jahfari, 2020 #5" </w:instrText>
      </w:r>
      <w:r>
        <w:fldChar w:fldCharType="separate"/>
      </w:r>
      <w:r>
        <w:rPr>
          <w:rFonts w:ascii="Calibri" w:hAnsi="Calibri" w:cs="Calibri"/>
          <w:sz w:val="24"/>
          <w:szCs w:val="32"/>
        </w:rPr>
        <w:t>Jahfari et al., 2020</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"_ENREF_12" \o "Lefebvre, 2017 #30" </w:instrText>
      </w:r>
      <w:r>
        <w:fldChar w:fldCharType="separate"/>
      </w:r>
      <w:r>
        <w:rPr>
          <w:rFonts w:ascii="Calibri" w:hAnsi="Calibri" w:cs="Calibri"/>
          <w:sz w:val="24"/>
          <w:szCs w:val="32"/>
        </w:rPr>
        <w:t>Lefebvre et al., 2017</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To check whether the model sufficiently captured actual choice behavior of participants, we simulated the probability of choosing the best option using the posterior distributions of the fitted free parameters of each participant. The results revealed that the model showed good representation of overall learning across each group and stimulus pair (</w:t>
      </w:r>
      <w:r>
        <w:rPr>
          <w:rFonts w:ascii="Calibri" w:hAnsi="Calibri" w:cs="Calibri"/>
          <w:b/>
          <w:sz w:val="24"/>
          <w:szCs w:val="32"/>
        </w:rPr>
        <w:t>Fig. S3b</w:t>
      </w:r>
      <w:r>
        <w:rPr>
          <w:rFonts w:ascii="Calibri" w:hAnsi="Calibri" w:cs="Calibri"/>
          <w:sz w:val="24"/>
          <w:szCs w:val="32"/>
        </w:rPr>
        <w:t>). We finally estimated the Final Q values across each stimulus and group from the fitted model, finding the model captured the declining Q value according to decreasing reward contingency well (</w:t>
      </w:r>
      <w:r>
        <w:rPr>
          <w:rFonts w:ascii="Calibri" w:hAnsi="Calibri" w:cs="Calibri"/>
          <w:b/>
          <w:sz w:val="24"/>
          <w:szCs w:val="32"/>
        </w:rPr>
        <w:t>Fig. S3</w:t>
      </w:r>
      <w:r>
        <w:rPr>
          <w:rFonts w:hint="eastAsia" w:ascii="Calibri" w:hAnsi="Calibri" w:cs="Calibri"/>
          <w:b/>
          <w:sz w:val="24"/>
          <w:szCs w:val="32"/>
        </w:rPr>
        <w:t>c</w:t>
      </w:r>
      <w:r>
        <w:rPr>
          <w:rFonts w:ascii="Calibri" w:hAnsi="Calibri" w:cs="Calibri"/>
          <w:b/>
          <w:sz w:val="24"/>
          <w:szCs w:val="32"/>
        </w:rPr>
        <w:t>-3</w:t>
      </w:r>
      <w:r>
        <w:rPr>
          <w:rFonts w:hint="eastAsia" w:ascii="Calibri" w:hAnsi="Calibri" w:cs="Calibri"/>
          <w:b/>
          <w:sz w:val="24"/>
          <w:szCs w:val="32"/>
        </w:rPr>
        <w:t>d</w:t>
      </w:r>
      <w:r>
        <w:rPr>
          <w:rFonts w:ascii="Calibri" w:hAnsi="Calibri" w:cs="Calibri"/>
          <w:sz w:val="24"/>
          <w:szCs w:val="32"/>
        </w:rPr>
        <w:t>).</w:t>
      </w:r>
    </w:p>
    <w:p>
      <w:pPr>
        <w:spacing w:line="360" w:lineRule="auto"/>
        <w:ind w:firstLine="240" w:firstLineChars="100"/>
        <w:jc w:val="left"/>
        <w:rPr>
          <w:rFonts w:ascii="Calibri" w:hAnsi="Calibri" w:cs="Calibri"/>
          <w:sz w:val="24"/>
          <w:szCs w:val="32"/>
        </w:rPr>
      </w:pPr>
      <w:r>
        <w:rPr>
          <w:rFonts w:ascii="Calibri" w:hAnsi="Calibri" w:cs="Calibri"/>
          <w:sz w:val="24"/>
          <w:szCs w:val="32"/>
        </w:rPr>
        <w:t xml:space="preserve">We additionally considered another model with only one learning rate for updating expected values of both positive and negative outcomes. The model comparison was conducted by using the Bayesian information criterion (smaller value indicates a better fit) </w:t>
      </w:r>
      <w:r>
        <w:rPr>
          <w:rFonts w:ascii="Calibri" w:hAnsi="Calibri" w:cs="Calibri"/>
          <w:sz w:val="24"/>
          <w:szCs w:val="32"/>
        </w:rPr>
        <w:fldChar w:fldCharType="begin"/>
      </w:r>
      <w:r>
        <w:rPr>
          <w:rFonts w:ascii="Calibri" w:hAnsi="Calibri" w:cs="Calibri"/>
          <w:sz w:val="24"/>
          <w:szCs w:val="32"/>
        </w:rPr>
        <w:instrText xml:space="preserve"> ADDIN EN.CITE &lt;EndNote&gt;&lt;Cite&gt;&lt;Author&gt;Schwarz&lt;/Author&gt;&lt;Year&gt;1978&lt;/Year&gt;&lt;RecNum&gt;33&lt;/RecNum&gt;&lt;DisplayText&gt;(Schwarz, 1978)&lt;/DisplayText&gt;&lt;record&gt;&lt;rec-number&gt;33&lt;/rec-number&gt;&lt;foreign-keys&gt;&lt;key app="EN" db-id="sdta2fdp8zzp5ve9peeps0eefvdwwdt2vtft"&gt;33&lt;/key&gt;&lt;/foreign-keys&gt;&lt;ref-type name="Journal Article"&gt;17&lt;/ref-type&gt;&lt;contributors&gt;&lt;authors&gt;&lt;author&gt;Schwarz, G&lt;/author&gt;&lt;/authors&gt;&lt;/contributors&gt;&lt;titles&gt;&lt;title&gt;Estimating the dimension of a model Annals of Statistics, 6, 461-464&lt;/title&gt;&lt;secondary-title&gt;MathSciNet zbMATH&lt;/secondary-title&gt;&lt;/titles&gt;&lt;periodical&gt;&lt;full-title&gt;MathSciNet zbMATH&lt;/full-title&gt;&lt;/periodical&gt;&lt;dates&gt;&lt;year&gt;1978&lt;/year&gt;&lt;/dates&gt;&lt;urls&gt;&lt;/urls&gt;&lt;/record&gt;&lt;/Cite&gt;&lt;/EndNote&gt;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"_ENREF_17" \o "Schwarz, 1978 #33" </w:instrText>
      </w:r>
      <w:r>
        <w:fldChar w:fldCharType="separate"/>
      </w:r>
      <w:r>
        <w:rPr>
          <w:rFonts w:ascii="Calibri" w:hAnsi="Calibri" w:cs="Calibri"/>
          <w:sz w:val="24"/>
          <w:szCs w:val="32"/>
        </w:rPr>
        <w:t>Schwarz, 1978</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xml:space="preserve"> on an individual subject level and the Bayesian model comparison on the population level to prove the better representation of the chosen model to the original data. In addition, we also compared these two models by means of the leave-one-out cross-validation information criterion (LOOIC) procedure. LOOIC is highly recommended for model comparisons of hierarchical Bayesian structures that use MCMC sampling </w:t>
      </w:r>
      <w:r>
        <w:rPr>
          <w:rFonts w:ascii="Calibri" w:hAnsi="Calibri" w:cs="Calibri"/>
          <w:sz w:val="24"/>
          <w:szCs w:val="32"/>
        </w:rPr>
        <w:fldChar w:fldCharType="begin"/>
      </w:r>
      <w:r>
        <w:rPr>
          <w:rFonts w:ascii="Calibri" w:hAnsi="Calibri" w:cs="Calibri"/>
          <w:sz w:val="24"/>
          <w:szCs w:val="32"/>
        </w:rPr>
        <w:instrText xml:space="preserve"> ADDIN EN.CITE &lt;EndNote&gt;&lt;Cite&gt;&lt;Author&gt;Vehtari&lt;/Author&gt;&lt;Year&gt;2017&lt;/Year&gt;&lt;RecNum&gt;31&lt;/RecNum&gt;&lt;DisplayText&gt;(Vehtari et al., 2017)&lt;/DisplayText&gt;&lt;record&gt;&lt;rec-number&gt;31&lt;/rec-number&gt;&lt;foreign-keys&gt;&lt;key app="EN" db-id="sdta2fdp8zzp5ve9peeps0eefvdwwdt2vtft"&gt;31&lt;/key&gt;&lt;/foreign-keys&gt;&lt;ref-type name="Journal Article"&gt;17&lt;/ref-type&gt;&lt;contributors&gt;&lt;authors&gt;&lt;author&gt;Vehtari, Aki&lt;/author&gt;&lt;author&gt;Gelman, Andrew&lt;/author&gt;&lt;author&gt;Gabry, Jonah&lt;/author&gt;&lt;/authors&gt;&lt;/contributors&gt;&lt;titles&gt;&lt;title&gt;Practical Bayesian model evaluation using leave-one-out cross-validation and WAIC&lt;/title&gt;&lt;secondary-title&gt;Statistics and computing&lt;/secondary-title&gt;&lt;/titles&gt;&lt;periodical&gt;&lt;full-title&gt;Statistics and computing&lt;/full-title&gt;&lt;/periodical&gt;&lt;pages&gt;1413-1432&lt;/pages&gt;&lt;volume&gt;27&lt;/volume&gt;&lt;number&gt;5&lt;/number&gt;&lt;dates&gt;&lt;year&gt;2017&lt;/year&gt;&lt;/dates&gt;&lt;isbn&gt;1573-1375&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"_ENREF_20" \o "Vehtari, 2017 #31" </w:instrText>
      </w:r>
      <w:r>
        <w:fldChar w:fldCharType="separate"/>
      </w:r>
      <w:r>
        <w:rPr>
          <w:rFonts w:ascii="Calibri" w:hAnsi="Calibri" w:cs="Calibri"/>
          <w:sz w:val="24"/>
          <w:szCs w:val="32"/>
        </w:rPr>
        <w:t>Vehtari et al., 2017</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LOOIC estimates point</w:t>
      </w:r>
      <w:r>
        <w:rPr>
          <w:rFonts w:hint="eastAsia" w:ascii="Calibri" w:hAnsi="Calibri" w:cs="Calibri"/>
          <w:sz w:val="24"/>
          <w:szCs w:val="32"/>
        </w:rPr>
        <w:t>-</w:t>
      </w:r>
      <w:r>
        <w:rPr>
          <w:rFonts w:ascii="Calibri" w:hAnsi="Calibri" w:cs="Calibri"/>
          <w:sz w:val="24"/>
          <w:szCs w:val="32"/>
        </w:rPr>
        <w:t xml:space="preserve">wise out-of-sample prediction accuracy from a fitted Bayesian model using the log-likelihood evaluated at the posterior simulations of the parameter values and could be extracted using the “loo”package in R </w:t>
      </w:r>
      <w:r>
        <w:rPr>
          <w:rFonts w:ascii="Calibri" w:hAnsi="Calibri" w:cs="Calibri"/>
          <w:sz w:val="24"/>
          <w:szCs w:val="32"/>
        </w:rPr>
        <w:fldChar w:fldCharType="begin">
          <w:fldData xml:space="preserve">PEVuZE5vdGU+PENpdGU+PEF1dGhvcj5WZWh0YXJpPC9BdXRob3I+PFllYXI+MjAxNzwvWWVhcj48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</w:fldData>
        </w:fldChar>
      </w:r>
      <w:r>
        <w:rPr>
          <w:rFonts w:ascii="Calibri" w:hAnsi="Calibri" w:cs="Calibri"/>
          <w:sz w:val="24"/>
          <w:szCs w:val="32"/>
        </w:rPr>
        <w:instrText xml:space="preserve"> ADDIN EN.CITE </w:instrText>
      </w:r>
      <w:r>
        <w:rPr>
          <w:rFonts w:ascii="Calibri" w:hAnsi="Calibri" w:cs="Calibri"/>
          <w:sz w:val="24"/>
          <w:szCs w:val="32"/>
        </w:rPr>
        <w:fldChar w:fldCharType="begin">
          <w:fldData xml:space="preserve">PEVuZE5vdGU+PENpdGU+PEF1dGhvcj5WZWh0YXJpPC9BdXRob3I+PFllYXI+MjAxNzwvWWVhcj48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</w:fldData>
        </w:fldChar>
      </w:r>
      <w:r>
        <w:rPr>
          <w:rFonts w:ascii="Calibri" w:hAnsi="Calibri" w:cs="Calibri"/>
          <w:sz w:val="24"/>
          <w:szCs w:val="32"/>
        </w:rPr>
        <w:instrText xml:space="preserve"> ADDIN EN.CITE.DATA </w:instrText>
      </w:r>
      <w:r>
        <w:rPr>
          <w:rFonts w:ascii="Calibri" w:hAnsi="Calibri" w:cs="Calibri"/>
          <w:sz w:val="24"/>
          <w:szCs w:val="32"/>
        </w:rPr>
        <w:fldChar w:fldCharType="end"/>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"_ENREF_1" \o "Ahn, 2017 #34" </w:instrText>
      </w:r>
      <w:r>
        <w:fldChar w:fldCharType="separate"/>
      </w:r>
      <w:r>
        <w:rPr>
          <w:rFonts w:ascii="Calibri" w:hAnsi="Calibri" w:cs="Calibri"/>
          <w:sz w:val="24"/>
          <w:szCs w:val="32"/>
        </w:rPr>
        <w:t>Ahn et al., 2017</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"_ENREF_20" \o "Vehtari, 2017 #31" </w:instrText>
      </w:r>
      <w:r>
        <w:fldChar w:fldCharType="separate"/>
      </w:r>
      <w:r>
        <w:rPr>
          <w:rFonts w:ascii="Calibri" w:hAnsi="Calibri" w:cs="Calibri"/>
          <w:sz w:val="24"/>
          <w:szCs w:val="32"/>
        </w:rPr>
        <w:t>Vehtari et al., 2017</w:t>
      </w:r>
      <w:r>
        <w:rPr>
          <w:rFonts w:ascii="Calibri" w:hAnsi="Calibri" w:cs="Calibri"/>
          <w:sz w:val="24"/>
          <w:szCs w:val="32"/>
        </w:rPr>
        <w:fldChar w:fldCharType="end"/>
      </w:r>
      <w:r>
        <w:rPr>
          <w:rFonts w:ascii="Calibri" w:hAnsi="Calibri" w:cs="Calibri"/>
          <w:sz w:val="24"/>
          <w:szCs w:val="32"/>
        </w:rPr>
        <w:t xml:space="preserve">; </w:t>
      </w:r>
      <w:r>
        <w:fldChar w:fldCharType="begin"/>
      </w:r>
      <w:r>
        <w:instrText xml:space="preserve"> HYPERLINK \l "_ENREF_21" \o "Yao, 2018 #32" </w:instrText>
      </w:r>
      <w:r>
        <w:fldChar w:fldCharType="separate"/>
      </w:r>
      <w:r>
        <w:rPr>
          <w:rFonts w:ascii="Calibri" w:hAnsi="Calibri" w:cs="Calibri"/>
          <w:sz w:val="24"/>
          <w:szCs w:val="32"/>
        </w:rPr>
        <w:t>Yao et al., 2018</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We found that the model with a single learning rate did not explain choice behavior better than the model with dual learning rates (Mean BIC</w:t>
      </w:r>
      <w:r>
        <w:rPr>
          <w:rFonts w:ascii="Calibri" w:hAnsi="Calibri" w:cs="Calibri"/>
          <w:sz w:val="24"/>
          <w:szCs w:val="32"/>
          <w:vertAlign w:val="subscript"/>
        </w:rPr>
        <w:t>(α, β)</w:t>
      </w:r>
      <w:r>
        <w:rPr>
          <w:rFonts w:ascii="Calibri" w:hAnsi="Calibri" w:cs="Calibri"/>
          <w:sz w:val="24"/>
          <w:szCs w:val="32"/>
        </w:rPr>
        <w:t>=10</w:t>
      </w:r>
      <w:r>
        <w:rPr>
          <w:rFonts w:hint="eastAsia" w:ascii="Calibri" w:hAnsi="Calibri" w:cs="Calibri"/>
          <w:sz w:val="24"/>
          <w:szCs w:val="32"/>
        </w:rPr>
        <w:t>8.58</w:t>
      </w:r>
      <w:r>
        <w:rPr>
          <w:rFonts w:ascii="Calibri" w:hAnsi="Calibri" w:cs="Calibri"/>
          <w:sz w:val="24"/>
          <w:szCs w:val="32"/>
        </w:rPr>
        <w:t>, Mean BIC</w:t>
      </w:r>
      <w:r>
        <w:rPr>
          <w:rFonts w:ascii="Calibri" w:hAnsi="Calibri" w:cs="Calibri"/>
          <w:sz w:val="24"/>
          <w:szCs w:val="32"/>
          <w:vertAlign w:val="subscript"/>
        </w:rPr>
        <w:t>(αGain, αLoss,β)</w:t>
      </w:r>
      <w:r>
        <w:rPr>
          <w:rFonts w:ascii="Calibri" w:hAnsi="Calibri" w:cs="Calibri"/>
          <w:sz w:val="24"/>
          <w:szCs w:val="32"/>
        </w:rPr>
        <w:t>=10</w:t>
      </w:r>
      <w:r>
        <w:rPr>
          <w:rFonts w:hint="eastAsia" w:ascii="Calibri" w:hAnsi="Calibri" w:cs="Calibri"/>
          <w:sz w:val="24"/>
          <w:szCs w:val="32"/>
        </w:rPr>
        <w:t>2</w:t>
      </w:r>
      <w:r>
        <w:rPr>
          <w:rFonts w:ascii="Calibri" w:hAnsi="Calibri" w:cs="Calibri"/>
          <w:sz w:val="24"/>
          <w:szCs w:val="32"/>
        </w:rPr>
        <w:t>.</w:t>
      </w:r>
      <w:r>
        <w:rPr>
          <w:rFonts w:hint="eastAsia" w:ascii="Calibri" w:hAnsi="Calibri" w:cs="Calibri"/>
          <w:sz w:val="24"/>
          <w:szCs w:val="32"/>
        </w:rPr>
        <w:t>51</w:t>
      </w:r>
      <w:r>
        <w:rPr>
          <w:rFonts w:ascii="Calibri" w:hAnsi="Calibri" w:cs="Calibri"/>
          <w:sz w:val="24"/>
          <w:szCs w:val="32"/>
        </w:rPr>
        <w:t>, t</w:t>
      </w:r>
      <w:r>
        <w:rPr>
          <w:rFonts w:ascii="Calibri" w:hAnsi="Calibri" w:cs="Calibri"/>
          <w:sz w:val="24"/>
          <w:szCs w:val="32"/>
          <w:vertAlign w:val="subscript"/>
        </w:rPr>
        <w:t>(60)</w:t>
      </w:r>
      <w:r>
        <w:rPr>
          <w:rFonts w:ascii="Calibri" w:hAnsi="Calibri" w:cs="Calibri"/>
          <w:sz w:val="24"/>
          <w:szCs w:val="32"/>
        </w:rPr>
        <w:t>=</w:t>
      </w:r>
      <w:r>
        <w:rPr>
          <w:rFonts w:hint="eastAsia" w:ascii="Calibri" w:hAnsi="Calibri" w:cs="Calibri"/>
          <w:sz w:val="24"/>
          <w:szCs w:val="32"/>
        </w:rPr>
        <w:t>4.92</w:t>
      </w:r>
      <w:r>
        <w:rPr>
          <w:rFonts w:ascii="Calibri" w:hAnsi="Calibri" w:cs="Calibri"/>
          <w:sz w:val="24"/>
          <w:szCs w:val="32"/>
        </w:rPr>
        <w:t>, p&lt;0.001</w:t>
      </w:r>
      <w:r>
        <w:rPr>
          <w:rFonts w:hint="eastAsia" w:ascii="Calibri" w:hAnsi="Calibri" w:cs="Calibri"/>
          <w:sz w:val="24"/>
          <w:szCs w:val="32"/>
        </w:rPr>
        <w:t>,95%CI,[3.60,8.54]</w:t>
      </w:r>
      <w:r>
        <w:rPr>
          <w:rFonts w:ascii="Calibri" w:hAnsi="Calibri" w:cs="Calibri"/>
          <w:sz w:val="24"/>
          <w:szCs w:val="32"/>
        </w:rPr>
        <w:t>; Model</w:t>
      </w:r>
      <w:r>
        <w:rPr>
          <w:rFonts w:ascii="Calibri" w:hAnsi="Calibri" w:cs="Calibri"/>
          <w:sz w:val="24"/>
          <w:szCs w:val="32"/>
          <w:vertAlign w:val="subscript"/>
        </w:rPr>
        <w:t>(α, β)</w:t>
      </w:r>
      <w:r>
        <w:rPr>
          <w:rFonts w:ascii="Calibri" w:hAnsi="Calibri" w:cs="Calibri"/>
          <w:sz w:val="24"/>
          <w:szCs w:val="32"/>
        </w:rPr>
        <w:t xml:space="preserve"> BIC=120.</w:t>
      </w:r>
      <w:r>
        <w:rPr>
          <w:rFonts w:hint="eastAsia" w:ascii="Calibri" w:hAnsi="Calibri" w:cs="Calibri"/>
          <w:sz w:val="24"/>
          <w:szCs w:val="32"/>
        </w:rPr>
        <w:t>91</w:t>
      </w:r>
      <w:r>
        <w:rPr>
          <w:rFonts w:ascii="Calibri" w:hAnsi="Calibri" w:cs="Calibri"/>
          <w:sz w:val="24"/>
          <w:szCs w:val="32"/>
        </w:rPr>
        <w:t>, Model</w:t>
      </w:r>
      <w:r>
        <w:rPr>
          <w:rFonts w:ascii="Calibri" w:hAnsi="Calibri" w:cs="Calibri"/>
          <w:sz w:val="24"/>
          <w:szCs w:val="32"/>
          <w:vertAlign w:val="subscript"/>
        </w:rPr>
        <w:t xml:space="preserve">(αGain, αLoss,β) </w:t>
      </w:r>
      <w:r>
        <w:rPr>
          <w:rFonts w:ascii="Calibri" w:hAnsi="Calibri" w:cs="Calibri"/>
          <w:sz w:val="24"/>
          <w:szCs w:val="32"/>
        </w:rPr>
        <w:t>BIC=114.</w:t>
      </w:r>
      <w:r>
        <w:rPr>
          <w:rFonts w:hint="eastAsia" w:ascii="Calibri" w:hAnsi="Calibri" w:cs="Calibri"/>
          <w:sz w:val="24"/>
          <w:szCs w:val="32"/>
        </w:rPr>
        <w:t>84</w:t>
      </w:r>
      <w:r>
        <w:rPr>
          <w:rFonts w:ascii="Calibri" w:hAnsi="Calibri" w:cs="Calibri"/>
          <w:sz w:val="24"/>
          <w:szCs w:val="32"/>
        </w:rPr>
        <w:t>; Model</w:t>
      </w:r>
      <w:r>
        <w:rPr>
          <w:rFonts w:ascii="Calibri" w:hAnsi="Calibri" w:cs="Calibri"/>
          <w:sz w:val="24"/>
          <w:szCs w:val="32"/>
          <w:vertAlign w:val="subscript"/>
        </w:rPr>
        <w:t>(α, β)</w:t>
      </w:r>
      <w:r>
        <w:rPr>
          <w:rFonts w:ascii="Calibri" w:hAnsi="Calibri" w:cs="Calibri"/>
          <w:sz w:val="24"/>
          <w:szCs w:val="32"/>
        </w:rPr>
        <w:t xml:space="preserve"> LOOIC</w:t>
      </w:r>
      <w:r>
        <w:rPr>
          <w:rFonts w:cstheme="minorHAnsi"/>
          <w:sz w:val="24"/>
          <w:szCs w:val="32"/>
        </w:rPr>
        <w:t>±</w:t>
      </w:r>
      <w:r>
        <w:rPr>
          <w:rFonts w:ascii="Calibri" w:hAnsi="Calibri" w:cs="Calibri"/>
          <w:sz w:val="24"/>
          <w:szCs w:val="32"/>
        </w:rPr>
        <w:t>SE= 59</w:t>
      </w:r>
      <w:r>
        <w:rPr>
          <w:rFonts w:hint="eastAsia" w:ascii="Calibri" w:hAnsi="Calibri" w:cs="Calibri"/>
          <w:sz w:val="24"/>
          <w:szCs w:val="32"/>
        </w:rPr>
        <w:t>14</w:t>
      </w:r>
      <w:r>
        <w:rPr>
          <w:rFonts w:ascii="Calibri" w:hAnsi="Calibri" w:cs="Calibri"/>
          <w:sz w:val="24"/>
          <w:szCs w:val="32"/>
        </w:rPr>
        <w:t>.</w:t>
      </w:r>
      <w:r>
        <w:rPr>
          <w:rFonts w:hint="eastAsia" w:ascii="Calibri" w:hAnsi="Calibri" w:cs="Calibri"/>
          <w:sz w:val="24"/>
          <w:szCs w:val="32"/>
        </w:rPr>
        <w:t>30</w:t>
      </w:r>
      <w:r>
        <w:rPr>
          <w:rFonts w:ascii="Calibri" w:hAnsi="Calibri" w:cs="Calibri"/>
          <w:sz w:val="24"/>
          <w:szCs w:val="32"/>
        </w:rPr>
        <w:t>±24</w:t>
      </w:r>
      <w:r>
        <w:rPr>
          <w:rFonts w:hint="eastAsia" w:ascii="Calibri" w:hAnsi="Calibri" w:cs="Calibri"/>
          <w:sz w:val="24"/>
          <w:szCs w:val="32"/>
        </w:rPr>
        <w:t>7</w:t>
      </w:r>
      <w:r>
        <w:rPr>
          <w:rFonts w:ascii="Calibri" w:hAnsi="Calibri" w:cs="Calibri"/>
          <w:sz w:val="24"/>
          <w:szCs w:val="32"/>
        </w:rPr>
        <w:t>.</w:t>
      </w:r>
      <w:r>
        <w:rPr>
          <w:rFonts w:hint="eastAsia" w:ascii="Calibri" w:hAnsi="Calibri" w:cs="Calibri"/>
          <w:sz w:val="24"/>
          <w:szCs w:val="32"/>
        </w:rPr>
        <w:t>20</w:t>
      </w:r>
      <w:r>
        <w:rPr>
          <w:rFonts w:ascii="Calibri" w:hAnsi="Calibri" w:cs="Calibri"/>
          <w:sz w:val="24"/>
          <w:szCs w:val="32"/>
        </w:rPr>
        <w:t>, Model</w:t>
      </w:r>
      <w:r>
        <w:rPr>
          <w:rFonts w:ascii="Calibri" w:hAnsi="Calibri" w:cs="Calibri"/>
          <w:sz w:val="24"/>
          <w:szCs w:val="32"/>
          <w:vertAlign w:val="subscript"/>
        </w:rPr>
        <w:t xml:space="preserve">(αGain, αLoss,β) </w:t>
      </w:r>
      <w:r>
        <w:rPr>
          <w:rFonts w:ascii="Calibri" w:hAnsi="Calibri" w:cs="Calibri"/>
          <w:sz w:val="24"/>
          <w:szCs w:val="32"/>
        </w:rPr>
        <w:t>LOOIC</w:t>
      </w:r>
      <w:r>
        <w:rPr>
          <w:rFonts w:cstheme="minorHAnsi"/>
          <w:sz w:val="24"/>
          <w:szCs w:val="32"/>
        </w:rPr>
        <w:t>±</w:t>
      </w:r>
      <w:r>
        <w:rPr>
          <w:rFonts w:ascii="Calibri" w:hAnsi="Calibri" w:cs="Calibri"/>
          <w:sz w:val="24"/>
          <w:szCs w:val="32"/>
        </w:rPr>
        <w:t>SE=5</w:t>
      </w:r>
      <w:r>
        <w:rPr>
          <w:rFonts w:hint="eastAsia" w:ascii="Calibri" w:hAnsi="Calibri" w:cs="Calibri"/>
          <w:sz w:val="24"/>
          <w:szCs w:val="32"/>
        </w:rPr>
        <w:t>580</w:t>
      </w:r>
      <w:r>
        <w:rPr>
          <w:rFonts w:ascii="Calibri" w:hAnsi="Calibri" w:cs="Calibri"/>
          <w:sz w:val="24"/>
          <w:szCs w:val="32"/>
        </w:rPr>
        <w:t>.81±</w:t>
      </w:r>
      <w:r>
        <w:rPr>
          <w:rFonts w:hint="eastAsia" w:ascii="Calibri" w:hAnsi="Calibri" w:cs="Calibri"/>
          <w:sz w:val="24"/>
          <w:szCs w:val="32"/>
        </w:rPr>
        <w:t>258</w:t>
      </w:r>
      <w:r>
        <w:rPr>
          <w:rFonts w:ascii="Calibri" w:hAnsi="Calibri" w:cs="Calibri"/>
          <w:sz w:val="24"/>
          <w:szCs w:val="32"/>
        </w:rPr>
        <w:t>.</w:t>
      </w:r>
      <w:r>
        <w:rPr>
          <w:rFonts w:hint="eastAsia" w:ascii="Calibri" w:hAnsi="Calibri" w:cs="Calibri"/>
          <w:sz w:val="24"/>
          <w:szCs w:val="32"/>
        </w:rPr>
        <w:t>80</w:t>
      </w:r>
      <w:r>
        <w:rPr>
          <w:rFonts w:ascii="Calibri" w:hAnsi="Calibri" w:cs="Calibri"/>
          <w:sz w:val="24"/>
          <w:szCs w:val="32"/>
        </w:rPr>
        <w:t>). Therefore, the model with three free parameters α</w:t>
      </w:r>
      <w:r>
        <w:rPr>
          <w:rFonts w:ascii="Calibri" w:hAnsi="Calibri" w:cs="Calibri"/>
          <w:sz w:val="24"/>
          <w:szCs w:val="32"/>
          <w:vertAlign w:val="subscript"/>
        </w:rPr>
        <w:t>Gain</w:t>
      </w:r>
      <w:r>
        <w:rPr>
          <w:rFonts w:ascii="Calibri" w:hAnsi="Calibri" w:cs="Calibri"/>
          <w:sz w:val="24"/>
          <w:szCs w:val="32"/>
        </w:rPr>
        <w:t>, α</w:t>
      </w:r>
      <w:r>
        <w:rPr>
          <w:rFonts w:ascii="Calibri" w:hAnsi="Calibri" w:cs="Calibri"/>
          <w:sz w:val="24"/>
          <w:szCs w:val="32"/>
          <w:vertAlign w:val="subscript"/>
        </w:rPr>
        <w:t>Loss</w:t>
      </w:r>
      <w:r>
        <w:rPr>
          <w:rFonts w:ascii="Calibri" w:hAnsi="Calibri" w:cs="Calibri"/>
          <w:sz w:val="24"/>
          <w:szCs w:val="32"/>
        </w:rPr>
        <w:t>, and β (as presented in the manuscript) was determined as the best fitting model.</w:t>
      </w:r>
    </w:p>
    <w:p>
      <w:pPr>
        <w:jc w:val="left"/>
        <w:rPr>
          <w:rFonts w:hint="eastAsia" w:cstheme="minorHAnsi"/>
          <w:b/>
          <w:sz w:val="24"/>
          <w:lang w:val="en-US" w:eastAsia="zh-CN"/>
        </w:rPr>
      </w:pPr>
    </w:p>
    <w:p>
      <w:pPr>
        <w:jc w:val="left"/>
        <w:rPr>
          <w:rFonts w:hint="default" w:eastAsiaTheme="minorEastAsia" w:cstheme="minorHAnsi"/>
          <w:b/>
          <w:sz w:val="24"/>
          <w:lang w:val="en-US" w:eastAsia="zh-CN"/>
        </w:rPr>
      </w:pPr>
      <w:r>
        <w:rPr>
          <w:rFonts w:hint="eastAsia" w:cstheme="minorHAnsi"/>
          <w:b/>
          <w:sz w:val="24"/>
          <w:lang w:val="en-US" w:eastAsia="zh-CN"/>
        </w:rPr>
        <w:t>Mediation analyses</w:t>
      </w:r>
    </w:p>
    <w:p>
      <w:pPr>
        <w:spacing w:line="360" w:lineRule="auto"/>
        <w:jc w:val="left"/>
        <w:rPr>
          <w:rFonts w:hint="default" w:eastAsiaTheme="minorEastAsia" w:cstheme="minorHAnsi"/>
          <w:b w:val="0"/>
          <w:bCs/>
          <w:sz w:val="24"/>
          <w:lang w:val="en-US" w:eastAsia="zh-CN"/>
        </w:rPr>
      </w:pPr>
      <w:r>
        <w:rPr>
          <w:rFonts w:hint="eastAsia" w:cstheme="minorHAnsi"/>
          <w:b w:val="0"/>
          <w:bCs/>
          <w:sz w:val="24"/>
          <w:lang w:val="en-US" w:eastAsia="zh-CN"/>
        </w:rPr>
        <w:t>In order to test the relationship between learning parameter such as expected value, treatment and choice accuracy in learning phase, we performed exploratory mediation analyses using the Mediation Toolbox (https://github.com/canlab/MediationToolbox). The mediation analysis tests whether the observed covariance between an independent variable (X) and a dependent variable (Y) could be explained by a third variable (M). Significant mediation effect is obtained when inclusion of M in a path model of the effect of X on Y significantly alters the slope of the X–Y relationship. That is, the difference between total (path c) and direct (non-mediated, path c</w:t>
      </w:r>
      <w:r>
        <w:rPr>
          <w:rFonts w:hint="default" w:ascii="Calibri" w:hAnsi="Calibri" w:cs="Calibri"/>
          <w:b w:val="0"/>
          <w:bCs/>
          <w:sz w:val="24"/>
          <w:lang w:val="en-US" w:eastAsia="zh-CN"/>
        </w:rPr>
        <w:t>′</w:t>
      </w:r>
      <w:r>
        <w:rPr>
          <w:rFonts w:hint="eastAsia" w:cstheme="minorHAnsi"/>
          <w:b w:val="0"/>
          <w:bCs/>
          <w:sz w:val="24"/>
          <w:lang w:val="en-US" w:eastAsia="zh-CN"/>
        </w:rPr>
        <w:t>) effects of X on Y (i.e., c</w:t>
      </w:r>
      <w:r>
        <w:rPr>
          <w:rFonts w:hint="default" w:ascii="Calibri" w:hAnsi="Calibri" w:cs="Calibri"/>
          <w:b w:val="0"/>
          <w:bCs/>
          <w:sz w:val="24"/>
          <w:lang w:val="en-US" w:eastAsia="zh-CN"/>
        </w:rPr>
        <w:t>−c′</w:t>
      </w:r>
      <w:r>
        <w:rPr>
          <w:rFonts w:hint="eastAsia" w:cstheme="minorHAnsi"/>
          <w:b w:val="0"/>
          <w:bCs/>
          <w:sz w:val="24"/>
          <w:lang w:val="en-US" w:eastAsia="zh-CN"/>
        </w:rPr>
        <w:t xml:space="preserve">), which could be performed by testing the significance of the product of the path coefficients of path a </w:t>
      </w:r>
      <w:r>
        <w:rPr>
          <w:rFonts w:hint="default" w:ascii="Calibri" w:hAnsi="Calibri" w:cs="Calibri"/>
          <w:b w:val="0"/>
          <w:bCs/>
          <w:sz w:val="24"/>
          <w:lang w:val="en-US" w:eastAsia="zh-CN"/>
        </w:rPr>
        <w:t>×</w:t>
      </w:r>
      <w:r>
        <w:rPr>
          <w:rFonts w:hint="eastAsia" w:cstheme="minorHAnsi"/>
          <w:b w:val="0"/>
          <w:bCs/>
          <w:sz w:val="24"/>
          <w:lang w:val="en-US" w:eastAsia="zh-CN"/>
        </w:rPr>
        <w:t xml:space="preserve"> b,is statistically significant. Here we examined whether the expected value in each stimulus pair during learning phase mediated the effects of treatment on choice accuracy in corresponding stimulus pair. We used bias-corrected accelerated bootstrapping (10,000 replacements) for significance testing. However we only found that expected</w:t>
      </w:r>
      <w:r>
        <w:rPr>
          <w:rFonts w:hint="eastAsia" w:ascii="Calibri" w:hAnsi="Calibri" w:cs="Calibri"/>
          <w:bCs/>
          <w:sz w:val="24"/>
          <w:szCs w:val="28"/>
          <w:lang w:val="en-US" w:eastAsia="zh-CN"/>
        </w:rPr>
        <w:t xml:space="preserve"> value sensitivity played a mediating role in the effects of treatment on choice accuracy in the hardest stimulus pair (see </w:t>
      </w:r>
      <w:r>
        <w:rPr>
          <w:rFonts w:hint="eastAsia" w:ascii="Calibri" w:hAnsi="Calibri" w:cs="Calibri"/>
          <w:b/>
          <w:bCs w:val="0"/>
          <w:sz w:val="24"/>
          <w:szCs w:val="28"/>
          <w:lang w:val="en-US" w:eastAsia="zh-CN"/>
        </w:rPr>
        <w:t>Fig. S5</w:t>
      </w:r>
      <w:r>
        <w:rPr>
          <w:rFonts w:hint="eastAsia" w:ascii="Calibri" w:hAnsi="Calibri" w:cs="Calibri"/>
          <w:bCs/>
          <w:sz w:val="24"/>
          <w:szCs w:val="28"/>
          <w:lang w:val="en-US" w:eastAsia="zh-CN"/>
        </w:rPr>
        <w:t>).</w:t>
      </w:r>
    </w:p>
    <w:p>
      <w:pPr>
        <w:jc w:val="left"/>
        <w:rPr>
          <w:rFonts w:cstheme="minorHAnsi"/>
          <w:b/>
          <w:sz w:val="24"/>
        </w:rPr>
      </w:pPr>
    </w:p>
    <w:p>
      <w:pPr>
        <w:jc w:val="left"/>
        <w:rPr>
          <w:rFonts w:cstheme="minorHAnsi"/>
          <w:b/>
          <w:sz w:val="24"/>
        </w:rPr>
      </w:pPr>
      <w:r>
        <w:rPr>
          <w:rFonts w:cstheme="minorHAnsi"/>
          <w:b/>
          <w:sz w:val="24"/>
        </w:rPr>
        <w:t>MRI data acquisition and preprocessing</w:t>
      </w:r>
    </w:p>
    <w:p>
      <w:pPr>
        <w:spacing w:line="360" w:lineRule="auto"/>
        <w:jc w:val="left"/>
        <w:rPr>
          <w:rFonts w:cstheme="minorHAnsi"/>
          <w:sz w:val="24"/>
        </w:rPr>
      </w:pPr>
      <w:r>
        <w:rPr>
          <w:rFonts w:cstheme="minorHAnsi"/>
          <w:sz w:val="24"/>
        </w:rPr>
        <w:t>MRI data were collected on a 3.0 Tesla system (GE MR750, General Electric Medical System, Milwaukee, WI, USA). High-resolution brain anatomical MRI images were acquired using a T1-weighted sequence (TR = 6ms; TE = 2ms; flip angle = 9°; field of view = 256 × 256 mm; matrix size = 256 × 256; voxel size = 1 × 1 × 1 mm; number of slices, 156</w:t>
      </w:r>
      <w:r>
        <w:rPr>
          <w:rFonts w:hint="eastAsia" w:cstheme="minorHAnsi"/>
          <w:sz w:val="24"/>
          <w:lang w:val="en-US" w:eastAsia="zh-CN"/>
        </w:rPr>
        <w:t>; slice thickness = 1 mm</w:t>
      </w:r>
      <w:r>
        <w:rPr>
          <w:rFonts w:cstheme="minorHAnsi"/>
          <w:sz w:val="24"/>
        </w:rPr>
        <w:t>) to improve spatial normalization of the functional data and exclude subjects with apparent brain pathologies. Functional data using blood oxygenation level-dependent (BOLD) contrast were obtained using a T2*-weighted echo planar imaging sequence (TR = 2000ms; TE = 30ms; slice number, 39; slice thickness = 3 mm</w:t>
      </w:r>
      <w:r>
        <w:rPr>
          <w:rFonts w:hint="eastAsia" w:cstheme="minorHAnsi"/>
          <w:sz w:val="24"/>
          <w:lang w:val="en-US" w:eastAsia="zh-CN"/>
        </w:rPr>
        <w:t xml:space="preserve">; </w:t>
      </w:r>
      <w:r>
        <w:rPr>
          <w:rFonts w:cstheme="minorHAnsi"/>
          <w:sz w:val="24"/>
        </w:rPr>
        <w:t>ﬂip angle = 90°; field of view = 240 × 240 mm; voxel size = 3.75 × 3.75 × 4 mm; resolution = 64 × 64).</w:t>
      </w:r>
    </w:p>
    <w:p>
      <w:pPr>
        <w:spacing w:line="360" w:lineRule="auto"/>
        <w:ind w:firstLine="240" w:firstLineChars="100"/>
        <w:jc w:val="left"/>
        <w:rPr>
          <w:rFonts w:cstheme="minorHAnsi"/>
          <w:sz w:val="24"/>
        </w:rPr>
      </w:pPr>
      <w:r>
        <w:rPr>
          <w:rFonts w:cstheme="minorHAnsi"/>
          <w:sz w:val="24"/>
        </w:rPr>
        <w:t>All fMRI images were preprocessed and analyzed using standard procedures in SPM 12 (Statistical Parametric Mapping; http://www.fil.ion.ucl.ac.uk/spm/; Wellcome Trust Centre for Neuroimaging). The first 5 volumes of each functional time series were discarded to allow for T1 equilibration. Remaining images were corrected for acquisition time delay, realigned to correct for head motion, unwarped for magnetic field inhomogeneities correction, and co-registered with the T1-weighted structural image. After that the images were normalized to Montreal Neurological Institute (MNI) standard space (interpolated to 2 × 2 × 2 mm voxel size) using the segmentation parameters from the anatomical images, and were then spatially smoothed using an isotropic Gaussian kernel with full-width at half-maximum (FWHM) of 8 mm.</w:t>
      </w:r>
    </w:p>
    <w:p>
      <w:pPr>
        <w:jc w:val="left"/>
        <w:rPr>
          <w:rFonts w:cstheme="minorHAnsi"/>
          <w:sz w:val="24"/>
        </w:rPr>
      </w:pPr>
    </w:p>
    <w:p>
      <w:pPr>
        <w:jc w:val="left"/>
        <w:rPr>
          <w:rFonts w:cstheme="minorHAnsi"/>
          <w:b/>
          <w:sz w:val="24"/>
        </w:rPr>
      </w:pPr>
      <w:r>
        <w:rPr>
          <w:rFonts w:cstheme="minorHAnsi"/>
          <w:b/>
          <w:sz w:val="24"/>
        </w:rPr>
        <w:t>Multi-Voxel Pattern analysis (MVPA)</w:t>
      </w:r>
    </w:p>
    <w:p>
      <w:pPr>
        <w:spacing w:line="360" w:lineRule="auto"/>
        <w:ind w:firstLine="240" w:firstLineChars="100"/>
        <w:jc w:val="left"/>
        <w:rPr>
          <w:rFonts w:ascii="Calibri" w:hAnsi="Calibri" w:cs="Calibri"/>
          <w:sz w:val="24"/>
          <w:szCs w:val="32"/>
        </w:rPr>
      </w:pPr>
      <w:r>
        <w:rPr>
          <w:rFonts w:ascii="Calibri" w:hAnsi="Calibri" w:cs="Calibri"/>
          <w:sz w:val="24"/>
          <w:szCs w:val="32"/>
        </w:rPr>
        <w:t xml:space="preserve">We used a linear support vector machine (C=1) implemented in Canlab core tools (https://github.com/canlab/CanlabCore) to develop a multivariate pattern classifier for positive and negative outcome. The pattern classifier was trained on subject-wise univariate positive outcome&gt;baseline and negative outcome&gt;baseline contrasts during the early learning phase. To avoid overfitting, the classification performance was evaluated by a leave-one-out cross validation procedure (LOOCV). The resulting cross-validated neural pattern of outcome consists of the weights of each voxel in predicting the positive or negative outcome presentation plus the intercept. The pattern expression values were generated by taking the dot-product between the whole-brain unthresholded classifier weights with participant-specific brain activity maps. Moreover, the pattern expression estimates for each individual were obtained from patterns trained on other participants’ data to avoid circularity. Given that theory and experiments also outline the LOOCV may lead to unstable and biased estimates </w:t>
      </w:r>
      <w:r>
        <w:rPr>
          <w:rFonts w:ascii="Calibri" w:hAnsi="Calibri" w:cs="Calibri"/>
          <w:sz w:val="24"/>
          <w:szCs w:val="32"/>
        </w:rPr>
        <w:fldChar w:fldCharType="begin"/>
      </w:r>
      <w:r>
        <w:rPr>
          <w:rFonts w:ascii="Calibri" w:hAnsi="Calibri" w:cs="Calibri"/>
          <w:sz w:val="24"/>
          <w:szCs w:val="32"/>
        </w:rPr>
        <w:instrText xml:space="preserve"> ADDIN EN.CITE &lt;EndNote&gt;&lt;Cite&gt;&lt;Author&gt;Varoquaux&lt;/Author&gt;&lt;Year&gt;2017&lt;/Year&gt;&lt;RecNum&gt;29&lt;/RecNum&gt;&lt;DisplayText&gt;(Varoquaux et al., 2017)&lt;/DisplayText&gt;&lt;record&gt;&lt;rec-number&gt;29&lt;/rec-number&gt;&lt;foreign-keys&gt;&lt;key app="EN" db-id="sdta2fdp8zzp5ve9peeps0eefvdwwdt2vtft"&gt;29&lt;/key&gt;&lt;/foreign-keys&gt;&lt;ref-type name="Journal Article"&gt;17&lt;/ref-type&gt;&lt;contributors&gt;&lt;authors&gt;&lt;author&gt;Varoquaux, Gaël&lt;/author&gt;&lt;author&gt;Raamana, Pradeep Reddy&lt;/author&gt;&lt;author&gt;Engemann, Denis A&lt;/author&gt;&lt;author&gt;Hoyos-Idrobo, Andrés&lt;/author&gt;&lt;author&gt;Schwartz, Yannick&lt;/author&gt;&lt;author&gt;Thirion, Bertrand&lt;/author&gt;&lt;/authors&gt;&lt;/contributors&gt;&lt;titles&gt;&lt;title&gt;Assessing and tuning brain decoders: cross-validation, caveats, and guidelines&lt;/title&gt;&lt;secondary-title&gt;NeuroImage&lt;/secondary-title&gt;&lt;/titles&gt;&lt;periodical&gt;&lt;full-title&gt;NeuroImage&lt;/full-title&gt;&lt;/periodical&gt;&lt;pages&gt;166-179&lt;/pages&gt;&lt;volume&gt;145&lt;/volume&gt;&lt;dates&gt;&lt;year&gt;2017&lt;/year&gt;&lt;/dates&gt;&lt;isbn&gt;1053-8119&lt;/isbn&gt;&lt;urls&gt;&lt;/urls&gt;&lt;/record&gt;&lt;/Cite&gt;&lt;/EndNote&gt;</w:instrText>
      </w:r>
      <w:r>
        <w:rPr>
          <w:rFonts w:ascii="Calibri" w:hAnsi="Calibri" w:cs="Calibri"/>
          <w:sz w:val="24"/>
          <w:szCs w:val="32"/>
        </w:rPr>
        <w:fldChar w:fldCharType="separate"/>
      </w:r>
      <w:r>
        <w:rPr>
          <w:rFonts w:ascii="Calibri" w:hAnsi="Calibri" w:cs="Calibri"/>
          <w:sz w:val="24"/>
          <w:szCs w:val="32"/>
        </w:rPr>
        <w:t>(</w:t>
      </w:r>
      <w:r>
        <w:fldChar w:fldCharType="begin"/>
      </w:r>
      <w:r>
        <w:instrText xml:space="preserve"> HYPERLINK \l "_ENREF_19" \o "Varoquaux, 2017 #29" </w:instrText>
      </w:r>
      <w:r>
        <w:fldChar w:fldCharType="separate"/>
      </w:r>
      <w:r>
        <w:rPr>
          <w:rFonts w:ascii="Calibri" w:hAnsi="Calibri" w:cs="Calibri"/>
          <w:sz w:val="24"/>
          <w:szCs w:val="32"/>
        </w:rPr>
        <w:t>Varoquaux et al., 2017</w:t>
      </w:r>
      <w:r>
        <w:rPr>
          <w:rFonts w:ascii="Calibri" w:hAnsi="Calibri" w:cs="Calibri"/>
          <w:sz w:val="24"/>
          <w:szCs w:val="32"/>
        </w:rPr>
        <w:fldChar w:fldCharType="end"/>
      </w:r>
      <w:r>
        <w:rPr>
          <w:rFonts w:ascii="Calibri" w:hAnsi="Calibri" w:cs="Calibri"/>
          <w:sz w:val="24"/>
          <w:szCs w:val="32"/>
        </w:rPr>
        <w:t>)</w:t>
      </w:r>
      <w:r>
        <w:rPr>
          <w:rFonts w:ascii="Calibri" w:hAnsi="Calibri" w:cs="Calibri"/>
          <w:sz w:val="24"/>
          <w:szCs w:val="32"/>
        </w:rPr>
        <w:fldChar w:fldCharType="end"/>
      </w:r>
      <w:r>
        <w:rPr>
          <w:rFonts w:ascii="Calibri" w:hAnsi="Calibri" w:cs="Calibri"/>
          <w:sz w:val="24"/>
          <w:szCs w:val="32"/>
        </w:rPr>
        <w:t>, we also validate our results by conducting the same analysis in another independent placebo data that was collected by using a relatively similar probabilistic reinforcement learning task in our group.</w:t>
      </w:r>
      <w:r>
        <w:rPr>
          <w:rFonts w:hint="eastAsia" w:ascii="Calibri" w:hAnsi="Calibri" w:cs="Calibri"/>
          <w:sz w:val="24"/>
          <w:szCs w:val="32"/>
        </w:rPr>
        <w:t xml:space="preserve"> </w:t>
      </w:r>
      <w:r>
        <w:rPr>
          <w:rFonts w:hint="eastAsia" w:ascii="Calibri" w:hAnsi="Calibri" w:cs="Calibri"/>
          <w:sz w:val="24"/>
        </w:rPr>
        <w:t>Specifically, we first established an accurate whole brain multivariate predictive pattern for classifying positive and negative outcomes (see</w:t>
      </w:r>
      <w:r>
        <w:rPr>
          <w:rFonts w:hint="eastAsia" w:ascii="Calibri" w:hAnsi="Calibri" w:cs="Calibri"/>
          <w:b/>
          <w:bCs/>
          <w:sz w:val="24"/>
        </w:rPr>
        <w:t xml:space="preserve"> Fig. S5</w:t>
      </w:r>
      <w:r>
        <w:rPr>
          <w:rFonts w:hint="eastAsia" w:ascii="Calibri" w:hAnsi="Calibri" w:cs="Calibri"/>
          <w:sz w:val="24"/>
        </w:rPr>
        <w:t xml:space="preserve">) </w:t>
      </w:r>
      <w:r>
        <w:rPr>
          <w:rFonts w:ascii="Calibri" w:hAnsi="Calibri" w:cs="Calibri"/>
          <w:sz w:val="24"/>
        </w:rPr>
        <w:t xml:space="preserve">and obtained a highly similar </w:t>
      </w:r>
      <w:r>
        <w:rPr>
          <w:rFonts w:hint="eastAsia" w:ascii="Calibri" w:hAnsi="Calibri" w:cs="Calibri"/>
          <w:sz w:val="24"/>
        </w:rPr>
        <w:t>neural pattern in the independent dataset</w:t>
      </w:r>
      <w:r>
        <w:rPr>
          <w:rFonts w:ascii="Calibri" w:hAnsi="Calibri" w:cs="Calibri"/>
          <w:sz w:val="24"/>
        </w:rPr>
        <w:t xml:space="preserve"> of subjects treated with p.o. placebo</w:t>
      </w:r>
      <w:r>
        <w:rPr>
          <w:rFonts w:hint="eastAsia" w:ascii="Calibri" w:hAnsi="Calibri" w:cs="Calibri"/>
          <w:sz w:val="24"/>
        </w:rPr>
        <w:t xml:space="preserve">. Subsequently we applied the neural pattern classifier from our study </w:t>
      </w:r>
      <w:r>
        <w:rPr>
          <w:rFonts w:ascii="Calibri" w:hAnsi="Calibri" w:cs="Calibri"/>
          <w:sz w:val="24"/>
        </w:rPr>
        <w:t xml:space="preserve">to the </w:t>
      </w:r>
      <w:r>
        <w:rPr>
          <w:rFonts w:hint="eastAsia" w:ascii="Calibri" w:hAnsi="Calibri" w:cs="Calibri"/>
          <w:sz w:val="24"/>
        </w:rPr>
        <w:t xml:space="preserve">independent placebo dataset and further demonstrated </w:t>
      </w:r>
      <w:r>
        <w:rPr>
          <w:rFonts w:ascii="Calibri" w:hAnsi="Calibri" w:cs="Calibri"/>
          <w:sz w:val="24"/>
        </w:rPr>
        <w:t xml:space="preserve">excellent </w:t>
      </w:r>
      <w:r>
        <w:rPr>
          <w:rFonts w:hint="eastAsia" w:ascii="Calibri" w:hAnsi="Calibri" w:cs="Calibri"/>
          <w:sz w:val="24"/>
        </w:rPr>
        <w:t>performance of this classifier (</w:t>
      </w:r>
      <w:r>
        <w:rPr>
          <w:rFonts w:ascii="Calibri" w:hAnsi="Calibri"/>
          <w:bCs/>
          <w:sz w:val="24"/>
        </w:rPr>
        <w:t xml:space="preserve">accuracy, </w:t>
      </w:r>
      <w:r>
        <w:rPr>
          <w:rFonts w:hint="eastAsia" w:ascii="Calibri" w:hAnsi="Calibri"/>
          <w:bCs/>
          <w:sz w:val="24"/>
        </w:rPr>
        <w:t>90.41</w:t>
      </w:r>
      <w:r>
        <w:rPr>
          <w:rFonts w:ascii="Calibri" w:hAnsi="Calibri"/>
          <w:bCs/>
          <w:sz w:val="24"/>
        </w:rPr>
        <w:t xml:space="preserve">%, sensitivity and specificity for different outcomes, </w:t>
      </w:r>
      <w:r>
        <w:rPr>
          <w:rFonts w:hint="eastAsia" w:ascii="Calibri" w:hAnsi="Calibri"/>
          <w:bCs/>
          <w:sz w:val="24"/>
        </w:rPr>
        <w:t>81.58</w:t>
      </w:r>
      <w:r>
        <w:rPr>
          <w:rFonts w:ascii="Calibri" w:hAnsi="Calibri"/>
          <w:bCs/>
          <w:sz w:val="24"/>
        </w:rPr>
        <w:t xml:space="preserve">% and </w:t>
      </w:r>
      <w:r>
        <w:rPr>
          <w:rFonts w:hint="eastAsia" w:ascii="Calibri" w:hAnsi="Calibri"/>
          <w:bCs/>
          <w:sz w:val="24"/>
        </w:rPr>
        <w:t>84.21</w:t>
      </w:r>
      <w:r>
        <w:rPr>
          <w:rFonts w:ascii="Calibri" w:hAnsi="Calibri"/>
          <w:bCs/>
          <w:sz w:val="24"/>
        </w:rPr>
        <w:t>%</w:t>
      </w:r>
      <w:r>
        <w:rPr>
          <w:rFonts w:hint="eastAsia" w:ascii="Calibri" w:hAnsi="Calibri" w:cs="Calibri"/>
          <w:sz w:val="24"/>
        </w:rPr>
        <w:t xml:space="preserve">). </w:t>
      </w:r>
    </w:p>
    <w:p>
      <w:pPr>
        <w:spacing w:line="360" w:lineRule="auto"/>
        <w:ind w:firstLine="240" w:firstLineChars="100"/>
        <w:jc w:val="left"/>
        <w:rPr>
          <w:rFonts w:ascii="Calibri" w:hAnsi="Calibri" w:cs="Calibri"/>
          <w:sz w:val="24"/>
        </w:rPr>
      </w:pPr>
      <w:r>
        <w:rPr>
          <w:rFonts w:hint="eastAsia" w:ascii="Calibri" w:hAnsi="Calibri" w:cs="Calibri"/>
          <w:sz w:val="24"/>
          <w:szCs w:val="32"/>
        </w:rPr>
        <w:t xml:space="preserve">Based on our a priori regional hypothesis and the key role of the ventral </w:t>
      </w:r>
      <w:r>
        <w:rPr>
          <w:rFonts w:ascii="Calibri" w:hAnsi="Calibri" w:cs="Calibri"/>
          <w:sz w:val="24"/>
          <w:szCs w:val="32"/>
        </w:rPr>
        <w:t>striatum</w:t>
      </w:r>
      <w:r>
        <w:rPr>
          <w:rFonts w:hint="eastAsia" w:ascii="Calibri" w:hAnsi="Calibri" w:cs="Calibri"/>
          <w:sz w:val="24"/>
          <w:szCs w:val="32"/>
        </w:rPr>
        <w:t xml:space="preserve"> in the reward processing, </w:t>
      </w:r>
      <w:r>
        <w:rPr>
          <w:rFonts w:ascii="Calibri" w:hAnsi="Calibri" w:cs="Calibri"/>
          <w:sz w:val="24"/>
          <w:szCs w:val="32"/>
        </w:rPr>
        <w:t xml:space="preserve">the analysis of LT effects on the expression focused on the ventral striatum. To this end we </w:t>
      </w:r>
      <w:r>
        <w:rPr>
          <w:rFonts w:hint="eastAsia" w:ascii="Calibri" w:hAnsi="Calibri" w:cs="Calibri"/>
          <w:sz w:val="24"/>
          <w:szCs w:val="32"/>
        </w:rPr>
        <w:t xml:space="preserve">identified effects of </w:t>
      </w:r>
      <w:r>
        <w:rPr>
          <w:rFonts w:ascii="Calibri" w:hAnsi="Calibri" w:cs="Calibri"/>
          <w:sz w:val="24"/>
          <w:szCs w:val="32"/>
        </w:rPr>
        <w:t>LT</w:t>
      </w:r>
      <w:r>
        <w:rPr>
          <w:rFonts w:hint="eastAsia" w:ascii="Calibri" w:hAnsi="Calibri" w:cs="Calibri"/>
          <w:sz w:val="24"/>
          <w:szCs w:val="32"/>
        </w:rPr>
        <w:t xml:space="preserve"> on the ventral </w:t>
      </w:r>
      <w:r>
        <w:rPr>
          <w:rFonts w:ascii="Calibri" w:hAnsi="Calibri" w:cs="Calibri"/>
          <w:sz w:val="24"/>
          <w:szCs w:val="32"/>
        </w:rPr>
        <w:t>striatum</w:t>
      </w:r>
      <w:r>
        <w:rPr>
          <w:rFonts w:hint="eastAsia" w:ascii="Calibri" w:hAnsi="Calibri" w:cs="Calibri"/>
          <w:sz w:val="24"/>
          <w:szCs w:val="32"/>
        </w:rPr>
        <w:t xml:space="preserve"> outcome expression by examining the treatment difference on the classification accuracy of ventral </w:t>
      </w:r>
      <w:r>
        <w:rPr>
          <w:rFonts w:ascii="Calibri" w:hAnsi="Calibri" w:cs="Calibri"/>
          <w:sz w:val="24"/>
          <w:szCs w:val="32"/>
        </w:rPr>
        <w:t>striatum</w:t>
      </w:r>
      <w:r>
        <w:rPr>
          <w:rFonts w:hint="eastAsia" w:ascii="Calibri" w:hAnsi="Calibri" w:cs="Calibri"/>
          <w:sz w:val="24"/>
          <w:szCs w:val="32"/>
        </w:rPr>
        <w:t xml:space="preserve"> pattern in differentiating positive versus negative outcome with permutation-based inferences (10000 permutations). </w:t>
      </w:r>
      <w:r>
        <w:rPr>
          <w:rFonts w:cstheme="minorHAnsi"/>
          <w:sz w:val="24"/>
        </w:rPr>
        <w:t xml:space="preserve">The </w:t>
      </w:r>
      <w:r>
        <w:rPr>
          <w:rFonts w:hint="eastAsia" w:cstheme="minorHAnsi"/>
          <w:sz w:val="24"/>
        </w:rPr>
        <w:t xml:space="preserve">ventral </w:t>
      </w:r>
      <w:r>
        <w:rPr>
          <w:rFonts w:cstheme="minorHAnsi"/>
          <w:sz w:val="24"/>
        </w:rPr>
        <w:t xml:space="preserve">striatum </w:t>
      </w:r>
      <w:r>
        <w:rPr>
          <w:rFonts w:ascii="Calibri" w:hAnsi="Calibri" w:cs="Calibri"/>
          <w:sz w:val="24"/>
        </w:rPr>
        <w:t>included the ventral caudate and nucleus accumbens</w:t>
      </w:r>
      <w:r>
        <w:rPr>
          <w:rFonts w:hint="eastAsia" w:ascii="Calibri" w:hAnsi="Calibri" w:cs="Calibri"/>
          <w:sz w:val="24"/>
        </w:rPr>
        <w:t xml:space="preserve"> </w:t>
      </w:r>
      <w:r>
        <w:rPr>
          <w:rFonts w:ascii="Calibri" w:hAnsi="Calibri" w:cs="Calibri"/>
          <w:sz w:val="24"/>
        </w:rPr>
        <w:fldChar w:fldCharType="begin"/>
      </w:r>
      <w:r>
        <w:rPr>
          <w:rFonts w:ascii="Calibri" w:hAnsi="Calibri" w:cs="Calibri"/>
          <w:sz w:val="24"/>
        </w:rPr>
        <w:instrText xml:space="preserve"> ADDIN EN.CITE &lt;EndNote&gt;&lt;Cite&gt;&lt;Author&gt;Zhou&lt;/Author&gt;&lt;Year&gt;2019&lt;/Year&gt;&lt;RecNum&gt;12&lt;/RecNum&gt;&lt;DisplayText&gt;(Zhou et al., 2019)&lt;/DisplayText&gt;&lt;record&gt;&lt;rec-number&gt;12&lt;/rec-number&gt;&lt;foreign-keys&gt;&lt;key app="EN" db-id="sdta2fdp8zzp5ve9peeps0eefvdwwdt2vtft"&gt;12&lt;/key&gt;&lt;/foreign-keys&gt;&lt;ref-type name="Journal Article"&gt;17&lt;/ref-type&gt;&lt;contributors&gt;&lt;authors&gt;&lt;author&gt;Zhou, Xinqi&lt;/author&gt;&lt;author&gt;Zimmermann, Kaeli&lt;/author&gt;&lt;author&gt;Xin, Fei&lt;/author&gt;&lt;author&gt;Zhao, Weihua&lt;/author&gt;&lt;author&gt;Derckx, Roelinka T&lt;/author&gt;&lt;author&gt;Sassmannshausen, Anja&lt;/author&gt;&lt;author&gt;Scheele, Dirk&lt;/author&gt;&lt;author&gt;Hurlemann, Rene&lt;/author&gt;&lt;author&gt;Weber, Bernd&lt;/author&gt;&lt;author&gt;Kendrick, Keith M&lt;/author&gt;&lt;/authors&gt;&lt;/contributors&gt;&lt;titles&gt;&lt;title&gt;Cue reactivity in the ventral striatum characterizes heavy cannabis use, whereas reactivity in the dorsal striatum mediates dependent use&lt;/title&gt;&lt;secondary-title&gt;Biological psychiatry: cognitive neuroscience and neuroimaging&lt;/secondary-title&gt;&lt;/titles&gt;&lt;periodical&gt;&lt;full-title&gt;Biological psychiatry: cognitive neuroscience and neuroimaging&lt;/full-title&gt;&lt;/periodical&gt;&lt;pages&gt;751-762&lt;/pages&gt;&lt;volume&gt;4&lt;/volume&gt;&lt;number&gt;8&lt;/number&gt;&lt;dates&gt;&lt;year&gt;2019&lt;/year&gt;&lt;/dates&gt;&lt;isbn&gt;2451-9022&lt;/isbn&gt;&lt;urls&gt;&lt;/urls&gt;&lt;/record&gt;&lt;/Cite&gt;&lt;/EndNote&gt;</w:instrText>
      </w:r>
      <w:r>
        <w:rPr>
          <w:rFonts w:ascii="Calibri" w:hAnsi="Calibri" w:cs="Calibri"/>
          <w:sz w:val="24"/>
        </w:rPr>
        <w:fldChar w:fldCharType="separate"/>
      </w:r>
      <w:r>
        <w:rPr>
          <w:rFonts w:ascii="Calibri" w:hAnsi="Calibri" w:cs="Calibri"/>
          <w:sz w:val="24"/>
        </w:rPr>
        <w:t xml:space="preserve">(see also approach in </w:t>
      </w:r>
      <w:r>
        <w:fldChar w:fldCharType="begin"/>
      </w:r>
      <w:r>
        <w:instrText xml:space="preserve"> HYPERLINK \l "_ENREF_22" \o "Zhou, 2019 #12" </w:instrText>
      </w:r>
      <w:r>
        <w:fldChar w:fldCharType="separate"/>
      </w:r>
      <w:r>
        <w:rPr>
          <w:rFonts w:ascii="Calibri" w:hAnsi="Calibri" w:cs="Calibri"/>
          <w:sz w:val="24"/>
        </w:rPr>
        <w:t>Zhou et al., 2019</w:t>
      </w:r>
      <w:r>
        <w:rPr>
          <w:rFonts w:ascii="Calibri" w:hAnsi="Calibri" w:cs="Calibri"/>
          <w:sz w:val="24"/>
        </w:rPr>
        <w:fldChar w:fldCharType="end"/>
      </w:r>
      <w:r>
        <w:rPr>
          <w:rFonts w:ascii="Calibri" w:hAnsi="Calibri" w:cs="Calibri"/>
          <w:sz w:val="24"/>
        </w:rPr>
        <w:t>)</w:t>
      </w:r>
      <w:r>
        <w:rPr>
          <w:rFonts w:ascii="Calibri" w:hAnsi="Calibri" w:cs="Calibri"/>
          <w:sz w:val="24"/>
        </w:rPr>
        <w:fldChar w:fldCharType="end"/>
      </w:r>
      <w:r>
        <w:rPr>
          <w:rFonts w:ascii="Calibri" w:hAnsi="Calibri" w:cs="Calibri"/>
          <w:sz w:val="24"/>
        </w:rPr>
        <w:t>.</w:t>
      </w:r>
      <w:r>
        <w:rPr>
          <w:rFonts w:hint="eastAsia" w:ascii="Calibri" w:hAnsi="Calibri" w:cs="Calibri"/>
          <w:sz w:val="24"/>
        </w:rPr>
        <w:t xml:space="preserve"> </w:t>
      </w:r>
    </w:p>
    <w:p>
      <w:pPr>
        <w:jc w:val="left"/>
        <w:rPr>
          <w:rFonts w:cstheme="minorHAnsi"/>
          <w:b/>
          <w:sz w:val="24"/>
        </w:rPr>
      </w:pPr>
    </w:p>
    <w:p>
      <w:pPr>
        <w:jc w:val="left"/>
        <w:rPr>
          <w:rFonts w:cstheme="minorHAnsi"/>
          <w:b/>
          <w:sz w:val="24"/>
        </w:rPr>
      </w:pPr>
      <w:r>
        <w:rPr>
          <w:rFonts w:cstheme="minorHAnsi"/>
          <w:b/>
          <w:sz w:val="24"/>
        </w:rPr>
        <w:t>General psychophysiological interaction analysis</w:t>
      </w:r>
    </w:p>
    <w:p>
      <w:pPr>
        <w:widowControl/>
        <w:spacing w:line="360" w:lineRule="auto"/>
        <w:jc w:val="left"/>
        <w:rPr>
          <w:rFonts w:cstheme="minorHAnsi"/>
          <w:b/>
          <w:sz w:val="32"/>
        </w:rPr>
      </w:pPr>
      <w:r>
        <w:rPr>
          <w:rFonts w:cstheme="minorHAnsi"/>
          <w:sz w:val="24"/>
        </w:rPr>
        <w:t xml:space="preserve">To investigate the effects of LT on the functional coupling between the ventral striatum and the frontal cortex during the transfer phase, we performed a general psychophysiological interaction analysis. Given that animal and human studies largely indicated the interaction of striatum with the prefrontal regions as a key mechanism for </w:t>
      </w:r>
      <w:r>
        <w:rPr>
          <w:rFonts w:hint="eastAsia" w:cstheme="minorHAnsi"/>
          <w:sz w:val="24"/>
        </w:rPr>
        <w:t>reinforcement learning</w:t>
      </w:r>
      <w:r>
        <w:rPr>
          <w:rFonts w:cstheme="minorHAnsi"/>
          <w:sz w:val="24"/>
        </w:rPr>
        <w:t xml:space="preserve"> </w:t>
      </w:r>
      <w:r>
        <w:rPr>
          <w:rFonts w:cstheme="minorHAnsi"/>
          <w:sz w:val="24"/>
        </w:rPr>
        <w:fldChar w:fldCharType="begin">
          <w:fldData xml:space="preserve">PEVuZE5vdGU+PENpdGU+PEF1dGhvcj5Mb3dldDwvQXV0aG9yPjxZZWFyPjIwMjA8L1llYXI+PFJl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</w:fldData>
        </w:fldChar>
      </w:r>
      <w:r>
        <w:rPr>
          <w:rFonts w:cstheme="minorHAnsi"/>
          <w:sz w:val="24"/>
        </w:rPr>
        <w:instrText xml:space="preserve"> ADDIN EN.CITE </w:instrText>
      </w:r>
      <w:r>
        <w:rPr>
          <w:rFonts w:cstheme="minorHAnsi"/>
          <w:sz w:val="24"/>
        </w:rPr>
        <w:fldChar w:fldCharType="begin">
          <w:fldData xml:space="preserve">PEVuZE5vdGU+PENpdGU+PEF1dGhvcj5Mb3dldDwvQXV0aG9yPjxZZWFyPjIwMjA8L1llYXI+PFJl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</w:fldData>
        </w:fldChar>
      </w:r>
      <w:r>
        <w:rPr>
          <w:rFonts w:cstheme="minorHAnsi"/>
          <w:sz w:val="24"/>
        </w:rPr>
        <w:instrText xml:space="preserve"> ADDIN EN.CITE.DATA </w:instrText>
      </w:r>
      <w:r>
        <w:rPr>
          <w:rFonts w:cstheme="minorHAnsi"/>
          <w:sz w:val="24"/>
        </w:rPr>
        <w:fldChar w:fldCharType="end"/>
      </w:r>
      <w:r>
        <w:rPr>
          <w:rFonts w:cstheme="minorHAnsi"/>
          <w:sz w:val="24"/>
        </w:rPr>
        <w:fldChar w:fldCharType="separate"/>
      </w:r>
      <w:r>
        <w:rPr>
          <w:rFonts w:cstheme="minorHAnsi"/>
          <w:sz w:val="24"/>
        </w:rPr>
        <w:t>(</w:t>
      </w:r>
      <w:r>
        <w:fldChar w:fldCharType="begin"/>
      </w:r>
      <w:r>
        <w:instrText xml:space="preserve"> HYPERLINK \l "_ENREF_2" \o "Averbeck, 2021 #13" </w:instrText>
      </w:r>
      <w:r>
        <w:fldChar w:fldCharType="separate"/>
      </w:r>
      <w:r>
        <w:rPr>
          <w:rFonts w:cstheme="minorHAnsi"/>
          <w:sz w:val="24"/>
        </w:rPr>
        <w:t>Averbeck &amp; O'Doherty, 2021</w:t>
      </w:r>
      <w:r>
        <w:rPr>
          <w:rFonts w:cstheme="minorHAnsi"/>
          <w:sz w:val="24"/>
        </w:rPr>
        <w:fldChar w:fldCharType="end"/>
      </w:r>
      <w:r>
        <w:rPr>
          <w:rFonts w:cstheme="minorHAnsi"/>
          <w:sz w:val="24"/>
        </w:rPr>
        <w:t xml:space="preserve">; </w:t>
      </w:r>
      <w:r>
        <w:fldChar w:fldCharType="begin"/>
      </w:r>
      <w:r>
        <w:instrText xml:space="preserve"> HYPERLINK \l "_ENREF_13" \o "Lowet, 2020 #14" </w:instrText>
      </w:r>
      <w:r>
        <w:fldChar w:fldCharType="separate"/>
      </w:r>
      <w:r>
        <w:rPr>
          <w:rFonts w:cstheme="minorHAnsi"/>
          <w:sz w:val="24"/>
        </w:rPr>
        <w:t>Lowet et al., 2020</w:t>
      </w:r>
      <w:r>
        <w:rPr>
          <w:rFonts w:cstheme="minorHAnsi"/>
          <w:sz w:val="24"/>
        </w:rPr>
        <w:fldChar w:fldCharType="end"/>
      </w:r>
      <w:r>
        <w:rPr>
          <w:rFonts w:cstheme="minorHAnsi"/>
          <w:sz w:val="24"/>
        </w:rPr>
        <w:t>)</w:t>
      </w:r>
      <w:r>
        <w:rPr>
          <w:rFonts w:cstheme="minorHAnsi"/>
          <w:sz w:val="24"/>
        </w:rPr>
        <w:fldChar w:fldCharType="end"/>
      </w:r>
      <w:r>
        <w:rPr>
          <w:rFonts w:cstheme="minorHAnsi"/>
          <w:sz w:val="24"/>
        </w:rPr>
        <w:t xml:space="preserve">, we specifically modelled functional connectivity from the </w:t>
      </w:r>
      <w:r>
        <w:rPr>
          <w:rFonts w:hint="eastAsia" w:cstheme="minorHAnsi"/>
          <w:sz w:val="24"/>
        </w:rPr>
        <w:t xml:space="preserve">ventral </w:t>
      </w:r>
      <w:r>
        <w:rPr>
          <w:rFonts w:cstheme="minorHAnsi"/>
          <w:sz w:val="24"/>
        </w:rPr>
        <w:t xml:space="preserve">striatum serving as seed region to all voxel </w:t>
      </w:r>
      <w:r>
        <w:rPr>
          <w:rFonts w:hint="eastAsia" w:cstheme="minorHAnsi"/>
          <w:sz w:val="24"/>
        </w:rPr>
        <w:t xml:space="preserve">within </w:t>
      </w:r>
      <w:r>
        <w:rPr>
          <w:rFonts w:cstheme="minorHAnsi"/>
          <w:sz w:val="24"/>
        </w:rPr>
        <w:t xml:space="preserve">the </w:t>
      </w:r>
      <w:r>
        <w:rPr>
          <w:rFonts w:hint="eastAsia" w:cstheme="minorHAnsi"/>
          <w:sz w:val="24"/>
        </w:rPr>
        <w:t>prefrontal cortex (</w:t>
      </w:r>
      <w:r>
        <w:rPr>
          <w:rFonts w:cstheme="minorHAnsi"/>
          <w:sz w:val="24"/>
        </w:rPr>
        <w:t xml:space="preserve">as determined by the Brainnetome atlas </w:t>
      </w:r>
      <w:r>
        <w:rPr>
          <w:rFonts w:hint="eastAsia" w:cstheme="minorHAnsi"/>
          <w:sz w:val="24"/>
        </w:rPr>
        <w:t>Fan et al., 2016)</w:t>
      </w:r>
      <w:r>
        <w:rPr>
          <w:rFonts w:cstheme="minorHAnsi"/>
          <w:sz w:val="24"/>
        </w:rPr>
        <w:t xml:space="preserve">. </w:t>
      </w:r>
      <w:r>
        <w:rPr>
          <w:rFonts w:cstheme="minorHAnsi"/>
          <w:sz w:val="24"/>
        </w:rPr>
        <w:br w:type="page"/>
      </w:r>
    </w:p>
    <w:p>
      <w:pPr>
        <w:rPr>
          <w:rFonts w:cstheme="minorHAnsi"/>
          <w:b/>
          <w:sz w:val="28"/>
          <w:szCs w:val="22"/>
        </w:rPr>
      </w:pPr>
      <w:r>
        <w:rPr>
          <w:rFonts w:hint="eastAsia" w:cstheme="minorHAnsi"/>
          <w:b/>
          <w:sz w:val="28"/>
          <w:szCs w:val="22"/>
        </w:rPr>
        <w:t xml:space="preserve">Supplemental </w:t>
      </w:r>
      <w:r>
        <w:rPr>
          <w:rFonts w:cstheme="minorHAnsi"/>
          <w:b/>
          <w:sz w:val="28"/>
          <w:szCs w:val="22"/>
        </w:rPr>
        <w:t xml:space="preserve">Results </w:t>
      </w:r>
    </w:p>
    <w:p>
      <w:pPr>
        <w:rPr>
          <w:rFonts w:cstheme="minorHAnsi"/>
          <w:b/>
          <w:sz w:val="28"/>
          <w:szCs w:val="22"/>
        </w:rPr>
      </w:pPr>
    </w:p>
    <w:p>
      <w:pPr>
        <w:keepNext/>
        <w:spacing w:line="360" w:lineRule="auto"/>
        <w:jc w:val="center"/>
      </w:pPr>
      <w:r>
        <w:rPr>
          <w:rFonts w:hint="eastAsia"/>
        </w:rPr>
        <w:drawing>
          <wp:inline distT="0" distB="0" distL="114300" distR="114300">
            <wp:extent cx="4852670" cy="6562725"/>
            <wp:effectExtent l="0" t="0" r="5080" b="9525"/>
            <wp:docPr id="2" name="图片 2" descr="sp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p_fig3"/>
                    <pic:cNvPicPr>
                      <a:picLocks noChangeAspect="1"/>
                    </pic:cNvPicPr>
                  </pic:nvPicPr>
                  <pic:blipFill>
                    <a:blip r:embed="rId8"/>
                    <a:stretch>
                      <a:fillRect/>
                    </a:stretch>
                  </pic:blipFill>
                  <pic:spPr>
                    <a:xfrm>
                      <a:off x="0" y="0"/>
                      <a:ext cx="4852670" cy="6562725"/>
                    </a:xfrm>
                    <a:prstGeom prst="rect">
                      <a:avLst/>
                    </a:prstGeom>
                  </pic:spPr>
                </pic:pic>
              </a:graphicData>
            </a:graphic>
          </wp:inline>
        </w:drawing>
      </w:r>
    </w:p>
    <w:p>
      <w:pPr>
        <w:rPr>
          <w:rFonts w:cstheme="minorHAnsi"/>
          <w:i w:val="0"/>
          <w:color w:val="auto"/>
          <w:sz w:val="22"/>
        </w:rPr>
      </w:pPr>
      <w:r>
        <w:rPr>
          <w:rFonts w:cstheme="minorHAnsi"/>
          <w:b/>
          <w:i w:val="0"/>
          <w:color w:val="auto"/>
          <w:sz w:val="22"/>
        </w:rPr>
        <w:t>Fig. S</w:t>
      </w:r>
      <w:r>
        <w:rPr>
          <w:rFonts w:hint="eastAsia" w:cstheme="minorHAnsi"/>
          <w:b/>
          <w:i w:val="0"/>
          <w:color w:val="auto"/>
          <w:sz w:val="22"/>
          <w:lang w:val="en-US" w:eastAsia="zh-CN"/>
        </w:rPr>
        <w:t>1</w:t>
      </w:r>
      <w:r>
        <w:rPr>
          <w:rFonts w:cstheme="minorHAnsi"/>
          <w:b/>
          <w:i w:val="0"/>
          <w:color w:val="auto"/>
          <w:sz w:val="22"/>
        </w:rPr>
        <w:t xml:space="preserve"> Computational model assessment and simulation. (a) </w:t>
      </w:r>
      <w:r>
        <w:rPr>
          <w:rFonts w:cstheme="minorHAnsi"/>
          <w:i w:val="0"/>
          <w:color w:val="auto"/>
          <w:sz w:val="22"/>
        </w:rPr>
        <w:t xml:space="preserve">Group-level parameter estimate distributions. Similar to other studies using dual learning rates, higher learning rates for positive compared to negative outcome was observed, termed “optimism bias” </w:t>
      </w:r>
      <w:r>
        <w:rPr>
          <w:rFonts w:hint="eastAsia" w:cstheme="minorHAnsi"/>
          <w:i w:val="0"/>
          <w:color w:val="auto"/>
          <w:sz w:val="22"/>
        </w:rPr>
        <w:t xml:space="preserve"> (Jahfari et al., 2019; Jahfari et al., 2020; Lefebvre et al., 2017)</w:t>
      </w:r>
      <w:r>
        <w:rPr>
          <w:rFonts w:cstheme="minorHAnsi"/>
          <w:i w:val="0"/>
          <w:color w:val="auto"/>
          <w:sz w:val="22"/>
        </w:rPr>
        <w:t xml:space="preserve">. This optimism bias was also observed for the individual parameter estimates, with higher learning rate for positive outcome in both groups. </w:t>
      </w:r>
      <w:r>
        <w:rPr>
          <w:rFonts w:cstheme="minorHAnsi"/>
          <w:b/>
          <w:i w:val="0"/>
          <w:color w:val="auto"/>
          <w:sz w:val="22"/>
        </w:rPr>
        <w:t xml:space="preserve">(b) </w:t>
      </w:r>
      <w:r>
        <w:rPr>
          <w:rFonts w:cstheme="minorHAnsi"/>
          <w:i w:val="0"/>
          <w:color w:val="auto"/>
          <w:sz w:val="22"/>
        </w:rPr>
        <w:t>Simulation of the fitted model. The probability of choosing the best option in each stimulus pair was simulated by using the posterior distributions of the fitted model parameters of each subject. The plots of the model against observed data across each treatment group and stimulus pair revealed that the fitted model showed a good representation of the overall learning.</w:t>
      </w:r>
      <w:r>
        <w:rPr>
          <w:rFonts w:cstheme="minorHAnsi"/>
          <w:b/>
          <w:i w:val="0"/>
          <w:color w:val="auto"/>
          <w:sz w:val="22"/>
        </w:rPr>
        <w:t xml:space="preserve"> (c-d) </w:t>
      </w:r>
      <w:r>
        <w:rPr>
          <w:rFonts w:cstheme="minorHAnsi"/>
          <w:i w:val="0"/>
          <w:color w:val="auto"/>
          <w:sz w:val="22"/>
        </w:rPr>
        <w:t xml:space="preserve">Final Q value across each stimulus in whole group, and in each treatment group, which showed that the fitted model did a good job in capturing declining Q value according to decreasing reward probability. The error bars denoted standard error to the mean. LT, losartan; PLC, placebo. </w:t>
      </w:r>
    </w:p>
    <w:p>
      <w:pPr>
        <w:rPr>
          <w:rFonts w:cstheme="minorHAnsi"/>
          <w:i w:val="0"/>
          <w:color w:val="auto"/>
          <w:sz w:val="22"/>
        </w:rPr>
      </w:pPr>
    </w:p>
    <w:p>
      <w:pPr>
        <w:rPr>
          <w:sz w:val="24"/>
          <w:szCs w:val="24"/>
        </w:rPr>
      </w:pPr>
    </w:p>
    <w:p>
      <w:pPr>
        <w:jc w:val="center"/>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4422775" cy="4578350"/>
            <wp:effectExtent l="0" t="0" r="15875" b="12700"/>
            <wp:docPr id="17" name="图片 17" descr="spp_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pp_fig2"/>
                    <pic:cNvPicPr>
                      <a:picLocks noChangeAspect="1"/>
                    </pic:cNvPicPr>
                  </pic:nvPicPr>
                  <pic:blipFill>
                    <a:blip r:embed="rId9"/>
                    <a:stretch>
                      <a:fillRect/>
                    </a:stretch>
                  </pic:blipFill>
                  <pic:spPr>
                    <a:xfrm>
                      <a:off x="0" y="0"/>
                      <a:ext cx="4422775" cy="4578350"/>
                    </a:xfrm>
                    <a:prstGeom prst="rect">
                      <a:avLst/>
                    </a:prstGeom>
                  </pic:spPr>
                </pic:pic>
              </a:graphicData>
            </a:graphic>
          </wp:inline>
        </w:drawing>
      </w:r>
    </w:p>
    <w:p>
      <w:pPr>
        <w:pStyle w:val="2"/>
        <w:jc w:val="left"/>
        <w:rPr>
          <w:rFonts w:hint="default"/>
          <w:i w:val="0"/>
          <w:color w:val="auto"/>
          <w:sz w:val="22"/>
          <w:lang w:val="en-US"/>
        </w:rPr>
      </w:pPr>
      <w:r>
        <w:rPr>
          <w:b/>
          <w:i w:val="0"/>
          <w:color w:val="auto"/>
          <w:sz w:val="22"/>
        </w:rPr>
        <w:t>Fig. S</w:t>
      </w:r>
      <w:r>
        <w:rPr>
          <w:rFonts w:hint="eastAsia"/>
          <w:b/>
          <w:i w:val="0"/>
          <w:color w:val="auto"/>
          <w:sz w:val="22"/>
          <w:lang w:val="en-US" w:eastAsia="zh-CN"/>
        </w:rPr>
        <w:t>2</w:t>
      </w:r>
      <w:r>
        <w:rPr>
          <w:b/>
          <w:i w:val="0"/>
          <w:color w:val="auto"/>
          <w:sz w:val="22"/>
        </w:rPr>
        <w:t xml:space="preserve"> </w:t>
      </w:r>
      <w:r>
        <w:rPr>
          <w:rFonts w:hint="eastAsia"/>
          <w:b/>
          <w:i w:val="0"/>
          <w:color w:val="auto"/>
          <w:sz w:val="22"/>
          <w:lang w:val="en-US" w:eastAsia="zh-CN"/>
        </w:rPr>
        <w:t xml:space="preserve">Effects of rewarding probability differences and treatment on choice behaviors in transfer phase. (a -b) </w:t>
      </w:r>
      <w:r>
        <w:rPr>
          <w:rFonts w:hint="eastAsia"/>
          <w:b w:val="0"/>
          <w:bCs/>
          <w:i w:val="0"/>
          <w:color w:val="auto"/>
          <w:sz w:val="22"/>
          <w:lang w:val="en-US" w:eastAsia="zh-CN"/>
        </w:rPr>
        <w:t>Losartan and placebo-treated subjects showed comparable choice accuracy and response time towards stimulus pairs with distinct rewarding probability. d10 - 60 indicates the six level of rewarding probability differences.</w:t>
      </w:r>
    </w:p>
    <w:p>
      <w:pPr>
        <w:rPr>
          <w:sz w:val="24"/>
          <w:szCs w:val="24"/>
        </w:rPr>
      </w:pPr>
    </w:p>
    <w:p>
      <w:pPr>
        <w:rPr>
          <w:sz w:val="24"/>
          <w:szCs w:val="24"/>
        </w:rPr>
      </w:pPr>
    </w:p>
    <w:p>
      <w:pPr>
        <w:rPr>
          <w:sz w:val="24"/>
          <w:szCs w:val="24"/>
        </w:rPr>
      </w:pPr>
    </w:p>
    <w:p>
      <w:pPr>
        <w:keepNext/>
        <w:spacing w:line="360" w:lineRule="auto"/>
        <w:ind w:firstLine="210" w:firstLineChars="100"/>
        <w:jc w:val="center"/>
      </w:pPr>
      <w:r>
        <w:drawing>
          <wp:inline distT="0" distB="0" distL="114300" distR="114300">
            <wp:extent cx="5710555" cy="1853565"/>
            <wp:effectExtent l="0" t="0" r="4445" b="13335"/>
            <wp:docPr id="15" name="图片 15" descr="sp_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p_fig2"/>
                    <pic:cNvPicPr>
                      <a:picLocks noChangeAspect="1"/>
                    </pic:cNvPicPr>
                  </pic:nvPicPr>
                  <pic:blipFill>
                    <a:blip r:embed="rId10"/>
                    <a:stretch>
                      <a:fillRect/>
                    </a:stretch>
                  </pic:blipFill>
                  <pic:spPr>
                    <a:xfrm>
                      <a:off x="0" y="0"/>
                      <a:ext cx="5710555" cy="1853565"/>
                    </a:xfrm>
                    <a:prstGeom prst="rect">
                      <a:avLst/>
                    </a:prstGeom>
                  </pic:spPr>
                </pic:pic>
              </a:graphicData>
            </a:graphic>
          </wp:inline>
        </w:drawing>
      </w:r>
    </w:p>
    <w:p>
      <w:pPr>
        <w:pStyle w:val="2"/>
        <w:jc w:val="left"/>
        <w:rPr>
          <w:i w:val="0"/>
          <w:color w:val="auto"/>
          <w:sz w:val="22"/>
        </w:rPr>
      </w:pPr>
      <w:r>
        <w:rPr>
          <w:b/>
          <w:i w:val="0"/>
          <w:color w:val="auto"/>
          <w:sz w:val="22"/>
        </w:rPr>
        <w:t>Fig. S</w:t>
      </w:r>
      <w:r>
        <w:rPr>
          <w:rFonts w:hint="eastAsia"/>
          <w:b/>
          <w:i w:val="0"/>
          <w:color w:val="auto"/>
          <w:sz w:val="22"/>
          <w:lang w:val="en-US" w:eastAsia="zh-CN"/>
        </w:rPr>
        <w:t>3</w:t>
      </w:r>
      <w:r>
        <w:rPr>
          <w:b/>
          <w:i w:val="0"/>
          <w:color w:val="auto"/>
          <w:sz w:val="22"/>
        </w:rPr>
        <w:t xml:space="preserve"> The raw learning curve for trial-by-trial choice accuracy across</w:t>
      </w:r>
      <w:r>
        <w:rPr>
          <w:rFonts w:hint="eastAsia"/>
          <w:b/>
          <w:i w:val="0"/>
          <w:color w:val="auto"/>
          <w:sz w:val="22"/>
          <w:lang w:val="en-US" w:eastAsia="zh-CN"/>
        </w:rPr>
        <w:t xml:space="preserve"> </w:t>
      </w:r>
      <w:r>
        <w:rPr>
          <w:b/>
          <w:i w:val="0"/>
          <w:color w:val="auto"/>
          <w:sz w:val="22"/>
        </w:rPr>
        <w:t>stimulus pairs</w:t>
      </w:r>
      <w:r>
        <w:rPr>
          <w:rFonts w:hint="eastAsia"/>
          <w:b/>
          <w:i w:val="0"/>
          <w:color w:val="auto"/>
          <w:sz w:val="22"/>
          <w:lang w:val="en-US" w:eastAsia="zh-CN"/>
        </w:rPr>
        <w:t xml:space="preserve"> in second  fMRI run</w:t>
      </w:r>
      <w:r>
        <w:rPr>
          <w:b/>
          <w:i w:val="0"/>
          <w:color w:val="auto"/>
          <w:sz w:val="22"/>
        </w:rPr>
        <w:t xml:space="preserve">. (a-c) </w:t>
      </w:r>
      <w:r>
        <w:rPr>
          <w:i w:val="0"/>
          <w:color w:val="auto"/>
          <w:sz w:val="22"/>
        </w:rPr>
        <w:t xml:space="preserve">Subjects showed constantly high choice accuracy during the learning for the second run, the latter was possibly driven by the practice leading to a ceiling effect effects. </w:t>
      </w:r>
      <w:r>
        <w:rPr>
          <w:rFonts w:cstheme="minorHAnsi"/>
          <w:i w:val="0"/>
          <w:color w:val="auto"/>
          <w:sz w:val="22"/>
        </w:rPr>
        <w:t xml:space="preserve">The error bars denoted standard error to the mean. </w:t>
      </w:r>
      <w:r>
        <w:rPr>
          <w:i w:val="0"/>
          <w:color w:val="auto"/>
          <w:sz w:val="22"/>
        </w:rPr>
        <w:t>LT, losartan; PLC, placebo.</w:t>
      </w:r>
    </w:p>
    <w:p>
      <w:pPr>
        <w:rPr>
          <w:sz w:val="24"/>
          <w:szCs w:val="24"/>
        </w:rPr>
      </w:pPr>
    </w:p>
    <w:p>
      <w:pPr>
        <w:spacing w:line="360" w:lineRule="auto"/>
        <w:jc w:val="left"/>
        <w:rPr>
          <w:rFonts w:ascii="Calibri" w:hAnsi="Calibri" w:cs="Calibri"/>
          <w:sz w:val="24"/>
          <w:szCs w:val="32"/>
        </w:rPr>
      </w:pPr>
    </w:p>
    <w:p>
      <w:pPr>
        <w:keepNext/>
        <w:spacing w:line="360" w:lineRule="auto"/>
        <w:jc w:val="center"/>
      </w:pPr>
      <w:r>
        <w:drawing>
          <wp:inline distT="0" distB="0" distL="0" distR="0">
            <wp:extent cx="4705985" cy="169100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1068" cy="1693040"/>
                    </a:xfrm>
                    <a:prstGeom prst="rect">
                      <a:avLst/>
                    </a:prstGeom>
                  </pic:spPr>
                </pic:pic>
              </a:graphicData>
            </a:graphic>
          </wp:inline>
        </w:drawing>
      </w:r>
    </w:p>
    <w:p>
      <w:pPr>
        <w:pStyle w:val="2"/>
        <w:jc w:val="left"/>
        <w:rPr>
          <w:rFonts w:ascii="Calibri" w:hAnsi="Calibri" w:cs="Calibri"/>
          <w:b/>
          <w:i w:val="0"/>
          <w:color w:val="auto"/>
          <w:sz w:val="22"/>
          <w:szCs w:val="22"/>
        </w:rPr>
      </w:pPr>
      <w:r>
        <w:rPr>
          <w:b/>
          <w:i w:val="0"/>
          <w:color w:val="auto"/>
          <w:sz w:val="22"/>
          <w:szCs w:val="22"/>
        </w:rPr>
        <w:t>Fig. S</w:t>
      </w:r>
      <w:r>
        <w:rPr>
          <w:rFonts w:hint="eastAsia"/>
          <w:b/>
          <w:i w:val="0"/>
          <w:color w:val="auto"/>
          <w:sz w:val="22"/>
          <w:szCs w:val="22"/>
          <w:lang w:val="en-US" w:eastAsia="zh-CN"/>
        </w:rPr>
        <w:t>4</w:t>
      </w:r>
      <w:r>
        <w:rPr>
          <w:b/>
          <w:i w:val="0"/>
          <w:color w:val="auto"/>
          <w:sz w:val="22"/>
          <w:szCs w:val="22"/>
        </w:rPr>
        <w:t xml:space="preserve"> Bayesian regression model results. </w:t>
      </w:r>
      <w:r>
        <w:rPr>
          <w:rFonts w:ascii="Calibri" w:hAnsi="Calibri" w:cs="Calibri"/>
          <w:bCs/>
          <w:i w:val="0"/>
          <w:color w:val="auto"/>
          <w:sz w:val="22"/>
          <w:szCs w:val="28"/>
        </w:rPr>
        <w:t xml:space="preserve">We observed a significant main effect of stimulus pair such that participants successfully learned to choose better option from the easy stimulus pair. However no main effect of treatment was found, while the main effect of fMRI runs reached statistical significance such that </w:t>
      </w:r>
      <w:r>
        <w:rPr>
          <w:rFonts w:hint="eastAsia" w:ascii="Calibri" w:hAnsi="Calibri" w:cs="Calibri"/>
          <w:i w:val="0"/>
          <w:color w:val="auto"/>
          <w:sz w:val="22"/>
          <w:szCs w:val="32"/>
        </w:rPr>
        <w:t xml:space="preserve">choice accuracy in the second </w:t>
      </w:r>
      <w:r>
        <w:rPr>
          <w:rFonts w:ascii="Calibri" w:hAnsi="Calibri" w:cs="Calibri"/>
          <w:i w:val="0"/>
          <w:color w:val="auto"/>
          <w:sz w:val="22"/>
          <w:szCs w:val="32"/>
        </w:rPr>
        <w:t xml:space="preserve">fMRI </w:t>
      </w:r>
      <w:r>
        <w:rPr>
          <w:rFonts w:hint="eastAsia" w:ascii="Calibri" w:hAnsi="Calibri" w:cs="Calibri"/>
          <w:i w:val="0"/>
          <w:color w:val="auto"/>
          <w:sz w:val="22"/>
          <w:szCs w:val="32"/>
        </w:rPr>
        <w:t xml:space="preserve">run showed almost </w:t>
      </w:r>
      <w:r>
        <w:rPr>
          <w:rFonts w:ascii="Calibri" w:hAnsi="Calibri" w:cs="Calibri"/>
          <w:i w:val="0"/>
          <w:color w:val="auto"/>
          <w:sz w:val="22"/>
          <w:szCs w:val="32"/>
        </w:rPr>
        <w:t xml:space="preserve">ceiling </w:t>
      </w:r>
      <w:r>
        <w:rPr>
          <w:rFonts w:hint="eastAsia" w:ascii="Calibri" w:hAnsi="Calibri" w:cs="Calibri"/>
          <w:i w:val="0"/>
          <w:color w:val="auto"/>
          <w:sz w:val="22"/>
          <w:szCs w:val="32"/>
        </w:rPr>
        <w:t>effects</w:t>
      </w:r>
      <w:r>
        <w:rPr>
          <w:rFonts w:ascii="Calibri" w:hAnsi="Calibri" w:cs="Calibri"/>
          <w:i w:val="0"/>
          <w:color w:val="auto"/>
          <w:sz w:val="22"/>
          <w:szCs w:val="32"/>
        </w:rPr>
        <w:t xml:space="preserve"> thereby being higher than that in the first run. </w:t>
      </w:r>
    </w:p>
    <w:p>
      <w:pPr>
        <w:spacing w:line="360" w:lineRule="auto"/>
        <w:ind w:firstLine="240" w:firstLineChars="100"/>
        <w:jc w:val="left"/>
        <w:rPr>
          <w:rFonts w:ascii="Calibri" w:hAnsi="Calibri" w:cs="Calibri"/>
          <w:sz w:val="24"/>
          <w:szCs w:val="32"/>
        </w:rPr>
      </w:pPr>
    </w:p>
    <w:p/>
    <w:p>
      <w:pPr>
        <w:spacing w:line="360" w:lineRule="auto"/>
        <w:ind w:firstLine="240" w:firstLineChars="100"/>
        <w:jc w:val="left"/>
        <w:rPr>
          <w:rFonts w:ascii="Calibri" w:hAnsi="Calibri" w:cs="Calibri"/>
          <w:sz w:val="24"/>
          <w:szCs w:val="32"/>
        </w:rPr>
      </w:pPr>
    </w:p>
    <w:p>
      <w:pPr>
        <w:keepNext/>
        <w:autoSpaceDE w:val="0"/>
        <w:jc w:val="center"/>
        <w:rPr>
          <w:rFonts w:hint="eastAsia" w:eastAsiaTheme="minorEastAsia"/>
          <w:lang w:eastAsia="zh-CN"/>
        </w:rPr>
      </w:pPr>
      <w:r>
        <w:rPr>
          <w:rFonts w:hint="eastAsia" w:eastAsiaTheme="minorEastAsia"/>
          <w:lang w:eastAsia="zh-CN"/>
        </w:rPr>
        <w:drawing>
          <wp:inline distT="0" distB="0" distL="114300" distR="114300">
            <wp:extent cx="5760720" cy="5399405"/>
            <wp:effectExtent l="0" t="0" r="11430" b="10795"/>
            <wp:docPr id="16" name="图片 16" descr="spp_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pp_fig5"/>
                    <pic:cNvPicPr>
                      <a:picLocks noChangeAspect="1"/>
                    </pic:cNvPicPr>
                  </pic:nvPicPr>
                  <pic:blipFill>
                    <a:blip r:embed="rId12"/>
                    <a:stretch>
                      <a:fillRect/>
                    </a:stretch>
                  </pic:blipFill>
                  <pic:spPr>
                    <a:xfrm>
                      <a:off x="0" y="0"/>
                      <a:ext cx="5760720" cy="5399405"/>
                    </a:xfrm>
                    <a:prstGeom prst="rect">
                      <a:avLst/>
                    </a:prstGeom>
                  </pic:spPr>
                </pic:pic>
              </a:graphicData>
            </a:graphic>
          </wp:inline>
        </w:drawing>
      </w:r>
    </w:p>
    <w:p>
      <w:pPr>
        <w:pStyle w:val="2"/>
        <w:jc w:val="left"/>
        <w:rPr>
          <w:rFonts w:hint="default" w:eastAsiaTheme="minorEastAsia"/>
          <w:b/>
          <w:i w:val="0"/>
          <w:color w:val="auto"/>
          <w:sz w:val="22"/>
          <w:szCs w:val="22"/>
          <w:lang w:val="en-US" w:eastAsia="zh-CN"/>
        </w:rPr>
      </w:pPr>
      <w:r>
        <w:rPr>
          <w:b/>
          <w:i w:val="0"/>
          <w:color w:val="auto"/>
          <w:sz w:val="22"/>
          <w:szCs w:val="22"/>
        </w:rPr>
        <w:t xml:space="preserve">Fig. </w:t>
      </w:r>
      <w:r>
        <w:rPr>
          <w:rFonts w:hint="eastAsia"/>
          <w:b/>
          <w:i w:val="0"/>
          <w:color w:val="auto"/>
          <w:sz w:val="22"/>
          <w:szCs w:val="22"/>
          <w:lang w:val="en-US" w:eastAsia="zh-CN"/>
        </w:rPr>
        <w:t>S5</w:t>
      </w:r>
      <w:r>
        <w:rPr>
          <w:b/>
          <w:i w:val="0"/>
          <w:color w:val="auto"/>
          <w:sz w:val="22"/>
          <w:szCs w:val="22"/>
        </w:rPr>
        <w:t xml:space="preserve"> Mediation </w:t>
      </w:r>
      <w:r>
        <w:rPr>
          <w:rFonts w:hint="eastAsia"/>
          <w:b/>
          <w:i w:val="0"/>
          <w:color w:val="auto"/>
          <w:sz w:val="22"/>
          <w:szCs w:val="22"/>
          <w:lang w:val="en-US" w:eastAsia="zh-CN"/>
        </w:rPr>
        <w:t xml:space="preserve">results </w:t>
      </w:r>
      <w:r>
        <w:rPr>
          <w:b/>
          <w:i w:val="0"/>
          <w:color w:val="auto"/>
          <w:sz w:val="22"/>
          <w:szCs w:val="22"/>
        </w:rPr>
        <w:t>for different stimulus pair</w:t>
      </w:r>
      <w:r>
        <w:rPr>
          <w:rFonts w:hint="eastAsia"/>
          <w:b/>
          <w:i w:val="0"/>
          <w:color w:val="auto"/>
          <w:sz w:val="22"/>
          <w:szCs w:val="22"/>
          <w:lang w:val="en-US" w:eastAsia="zh-CN"/>
        </w:rPr>
        <w:t xml:space="preserve">. (a) </w:t>
      </w:r>
      <w:r>
        <w:rPr>
          <w:rFonts w:hint="eastAsia"/>
          <w:b w:val="0"/>
          <w:bCs/>
          <w:i w:val="0"/>
          <w:color w:val="auto"/>
          <w:sz w:val="22"/>
          <w:szCs w:val="22"/>
          <w:lang w:val="en-US" w:eastAsia="zh-CN"/>
        </w:rPr>
        <w:t xml:space="preserve">Mediation analysis results shows that expected value sensitivity (denoted as Q value) mediates the effects of losartan on choice accuracy for hardest stimulus pair. </w:t>
      </w:r>
      <w:r>
        <w:rPr>
          <w:rFonts w:hint="eastAsia"/>
          <w:b/>
          <w:i w:val="0"/>
          <w:color w:val="auto"/>
          <w:sz w:val="22"/>
          <w:szCs w:val="22"/>
          <w:lang w:val="en-US" w:eastAsia="zh-CN"/>
        </w:rPr>
        <w:t xml:space="preserve">(b-c) </w:t>
      </w:r>
      <w:r>
        <w:rPr>
          <w:rFonts w:hint="eastAsia"/>
          <w:b w:val="0"/>
          <w:bCs/>
          <w:i w:val="0"/>
          <w:color w:val="auto"/>
          <w:sz w:val="22"/>
          <w:szCs w:val="22"/>
          <w:lang w:val="en-US" w:eastAsia="zh-CN"/>
        </w:rPr>
        <w:t>The expected value could not mediate losartan effects on choice accuracy for easy or the easiest stimulus pair. n.s indicates non-siginficant, **p&lt;0.01, ***p&lt;0.001 (bootstrap tests; two-sided; uncorrected)</w:t>
      </w:r>
      <w:r>
        <w:rPr>
          <w:rFonts w:hint="eastAsia"/>
          <w:b/>
          <w:i w:val="0"/>
          <w:color w:val="auto"/>
          <w:sz w:val="22"/>
          <w:szCs w:val="22"/>
          <w:lang w:val="en-US" w:eastAsia="zh-CN"/>
        </w:rPr>
        <w:t xml:space="preserve">. </w:t>
      </w:r>
    </w:p>
    <w:p>
      <w:pPr>
        <w:jc w:val="left"/>
        <w:rPr>
          <w:rFonts w:cstheme="minorHAnsi"/>
          <w:b/>
          <w:sz w:val="22"/>
          <w:szCs w:val="22"/>
        </w:rPr>
      </w:pPr>
      <w:r>
        <w:rPr>
          <w:rFonts w:hint="eastAsia" w:cstheme="minorHAnsi"/>
          <w:b/>
          <w:sz w:val="24"/>
        </w:rPr>
        <w:drawing>
          <wp:inline distT="0" distB="0" distL="114300" distR="114300">
            <wp:extent cx="5494020" cy="2087880"/>
            <wp:effectExtent l="0" t="0" r="11430" b="7620"/>
            <wp:docPr id="13" name="图片 13" descr="sp_fig4_r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p_fig4_run1"/>
                    <pic:cNvPicPr>
                      <a:picLocks noChangeAspect="1"/>
                    </pic:cNvPicPr>
                  </pic:nvPicPr>
                  <pic:blipFill>
                    <a:blip r:embed="rId13"/>
                    <a:stretch>
                      <a:fillRect/>
                    </a:stretch>
                  </pic:blipFill>
                  <pic:spPr>
                    <a:xfrm>
                      <a:off x="0" y="0"/>
                      <a:ext cx="5494020" cy="2087880"/>
                    </a:xfrm>
                    <a:prstGeom prst="rect">
                      <a:avLst/>
                    </a:prstGeom>
                  </pic:spPr>
                </pic:pic>
              </a:graphicData>
            </a:graphic>
          </wp:inline>
        </w:drawing>
      </w:r>
    </w:p>
    <w:p>
      <w:pPr>
        <w:jc w:val="left"/>
        <w:rPr>
          <w:rFonts w:cstheme="minorHAnsi"/>
          <w:sz w:val="24"/>
        </w:rPr>
      </w:pPr>
      <w:r>
        <w:rPr>
          <w:rFonts w:cstheme="minorHAnsi"/>
          <w:b/>
          <w:sz w:val="22"/>
          <w:szCs w:val="22"/>
        </w:rPr>
        <w:t>Fig. S</w:t>
      </w:r>
      <w:r>
        <w:rPr>
          <w:rFonts w:hint="eastAsia" w:cstheme="minorHAnsi"/>
          <w:b/>
          <w:sz w:val="22"/>
          <w:szCs w:val="22"/>
          <w:lang w:val="en-US" w:eastAsia="zh-CN"/>
        </w:rPr>
        <w:t xml:space="preserve">6 </w:t>
      </w:r>
      <w:r>
        <w:rPr>
          <w:rFonts w:cstheme="minorHAnsi"/>
          <w:b/>
          <w:sz w:val="22"/>
          <w:szCs w:val="22"/>
        </w:rPr>
        <w:t>Reward prediction error related brain regions in the</w:t>
      </w:r>
      <w:r>
        <w:rPr>
          <w:rFonts w:hint="eastAsia" w:cstheme="minorHAnsi"/>
          <w:b/>
          <w:sz w:val="22"/>
          <w:szCs w:val="22"/>
        </w:rPr>
        <w:t xml:space="preserve"> early</w:t>
      </w:r>
      <w:r>
        <w:rPr>
          <w:rFonts w:cstheme="minorHAnsi"/>
          <w:b/>
          <w:sz w:val="22"/>
          <w:szCs w:val="22"/>
        </w:rPr>
        <w:t xml:space="preserve"> learning phase.</w:t>
      </w:r>
      <w:r>
        <w:rPr>
          <w:rFonts w:hint="eastAsia" w:cstheme="minorHAnsi"/>
          <w:b/>
          <w:sz w:val="22"/>
          <w:szCs w:val="22"/>
        </w:rPr>
        <w:t xml:space="preserve"> </w:t>
      </w:r>
      <w:r>
        <w:rPr>
          <w:rFonts w:cstheme="minorHAnsi"/>
          <w:sz w:val="22"/>
          <w:szCs w:val="22"/>
        </w:rPr>
        <w:t>Concerning the outcome onset for the early learning phase (first FMRI run), we found a neural network including the</w:t>
      </w:r>
      <w:r>
        <w:rPr>
          <w:rFonts w:hint="eastAsia" w:cstheme="minorHAnsi"/>
          <w:sz w:val="22"/>
          <w:szCs w:val="22"/>
        </w:rPr>
        <w:t xml:space="preserve"> superior medial frontal gyrus, middle cingulate cortex, insula</w:t>
      </w:r>
      <w:r>
        <w:rPr>
          <w:rFonts w:cstheme="minorHAnsi"/>
          <w:sz w:val="22"/>
          <w:szCs w:val="22"/>
        </w:rPr>
        <w:t xml:space="preserve">, </w:t>
      </w:r>
      <w:r>
        <w:rPr>
          <w:rFonts w:hint="eastAsia" w:cstheme="minorHAnsi"/>
          <w:sz w:val="22"/>
          <w:szCs w:val="22"/>
        </w:rPr>
        <w:t>thalamus</w:t>
      </w:r>
      <w:r>
        <w:rPr>
          <w:rFonts w:cstheme="minorHAnsi"/>
          <w:sz w:val="22"/>
          <w:szCs w:val="22"/>
        </w:rPr>
        <w:t xml:space="preserve">, caudate, </w:t>
      </w:r>
      <w:r>
        <w:rPr>
          <w:rFonts w:hint="eastAsia" w:cstheme="minorHAnsi"/>
          <w:sz w:val="22"/>
          <w:szCs w:val="22"/>
        </w:rPr>
        <w:t>inferior parietal cortex, supramarginal area, middle temporal gyrus and inferior</w:t>
      </w:r>
      <w:r>
        <w:rPr>
          <w:rFonts w:cstheme="minorHAnsi"/>
          <w:sz w:val="22"/>
          <w:szCs w:val="22"/>
        </w:rPr>
        <w:t xml:space="preserve"> temporal gyrus</w:t>
      </w:r>
      <w:r>
        <w:rPr>
          <w:rFonts w:hint="eastAsia" w:cstheme="minorHAnsi"/>
          <w:sz w:val="22"/>
          <w:szCs w:val="22"/>
        </w:rPr>
        <w:t>, as well as the fusiform</w:t>
      </w:r>
      <w:r>
        <w:rPr>
          <w:rFonts w:cstheme="minorHAnsi"/>
          <w:sz w:val="22"/>
          <w:szCs w:val="22"/>
        </w:rPr>
        <w:t xml:space="preserve"> positively encoding reward prediction error (RPE), and the </w:t>
      </w:r>
      <w:r>
        <w:rPr>
          <w:rFonts w:hint="eastAsia" w:cstheme="minorHAnsi"/>
          <w:sz w:val="22"/>
          <w:szCs w:val="22"/>
        </w:rPr>
        <w:t>precentral and supplementary motor areas</w:t>
      </w:r>
      <w:r>
        <w:rPr>
          <w:rFonts w:cstheme="minorHAnsi"/>
          <w:sz w:val="22"/>
          <w:szCs w:val="22"/>
        </w:rPr>
        <w:t xml:space="preserve"> negatively encoding the RPE (P</w:t>
      </w:r>
      <w:r>
        <w:rPr>
          <w:rFonts w:cstheme="minorHAnsi"/>
          <w:sz w:val="22"/>
          <w:szCs w:val="22"/>
          <w:vertAlign w:val="subscript"/>
        </w:rPr>
        <w:t>FWE-peak</w:t>
      </w:r>
      <w:r>
        <w:rPr>
          <w:rFonts w:cstheme="minorHAnsi"/>
          <w:sz w:val="22"/>
          <w:szCs w:val="22"/>
        </w:rPr>
        <w:t>&lt;0.05).</w:t>
      </w:r>
    </w:p>
    <w:p/>
    <w:p>
      <w:pPr>
        <w:jc w:val="center"/>
      </w:pPr>
      <w:r>
        <w:rPr>
          <w:rFonts w:hint="eastAsia"/>
        </w:rPr>
        <w:drawing>
          <wp:inline distT="0" distB="0" distL="114300" distR="114300">
            <wp:extent cx="6011545" cy="1908810"/>
            <wp:effectExtent l="0" t="0" r="8255" b="15240"/>
            <wp:docPr id="5" name="图片 5" descr="sp_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p_fig5"/>
                    <pic:cNvPicPr>
                      <a:picLocks noChangeAspect="1"/>
                    </pic:cNvPicPr>
                  </pic:nvPicPr>
                  <pic:blipFill>
                    <a:blip r:embed="rId14"/>
                    <a:stretch>
                      <a:fillRect/>
                    </a:stretch>
                  </pic:blipFill>
                  <pic:spPr>
                    <a:xfrm>
                      <a:off x="0" y="0"/>
                      <a:ext cx="6011545" cy="1908810"/>
                    </a:xfrm>
                    <a:prstGeom prst="rect">
                      <a:avLst/>
                    </a:prstGeom>
                  </pic:spPr>
                </pic:pic>
              </a:graphicData>
            </a:graphic>
          </wp:inline>
        </w:drawing>
      </w:r>
    </w:p>
    <w:p>
      <w:pPr>
        <w:jc w:val="left"/>
        <w:rPr>
          <w:sz w:val="22"/>
          <w:szCs w:val="28"/>
        </w:rPr>
      </w:pPr>
      <w:r>
        <w:rPr>
          <w:b/>
          <w:sz w:val="22"/>
          <w:szCs w:val="28"/>
        </w:rPr>
        <w:t>Fig. S</w:t>
      </w:r>
      <w:r>
        <w:rPr>
          <w:rFonts w:hint="eastAsia"/>
          <w:b/>
          <w:sz w:val="22"/>
          <w:szCs w:val="28"/>
          <w:lang w:val="en-US" w:eastAsia="zh-CN"/>
        </w:rPr>
        <w:t>7</w:t>
      </w:r>
      <w:r>
        <w:rPr>
          <w:b/>
          <w:sz w:val="22"/>
          <w:szCs w:val="28"/>
        </w:rPr>
        <w:t xml:space="preserve"> Multivariate neural predictive pattern results</w:t>
      </w:r>
      <w:r>
        <w:rPr>
          <w:sz w:val="22"/>
          <w:szCs w:val="28"/>
        </w:rPr>
        <w:t xml:space="preserve">. </w:t>
      </w:r>
      <w:r>
        <w:rPr>
          <w:b/>
          <w:sz w:val="22"/>
          <w:szCs w:val="28"/>
        </w:rPr>
        <w:t>(a)</w:t>
      </w:r>
      <w:r>
        <w:rPr>
          <w:sz w:val="22"/>
          <w:szCs w:val="28"/>
        </w:rPr>
        <w:t xml:space="preserve"> Neural predictive pattern consists of voxels in which activity reliably predicted positive outcome versus negative outcome during learning in another probabilistic reinforcement learning task. The map shows weights that exceed a threshold (p&lt;0.05, FDR corrected based on bootstrapped 10,000 samples) for display only. Hot color indicates positive weights and cold color indicates negative weights. </w:t>
      </w:r>
      <w:r>
        <w:rPr>
          <w:b/>
          <w:sz w:val="22"/>
          <w:szCs w:val="28"/>
        </w:rPr>
        <w:t>(b)</w:t>
      </w:r>
      <w:r>
        <w:rPr>
          <w:sz w:val="22"/>
          <w:szCs w:val="28"/>
        </w:rPr>
        <w:t xml:space="preserve"> ROC plot. The neural outcome-predictive pattern yielded a classification accuracy of 81.58% in a leave-one-subject-out cross-validation procedure.</w:t>
      </w:r>
    </w:p>
    <w:p>
      <w:pPr>
        <w:jc w:val="left"/>
        <w:rPr>
          <w:sz w:val="22"/>
          <w:szCs w:val="28"/>
        </w:rPr>
      </w:pPr>
    </w:p>
    <w:p>
      <w:pPr>
        <w:autoSpaceDE w:val="0"/>
        <w:rPr>
          <w:sz w:val="24"/>
          <w:szCs w:val="24"/>
        </w:rPr>
      </w:pPr>
    </w:p>
    <w:p>
      <w:pPr>
        <w:autoSpaceDE w:val="0"/>
        <w:rPr>
          <w:b/>
          <w:sz w:val="24"/>
          <w:szCs w:val="24"/>
        </w:rPr>
      </w:pPr>
      <w:r>
        <w:rPr>
          <w:b/>
          <w:sz w:val="24"/>
          <w:szCs w:val="24"/>
        </w:rPr>
        <w:t xml:space="preserve">Table </w:t>
      </w:r>
      <w:r>
        <w:rPr>
          <w:rFonts w:hint="eastAsia"/>
          <w:b/>
          <w:sz w:val="24"/>
          <w:szCs w:val="24"/>
          <w:lang w:val="en-US" w:eastAsia="zh-CN"/>
        </w:rPr>
        <w:t>S</w:t>
      </w:r>
      <w:r>
        <w:rPr>
          <w:b/>
          <w:sz w:val="24"/>
          <w:szCs w:val="24"/>
        </w:rPr>
        <w:t xml:space="preserve">1. </w:t>
      </w:r>
      <w:r>
        <w:rPr>
          <w:rFonts w:hint="eastAsia"/>
          <w:b/>
          <w:sz w:val="24"/>
          <w:szCs w:val="24"/>
          <w:lang w:val="en-US" w:eastAsia="zh-CN"/>
        </w:rPr>
        <w:t>Effects of rewarding probability differences and treatment on choice accuracy in transfer phase</w:t>
      </w:r>
    </w:p>
    <w:tbl>
      <w:tblPr>
        <w:tblStyle w:val="10"/>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86"/>
        <w:gridCol w:w="3404"/>
        <w:gridCol w:w="34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3553" w:type="dxa"/>
            <w:tcBorders>
              <w:top w:val="single" w:color="auto" w:sz="4" w:space="0"/>
              <w:bottom w:val="single" w:color="auto" w:sz="4" w:space="0"/>
            </w:tcBorders>
          </w:tcPr>
          <w:p>
            <w:pPr>
              <w:autoSpaceDE w:val="0"/>
              <w:jc w:val="center"/>
              <w:rPr>
                <w:sz w:val="24"/>
                <w:szCs w:val="24"/>
              </w:rPr>
            </w:pPr>
            <w:r>
              <w:rPr>
                <w:sz w:val="24"/>
                <w:szCs w:val="24"/>
              </w:rPr>
              <w:t>Variables</w:t>
            </w:r>
          </w:p>
        </w:tc>
        <w:tc>
          <w:tcPr>
            <w:tcW w:w="3553" w:type="dxa"/>
            <w:tcBorders>
              <w:top w:val="single" w:color="auto" w:sz="4" w:space="0"/>
              <w:bottom w:val="single" w:color="auto" w:sz="4" w:space="0"/>
            </w:tcBorders>
          </w:tcPr>
          <w:p>
            <w:pPr>
              <w:autoSpaceDE w:val="0"/>
              <w:jc w:val="center"/>
              <w:rPr>
                <w:sz w:val="24"/>
                <w:szCs w:val="24"/>
              </w:rPr>
            </w:pPr>
            <w:r>
              <w:rPr>
                <w:rFonts w:hint="default" w:ascii="Calibri" w:hAnsi="Calibri" w:cs="Calibri"/>
                <w:sz w:val="24"/>
                <w:szCs w:val="24"/>
                <w:lang w:val="en-US" w:eastAsia="zh-CN"/>
              </w:rPr>
              <w:t>β</w:t>
            </w:r>
            <w:r>
              <w:rPr>
                <w:sz w:val="24"/>
                <w:szCs w:val="24"/>
              </w:rPr>
              <w:t xml:space="preserve"> estimate</w:t>
            </w:r>
          </w:p>
        </w:tc>
        <w:tc>
          <w:tcPr>
            <w:tcW w:w="3554" w:type="dxa"/>
            <w:tcBorders>
              <w:top w:val="single" w:color="auto" w:sz="4" w:space="0"/>
              <w:bottom w:val="single" w:color="auto" w:sz="4" w:space="0"/>
            </w:tcBorders>
          </w:tcPr>
          <w:p>
            <w:pPr>
              <w:autoSpaceDE w:val="0"/>
              <w:jc w:val="center"/>
              <w:rPr>
                <w:rFonts w:hint="default" w:eastAsiaTheme="minorEastAsia"/>
                <w:sz w:val="24"/>
                <w:szCs w:val="24"/>
                <w:lang w:val="en-US" w:eastAsia="zh-CN"/>
              </w:rPr>
            </w:pPr>
            <w:r>
              <w:rPr>
                <w:sz w:val="24"/>
                <w:szCs w:val="24"/>
              </w:rPr>
              <w:t xml:space="preserve">Bayesian 95% </w:t>
            </w:r>
            <w:r>
              <w:rPr>
                <w:rFonts w:hint="eastAsia"/>
                <w:sz w:val="24"/>
                <w:szCs w:val="24"/>
                <w:lang w:val="en-US" w:eastAsia="zh-CN"/>
              </w:rPr>
              <w:t>HDI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553" w:type="dxa"/>
            <w:tcBorders>
              <w:top w:val="single" w:color="auto" w:sz="4" w:space="0"/>
            </w:tcBorders>
          </w:tcPr>
          <w:p>
            <w:pPr>
              <w:autoSpaceDE w:val="0"/>
              <w:jc w:val="center"/>
              <w:rPr>
                <w:sz w:val="24"/>
                <w:szCs w:val="24"/>
              </w:rPr>
            </w:pPr>
            <w:r>
              <w:rPr>
                <w:sz w:val="24"/>
                <w:szCs w:val="24"/>
              </w:rPr>
              <w:t>Rewarding probability differences</w:t>
            </w:r>
          </w:p>
        </w:tc>
        <w:tc>
          <w:tcPr>
            <w:tcW w:w="3553" w:type="dxa"/>
            <w:tcBorders>
              <w:top w:val="single" w:color="auto" w:sz="4" w:space="0"/>
            </w:tcBorders>
          </w:tcPr>
          <w:p>
            <w:pPr>
              <w:autoSpaceDE w:val="0"/>
              <w:jc w:val="center"/>
              <w:rPr>
                <w:sz w:val="24"/>
                <w:szCs w:val="24"/>
              </w:rPr>
            </w:pPr>
            <w:r>
              <w:rPr>
                <w:sz w:val="24"/>
                <w:szCs w:val="24"/>
              </w:rPr>
              <w:t>0.06</w:t>
            </w:r>
          </w:p>
        </w:tc>
        <w:tc>
          <w:tcPr>
            <w:tcW w:w="3554" w:type="dxa"/>
            <w:tcBorders>
              <w:top w:val="single" w:color="auto" w:sz="4" w:space="0"/>
            </w:tcBorders>
          </w:tcPr>
          <w:p>
            <w:pPr>
              <w:autoSpaceDE w:val="0"/>
              <w:jc w:val="center"/>
              <w:rPr>
                <w:sz w:val="24"/>
                <w:szCs w:val="24"/>
              </w:rPr>
            </w:pPr>
            <w:r>
              <w:rPr>
                <w:sz w:val="24"/>
                <w:szCs w:val="24"/>
              </w:rPr>
              <w:t>[0.05, 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3553" w:type="dxa"/>
          </w:tcPr>
          <w:p>
            <w:pPr>
              <w:autoSpaceDE w:val="0"/>
              <w:jc w:val="center"/>
              <w:rPr>
                <w:sz w:val="24"/>
                <w:szCs w:val="24"/>
              </w:rPr>
            </w:pPr>
            <w:r>
              <w:rPr>
                <w:sz w:val="24"/>
                <w:szCs w:val="24"/>
              </w:rPr>
              <w:t>Treatment</w:t>
            </w:r>
          </w:p>
        </w:tc>
        <w:tc>
          <w:tcPr>
            <w:tcW w:w="3553" w:type="dxa"/>
          </w:tcPr>
          <w:p>
            <w:pPr>
              <w:autoSpaceDE w:val="0"/>
              <w:jc w:val="center"/>
              <w:rPr>
                <w:sz w:val="24"/>
                <w:szCs w:val="24"/>
              </w:rPr>
            </w:pPr>
            <w:r>
              <w:rPr>
                <w:sz w:val="24"/>
                <w:szCs w:val="24"/>
              </w:rPr>
              <w:t>-0.06</w:t>
            </w:r>
          </w:p>
        </w:tc>
        <w:tc>
          <w:tcPr>
            <w:tcW w:w="3554" w:type="dxa"/>
          </w:tcPr>
          <w:p>
            <w:pPr>
              <w:autoSpaceDE w:val="0"/>
              <w:jc w:val="center"/>
              <w:rPr>
                <w:sz w:val="24"/>
                <w:szCs w:val="24"/>
              </w:rPr>
            </w:pPr>
            <w:r>
              <w:rPr>
                <w:sz w:val="24"/>
                <w:szCs w:val="24"/>
              </w:rPr>
              <w:t>[-0.14, 0.03]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3553" w:type="dxa"/>
          </w:tcPr>
          <w:p>
            <w:pPr>
              <w:autoSpaceDE w:val="0"/>
              <w:jc w:val="center"/>
              <w:rPr>
                <w:sz w:val="24"/>
                <w:szCs w:val="24"/>
              </w:rPr>
            </w:pPr>
            <w:r>
              <w:rPr>
                <w:sz w:val="24"/>
                <w:szCs w:val="24"/>
              </w:rPr>
              <w:t>Rewarding probability differences*Treatment</w:t>
            </w:r>
          </w:p>
        </w:tc>
        <w:tc>
          <w:tcPr>
            <w:tcW w:w="3553" w:type="dxa"/>
          </w:tcPr>
          <w:p>
            <w:pPr>
              <w:autoSpaceDE w:val="0"/>
              <w:jc w:val="center"/>
              <w:rPr>
                <w:sz w:val="24"/>
                <w:szCs w:val="24"/>
              </w:rPr>
            </w:pPr>
            <w:r>
              <w:rPr>
                <w:sz w:val="24"/>
                <w:szCs w:val="24"/>
              </w:rPr>
              <w:t>0.00</w:t>
            </w:r>
          </w:p>
        </w:tc>
        <w:tc>
          <w:tcPr>
            <w:tcW w:w="3554" w:type="dxa"/>
          </w:tcPr>
          <w:p>
            <w:pPr>
              <w:autoSpaceDE w:val="0"/>
              <w:jc w:val="center"/>
              <w:rPr>
                <w:sz w:val="24"/>
                <w:szCs w:val="24"/>
              </w:rPr>
            </w:pPr>
            <w:r>
              <w:rPr>
                <w:sz w:val="24"/>
                <w:szCs w:val="24"/>
              </w:rPr>
              <w:t>[-0.01, 0.02]</w:t>
            </w:r>
          </w:p>
        </w:tc>
      </w:tr>
    </w:tbl>
    <w:p>
      <w:pPr>
        <w:autoSpaceDE w:val="0"/>
        <w:rPr>
          <w:sz w:val="24"/>
          <w:szCs w:val="24"/>
        </w:rPr>
      </w:pPr>
    </w:p>
    <w:p>
      <w:pPr>
        <w:autoSpaceDE w:val="0"/>
        <w:rPr>
          <w:b/>
          <w:sz w:val="24"/>
          <w:szCs w:val="24"/>
        </w:rPr>
      </w:pPr>
    </w:p>
    <w:p>
      <w:pPr>
        <w:autoSpaceDE w:val="0"/>
        <w:rPr>
          <w:rFonts w:hint="default" w:eastAsiaTheme="minorEastAsia"/>
          <w:b/>
          <w:sz w:val="24"/>
          <w:szCs w:val="24"/>
          <w:lang w:val="en-US" w:eastAsia="zh-CN"/>
        </w:rPr>
      </w:pPr>
      <w:r>
        <w:rPr>
          <w:b/>
          <w:sz w:val="24"/>
          <w:szCs w:val="24"/>
        </w:rPr>
        <w:t xml:space="preserve">Table </w:t>
      </w:r>
      <w:r>
        <w:rPr>
          <w:rFonts w:hint="eastAsia"/>
          <w:b/>
          <w:sz w:val="24"/>
          <w:szCs w:val="24"/>
          <w:lang w:val="en-US" w:eastAsia="zh-CN"/>
        </w:rPr>
        <w:t>S</w:t>
      </w:r>
      <w:r>
        <w:rPr>
          <w:b/>
          <w:sz w:val="24"/>
          <w:szCs w:val="24"/>
        </w:rPr>
        <w:t xml:space="preserve">2. </w:t>
      </w:r>
      <w:r>
        <w:rPr>
          <w:rFonts w:hint="eastAsia"/>
          <w:b/>
          <w:sz w:val="24"/>
          <w:szCs w:val="24"/>
          <w:lang w:val="en-US" w:eastAsia="zh-CN"/>
        </w:rPr>
        <w:t>Effects of rewarding probability differences and treatment on response time in transfer phase</w:t>
      </w:r>
    </w:p>
    <w:tbl>
      <w:tblPr>
        <w:tblStyle w:val="10"/>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86"/>
        <w:gridCol w:w="3404"/>
        <w:gridCol w:w="34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3553" w:type="dxa"/>
            <w:tcBorders>
              <w:top w:val="single" w:color="auto" w:sz="4" w:space="0"/>
              <w:bottom w:val="single" w:color="auto" w:sz="4" w:space="0"/>
            </w:tcBorders>
          </w:tcPr>
          <w:p>
            <w:pPr>
              <w:autoSpaceDE w:val="0"/>
              <w:jc w:val="center"/>
              <w:rPr>
                <w:sz w:val="24"/>
                <w:szCs w:val="24"/>
              </w:rPr>
            </w:pPr>
            <w:r>
              <w:rPr>
                <w:sz w:val="24"/>
                <w:szCs w:val="24"/>
              </w:rPr>
              <w:t>Variables</w:t>
            </w:r>
          </w:p>
        </w:tc>
        <w:tc>
          <w:tcPr>
            <w:tcW w:w="3553" w:type="dxa"/>
            <w:tcBorders>
              <w:top w:val="single" w:color="auto" w:sz="4" w:space="0"/>
              <w:bottom w:val="single" w:color="auto" w:sz="4" w:space="0"/>
            </w:tcBorders>
          </w:tcPr>
          <w:p>
            <w:pPr>
              <w:autoSpaceDE w:val="0"/>
              <w:jc w:val="center"/>
              <w:rPr>
                <w:sz w:val="24"/>
                <w:szCs w:val="24"/>
              </w:rPr>
            </w:pPr>
            <w:r>
              <w:rPr>
                <w:rFonts w:hint="default" w:ascii="Calibri" w:hAnsi="Calibri" w:cs="Calibri"/>
                <w:sz w:val="24"/>
                <w:szCs w:val="24"/>
                <w:lang w:val="en-US" w:eastAsia="zh-CN"/>
              </w:rPr>
              <w:t>β</w:t>
            </w:r>
            <w:r>
              <w:rPr>
                <w:sz w:val="24"/>
                <w:szCs w:val="24"/>
              </w:rPr>
              <w:t xml:space="preserve"> estimate</w:t>
            </w:r>
          </w:p>
        </w:tc>
        <w:tc>
          <w:tcPr>
            <w:tcW w:w="3554" w:type="dxa"/>
            <w:tcBorders>
              <w:top w:val="single" w:color="auto" w:sz="4" w:space="0"/>
              <w:bottom w:val="single" w:color="auto" w:sz="4" w:space="0"/>
            </w:tcBorders>
          </w:tcPr>
          <w:p>
            <w:pPr>
              <w:autoSpaceDE w:val="0"/>
              <w:jc w:val="center"/>
              <w:rPr>
                <w:rFonts w:hint="default" w:eastAsiaTheme="minorEastAsia"/>
                <w:sz w:val="24"/>
                <w:szCs w:val="24"/>
                <w:lang w:val="en-US" w:eastAsia="zh-CN"/>
              </w:rPr>
            </w:pPr>
            <w:r>
              <w:rPr>
                <w:sz w:val="24"/>
                <w:szCs w:val="24"/>
              </w:rPr>
              <w:t xml:space="preserve">Bayesian 95% </w:t>
            </w:r>
            <w:r>
              <w:rPr>
                <w:rFonts w:hint="eastAsia"/>
                <w:sz w:val="24"/>
                <w:szCs w:val="24"/>
                <w:lang w:val="en-US" w:eastAsia="zh-CN"/>
              </w:rPr>
              <w:t>HDI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553" w:type="dxa"/>
            <w:tcBorders>
              <w:top w:val="single" w:color="auto" w:sz="4" w:space="0"/>
            </w:tcBorders>
          </w:tcPr>
          <w:p>
            <w:pPr>
              <w:autoSpaceDE w:val="0"/>
              <w:jc w:val="center"/>
              <w:rPr>
                <w:sz w:val="24"/>
                <w:szCs w:val="24"/>
              </w:rPr>
            </w:pPr>
            <w:r>
              <w:rPr>
                <w:sz w:val="24"/>
                <w:szCs w:val="24"/>
              </w:rPr>
              <w:t>Rewarding probability differences</w:t>
            </w:r>
          </w:p>
        </w:tc>
        <w:tc>
          <w:tcPr>
            <w:tcW w:w="3553" w:type="dxa"/>
            <w:tcBorders>
              <w:top w:val="single" w:color="auto" w:sz="4" w:space="0"/>
            </w:tcBorders>
          </w:tcPr>
          <w:p>
            <w:pPr>
              <w:autoSpaceDE w:val="0"/>
              <w:jc w:val="center"/>
              <w:rPr>
                <w:sz w:val="24"/>
                <w:szCs w:val="24"/>
              </w:rPr>
            </w:pPr>
            <w:r>
              <w:rPr>
                <w:sz w:val="24"/>
                <w:szCs w:val="24"/>
              </w:rPr>
              <w:t>-16.29</w:t>
            </w:r>
          </w:p>
        </w:tc>
        <w:tc>
          <w:tcPr>
            <w:tcW w:w="3554" w:type="dxa"/>
            <w:tcBorders>
              <w:top w:val="single" w:color="auto" w:sz="4" w:space="0"/>
            </w:tcBorders>
          </w:tcPr>
          <w:p>
            <w:pPr>
              <w:autoSpaceDE w:val="0"/>
              <w:jc w:val="center"/>
              <w:rPr>
                <w:sz w:val="24"/>
                <w:szCs w:val="24"/>
              </w:rPr>
            </w:pPr>
            <w:r>
              <w:rPr>
                <w:sz w:val="24"/>
                <w:szCs w:val="24"/>
              </w:rPr>
              <w:t>[-20.68, -12.16]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13" w:hRule="atLeast"/>
        </w:trPr>
        <w:tc>
          <w:tcPr>
            <w:tcW w:w="3553" w:type="dxa"/>
          </w:tcPr>
          <w:p>
            <w:pPr>
              <w:autoSpaceDE w:val="0"/>
              <w:jc w:val="center"/>
              <w:rPr>
                <w:sz w:val="24"/>
                <w:szCs w:val="24"/>
              </w:rPr>
            </w:pPr>
            <w:r>
              <w:rPr>
                <w:sz w:val="24"/>
                <w:szCs w:val="24"/>
              </w:rPr>
              <w:t>Treatment</w:t>
            </w:r>
          </w:p>
        </w:tc>
        <w:tc>
          <w:tcPr>
            <w:tcW w:w="3553" w:type="dxa"/>
          </w:tcPr>
          <w:p>
            <w:pPr>
              <w:autoSpaceDE w:val="0"/>
              <w:jc w:val="center"/>
              <w:rPr>
                <w:sz w:val="24"/>
                <w:szCs w:val="24"/>
              </w:rPr>
            </w:pPr>
            <w:r>
              <w:rPr>
                <w:sz w:val="24"/>
                <w:szCs w:val="24"/>
              </w:rPr>
              <w:t>-72.20</w:t>
            </w:r>
          </w:p>
        </w:tc>
        <w:tc>
          <w:tcPr>
            <w:tcW w:w="3554" w:type="dxa"/>
          </w:tcPr>
          <w:p>
            <w:pPr>
              <w:autoSpaceDE w:val="0"/>
              <w:jc w:val="center"/>
              <w:rPr>
                <w:sz w:val="24"/>
                <w:szCs w:val="24"/>
              </w:rPr>
            </w:pPr>
            <w:r>
              <w:rPr>
                <w:sz w:val="24"/>
                <w:szCs w:val="24"/>
              </w:rPr>
              <w:t>[-146.62, 5.55]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3553" w:type="dxa"/>
          </w:tcPr>
          <w:p>
            <w:pPr>
              <w:autoSpaceDE w:val="0"/>
              <w:jc w:val="center"/>
              <w:rPr>
                <w:sz w:val="24"/>
                <w:szCs w:val="24"/>
              </w:rPr>
            </w:pPr>
            <w:r>
              <w:rPr>
                <w:sz w:val="24"/>
                <w:szCs w:val="24"/>
              </w:rPr>
              <w:t>Rewarding probability differences*Treatment</w:t>
            </w:r>
          </w:p>
        </w:tc>
        <w:tc>
          <w:tcPr>
            <w:tcW w:w="3553" w:type="dxa"/>
          </w:tcPr>
          <w:p>
            <w:pPr>
              <w:autoSpaceDE w:val="0"/>
              <w:jc w:val="center"/>
              <w:rPr>
                <w:sz w:val="24"/>
                <w:szCs w:val="24"/>
              </w:rPr>
            </w:pPr>
            <w:r>
              <w:rPr>
                <w:sz w:val="24"/>
                <w:szCs w:val="24"/>
              </w:rPr>
              <w:t>4.97</w:t>
            </w:r>
          </w:p>
        </w:tc>
        <w:tc>
          <w:tcPr>
            <w:tcW w:w="3554" w:type="dxa"/>
          </w:tcPr>
          <w:p>
            <w:pPr>
              <w:autoSpaceDE w:val="0"/>
              <w:jc w:val="center"/>
              <w:rPr>
                <w:sz w:val="24"/>
                <w:szCs w:val="24"/>
              </w:rPr>
            </w:pPr>
            <w:r>
              <w:rPr>
                <w:sz w:val="24"/>
                <w:szCs w:val="24"/>
              </w:rPr>
              <w:t>[-1.01, 11.01]</w:t>
            </w:r>
          </w:p>
        </w:tc>
      </w:tr>
    </w:tbl>
    <w:p>
      <w:pPr>
        <w:autoSpaceDE w:val="0"/>
        <w:rPr>
          <w:sz w:val="24"/>
          <w:szCs w:val="24"/>
        </w:rPr>
      </w:pPr>
    </w:p>
    <w:p>
      <w:pPr>
        <w:jc w:val="left"/>
        <w:rPr>
          <w:sz w:val="22"/>
          <w:szCs w:val="28"/>
        </w:rPr>
      </w:pPr>
    </w:p>
    <w:p/>
    <w:p>
      <w:pPr>
        <w:rPr>
          <w:b/>
          <w:bCs/>
          <w:color w:val="000000"/>
          <w:sz w:val="24"/>
          <w:szCs w:val="24"/>
        </w:rPr>
      </w:pPr>
      <w:r>
        <w:rPr>
          <w:b/>
          <w:bCs/>
          <w:color w:val="000000"/>
          <w:sz w:val="24"/>
          <w:szCs w:val="24"/>
        </w:rPr>
        <w:t>Table S</w:t>
      </w:r>
      <w:r>
        <w:rPr>
          <w:rFonts w:hint="eastAsia"/>
          <w:b/>
          <w:bCs/>
          <w:color w:val="000000"/>
          <w:sz w:val="24"/>
          <w:szCs w:val="24"/>
          <w:lang w:val="en-US" w:eastAsia="zh-CN"/>
        </w:rPr>
        <w:t>3</w:t>
      </w:r>
      <w:r>
        <w:rPr>
          <w:b/>
          <w:bCs/>
          <w:color w:val="000000"/>
          <w:sz w:val="24"/>
          <w:szCs w:val="24"/>
        </w:rPr>
        <w:t xml:space="preserve">. </w:t>
      </w:r>
      <w:r>
        <w:rPr>
          <w:rFonts w:cstheme="minorHAnsi"/>
          <w:b/>
          <w:sz w:val="24"/>
          <w:szCs w:val="24"/>
        </w:rPr>
        <w:t>Reward prediction error related brain regions in the first fMRI run</w:t>
      </w:r>
      <w:r>
        <w:rPr>
          <w:b/>
          <w:bCs/>
          <w:color w:val="000000"/>
          <w:sz w:val="24"/>
          <w:szCs w:val="24"/>
        </w:rPr>
        <w:t xml:space="preserve"> (</w:t>
      </w:r>
      <w:r>
        <w:rPr>
          <w:b/>
          <w:bCs/>
          <w:i/>
          <w:iCs/>
          <w:color w:val="000000"/>
          <w:sz w:val="24"/>
          <w:szCs w:val="24"/>
        </w:rPr>
        <w:t>p</w:t>
      </w:r>
      <w:r>
        <w:rPr>
          <w:b/>
          <w:bCs/>
          <w:color w:val="000000"/>
          <w:sz w:val="24"/>
          <w:szCs w:val="24"/>
          <w:vertAlign w:val="subscript"/>
        </w:rPr>
        <w:t>FWE-peak</w:t>
      </w:r>
      <w:r>
        <w:rPr>
          <w:b/>
          <w:bCs/>
          <w:color w:val="000000"/>
          <w:sz w:val="24"/>
          <w:szCs w:val="24"/>
        </w:rPr>
        <w:t xml:space="preserve">&lt;0.05) </w:t>
      </w:r>
    </w:p>
    <w:tbl>
      <w:tblPr>
        <w:tblStyle w:val="9"/>
        <w:tblW w:w="5000" w:type="pct"/>
        <w:tblInd w:w="0" w:type="dxa"/>
        <w:tblLayout w:type="autofit"/>
        <w:tblCellMar>
          <w:top w:w="0" w:type="dxa"/>
          <w:left w:w="108" w:type="dxa"/>
          <w:bottom w:w="0" w:type="dxa"/>
          <w:right w:w="108" w:type="dxa"/>
        </w:tblCellMar>
      </w:tblPr>
      <w:tblGrid>
        <w:gridCol w:w="2821"/>
        <w:gridCol w:w="891"/>
        <w:gridCol w:w="2860"/>
        <w:gridCol w:w="507"/>
        <w:gridCol w:w="507"/>
        <w:gridCol w:w="891"/>
        <w:gridCol w:w="891"/>
        <w:gridCol w:w="928"/>
      </w:tblGrid>
      <w:tr>
        <w:tblPrEx>
          <w:tblCellMar>
            <w:top w:w="0" w:type="dxa"/>
            <w:left w:w="108" w:type="dxa"/>
            <w:bottom w:w="0" w:type="dxa"/>
            <w:right w:w="108" w:type="dxa"/>
          </w:tblCellMar>
        </w:tblPrEx>
        <w:trPr>
          <w:trHeight w:val="270" w:hRule="atLeast"/>
        </w:trPr>
        <w:tc>
          <w:tcPr>
            <w:tcW w:w="1228" w:type="pct"/>
            <w:tcBorders>
              <w:top w:val="single" w:color="000000" w:sz="8" w:space="0"/>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c>
          <w:tcPr>
            <w:tcW w:w="478" w:type="pct"/>
            <w:tcBorders>
              <w:top w:val="single" w:color="000000" w:sz="8" w:space="0"/>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c>
          <w:tcPr>
            <w:tcW w:w="1859" w:type="pct"/>
            <w:gridSpan w:val="3"/>
            <w:tcBorders>
              <w:top w:val="single" w:color="000000" w:sz="8" w:space="0"/>
              <w:left w:val="nil"/>
              <w:bottom w:val="nil"/>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0"/>
                <w:szCs w:val="20"/>
              </w:rPr>
            </w:pPr>
            <w:r>
              <w:rPr>
                <w:rFonts w:ascii="Calibri" w:hAnsi="Calibri" w:eastAsia="宋体" w:cs="Calibri"/>
                <w:b/>
                <w:bCs/>
                <w:color w:val="000000"/>
                <w:kern w:val="0"/>
                <w:sz w:val="20"/>
                <w:szCs w:val="20"/>
              </w:rPr>
              <w:t>MNI coordinates</w:t>
            </w:r>
          </w:p>
        </w:tc>
        <w:tc>
          <w:tcPr>
            <w:tcW w:w="478" w:type="pct"/>
            <w:tcBorders>
              <w:top w:val="single" w:color="000000" w:sz="8" w:space="0"/>
              <w:left w:val="nil"/>
              <w:bottom w:val="nil"/>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0"/>
                <w:szCs w:val="20"/>
              </w:rPr>
            </w:pPr>
          </w:p>
        </w:tc>
        <w:tc>
          <w:tcPr>
            <w:tcW w:w="478" w:type="pct"/>
            <w:tcBorders>
              <w:top w:val="single" w:color="000000" w:sz="8" w:space="0"/>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478" w:type="pct"/>
            <w:tcBorders>
              <w:top w:val="single" w:color="000000" w:sz="8" w:space="0"/>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r>
      <w:tr>
        <w:tblPrEx>
          <w:tblCellMar>
            <w:top w:w="0" w:type="dxa"/>
            <w:left w:w="108" w:type="dxa"/>
            <w:bottom w:w="0" w:type="dxa"/>
            <w:right w:w="108" w:type="dxa"/>
          </w:tblCellMar>
        </w:tblPrEx>
        <w:trPr>
          <w:trHeight w:val="390" w:hRule="atLeast"/>
        </w:trPr>
        <w:tc>
          <w:tcPr>
            <w:tcW w:w="122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Region</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side</w:t>
            </w:r>
          </w:p>
        </w:tc>
        <w:tc>
          <w:tcPr>
            <w:tcW w:w="1434"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x</w:t>
            </w:r>
          </w:p>
        </w:tc>
        <w:tc>
          <w:tcPr>
            <w:tcW w:w="212"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y</w:t>
            </w:r>
          </w:p>
        </w:tc>
        <w:tc>
          <w:tcPr>
            <w:tcW w:w="212"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z</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T</w:t>
            </w:r>
            <w:r>
              <w:rPr>
                <w:rFonts w:ascii="Calibri" w:hAnsi="Calibri" w:eastAsia="宋体" w:cs="Calibri"/>
                <w:b/>
                <w:bCs/>
                <w:color w:val="000000"/>
                <w:kern w:val="0"/>
                <w:sz w:val="22"/>
                <w:szCs w:val="22"/>
                <w:vertAlign w:val="subscript"/>
              </w:rPr>
              <w:t>(60)</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k</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b/>
                <w:bCs/>
                <w:color w:val="000000"/>
                <w:kern w:val="0"/>
                <w:sz w:val="22"/>
                <w:szCs w:val="22"/>
              </w:rPr>
            </w:pPr>
            <w:r>
              <w:rPr>
                <w:rFonts w:ascii="Calibri" w:hAnsi="Calibri" w:eastAsia="宋体" w:cs="Calibri"/>
                <w:b/>
                <w:bCs/>
                <w:color w:val="000000"/>
                <w:kern w:val="0"/>
                <w:sz w:val="22"/>
                <w:szCs w:val="22"/>
              </w:rPr>
              <w:t>p</w:t>
            </w:r>
            <w:r>
              <w:rPr>
                <w:rFonts w:ascii="Calibri" w:hAnsi="Calibri" w:eastAsia="宋体" w:cs="Calibri"/>
                <w:b/>
                <w:bCs/>
                <w:color w:val="000000"/>
                <w:kern w:val="0"/>
                <w:sz w:val="22"/>
                <w:szCs w:val="22"/>
                <w:vertAlign w:val="subscript"/>
              </w:rPr>
              <w:t>FWE-peak</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rPr>
                <w:rFonts w:ascii="Calibri" w:hAnsi="Calibri" w:eastAsia="宋体" w:cs="Calibri"/>
                <w:i/>
                <w:iCs/>
                <w:color w:val="000000"/>
                <w:kern w:val="0"/>
                <w:sz w:val="22"/>
                <w:szCs w:val="22"/>
              </w:rPr>
            </w:pPr>
            <w:r>
              <w:rPr>
                <w:rFonts w:ascii="Calibri" w:hAnsi="Calibri" w:eastAsia="宋体" w:cs="Calibri"/>
                <w:i/>
                <w:iCs/>
                <w:color w:val="000000"/>
                <w:kern w:val="0"/>
                <w:sz w:val="22"/>
                <w:szCs w:val="22"/>
              </w:rPr>
              <w:t xml:space="preserve">--Positively encoded RPE </w:t>
            </w:r>
          </w:p>
        </w:tc>
        <w:tc>
          <w:tcPr>
            <w:tcW w:w="478" w:type="pct"/>
            <w:tcBorders>
              <w:top w:val="nil"/>
              <w:left w:val="nil"/>
              <w:bottom w:val="nil"/>
              <w:right w:val="nil"/>
            </w:tcBorders>
            <w:shd w:val="clear" w:color="auto" w:fill="auto"/>
            <w:noWrap/>
            <w:vAlign w:val="center"/>
          </w:tcPr>
          <w:p>
            <w:pPr>
              <w:widowControl/>
              <w:spacing w:after="160" w:line="256" w:lineRule="auto"/>
              <w:rPr>
                <w:rFonts w:ascii="Calibri" w:hAnsi="Calibri" w:eastAsia="宋体" w:cs="Calibri"/>
                <w:i/>
                <w:iCs/>
                <w:color w:val="000000"/>
                <w:kern w:val="0"/>
                <w:sz w:val="22"/>
                <w:szCs w:val="22"/>
              </w:rPr>
            </w:pP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Superior medial frontal gyrus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10.87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19927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r>
              <w:rPr>
                <w:rFonts w:ascii="Calibri" w:hAnsi="Calibri" w:eastAsia="宋体" w:cs="Calibri"/>
                <w:color w:val="000000"/>
                <w:kern w:val="0"/>
                <w:sz w:val="22"/>
                <w:szCs w:val="22"/>
              </w:rPr>
              <w:t xml:space="preserve">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Middle cingulate cortex</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10.71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r>
              <w:rPr>
                <w:rFonts w:ascii="Calibri" w:hAnsi="Calibri" w:eastAsia="宋体" w:cs="Calibri"/>
                <w:color w:val="000000"/>
                <w:kern w:val="0"/>
                <w:sz w:val="22"/>
                <w:szCs w:val="22"/>
              </w:rPr>
              <w:t xml:space="preserve">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Insula</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10.64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Thalamus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7.83</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Thalamus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7.25</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Thalamus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6.01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0.002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Thalamus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0.040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Caudate</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7.21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385</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Caudate</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7.71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Pallidum</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6.77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Pallidum</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5.69</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19</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0.005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Pallidum</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0.034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Putamen</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4.99</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0.045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Inferior parietal cortex</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9.2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3705</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Inferior parietal cortex</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9.11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Inferior parietal cortex</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9.03</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Superior parietal cortex</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Supramarginal</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9.06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3686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Supramarginal</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8.41</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Middle temporal gyrus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7.15</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404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Middle temporal gyrus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5.37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0.014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Middle temporal gyrus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97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0.003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Inferior temporal gyrus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5.66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0.005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Inferior temporal gyrus</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-38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5.13</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0.029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Fusiform</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6.13</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217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0.001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Fusiform</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5.46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0.010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Fusiform</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5.04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0.038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left"/>
              <w:rPr>
                <w:rFonts w:ascii="Calibri" w:hAnsi="Calibri" w:eastAsia="宋体" w:cs="Calibri"/>
                <w:color w:val="000000"/>
                <w:kern w:val="0"/>
                <w:sz w:val="22"/>
                <w:szCs w:val="22"/>
              </w:rPr>
            </w:pPr>
            <w:r>
              <w:rPr>
                <w:rFonts w:ascii="Calibri" w:hAnsi="Calibri" w:eastAsia="宋体" w:cs="Calibri"/>
                <w:color w:val="000000"/>
                <w:kern w:val="0"/>
                <w:sz w:val="22"/>
                <w:szCs w:val="22"/>
              </w:rPr>
              <w:t>Calcarine</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L</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-86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5.48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0.009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rPr>
                <w:rFonts w:ascii="Calibri" w:hAnsi="Calibri" w:eastAsia="宋体" w:cs="Calibri"/>
                <w:i/>
                <w:iCs/>
                <w:color w:val="000000"/>
                <w:kern w:val="0"/>
                <w:sz w:val="22"/>
                <w:szCs w:val="22"/>
              </w:rPr>
            </w:pPr>
            <w:r>
              <w:rPr>
                <w:rFonts w:ascii="Calibri" w:hAnsi="Calibri" w:eastAsia="宋体" w:cs="Calibri"/>
                <w:i/>
                <w:iCs/>
                <w:color w:val="000000"/>
                <w:kern w:val="0"/>
                <w:sz w:val="22"/>
                <w:szCs w:val="22"/>
              </w:rPr>
              <w:t xml:space="preserve">--Negatively encoded RPE </w:t>
            </w:r>
          </w:p>
        </w:tc>
        <w:tc>
          <w:tcPr>
            <w:tcW w:w="478" w:type="pct"/>
            <w:tcBorders>
              <w:top w:val="nil"/>
              <w:left w:val="nil"/>
              <w:bottom w:val="nil"/>
              <w:right w:val="nil"/>
            </w:tcBorders>
            <w:shd w:val="clear" w:color="auto" w:fill="auto"/>
            <w:noWrap/>
            <w:vAlign w:val="center"/>
          </w:tcPr>
          <w:p>
            <w:pPr>
              <w:widowControl/>
              <w:spacing w:after="160" w:line="256" w:lineRule="auto"/>
              <w:rPr>
                <w:rFonts w:ascii="Calibri" w:hAnsi="Calibri" w:eastAsia="宋体" w:cs="Calibri"/>
                <w:i/>
                <w:iCs/>
                <w:color w:val="000000"/>
                <w:kern w:val="0"/>
                <w:sz w:val="22"/>
                <w:szCs w:val="22"/>
              </w:rPr>
            </w:pP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Times New Roman" w:hAnsi="Times New Roman" w:eastAsia="Times New Roman" w:cs="Times New Roman"/>
                <w:kern w:val="0"/>
                <w:sz w:val="20"/>
                <w:szCs w:val="20"/>
              </w:rPr>
            </w:pPr>
          </w:p>
        </w:tc>
        <w:tc>
          <w:tcPr>
            <w:tcW w:w="212" w:type="pct"/>
            <w:tcBorders>
              <w:top w:val="nil"/>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c>
          <w:tcPr>
            <w:tcW w:w="212" w:type="pct"/>
            <w:tcBorders>
              <w:top w:val="nil"/>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c>
          <w:tcPr>
            <w:tcW w:w="478" w:type="pct"/>
            <w:tcBorders>
              <w:top w:val="nil"/>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c>
          <w:tcPr>
            <w:tcW w:w="478" w:type="pct"/>
            <w:tcBorders>
              <w:top w:val="nil"/>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c>
          <w:tcPr>
            <w:tcW w:w="478" w:type="pct"/>
            <w:tcBorders>
              <w:top w:val="nil"/>
              <w:left w:val="nil"/>
              <w:bottom w:val="nil"/>
              <w:right w:val="nil"/>
            </w:tcBorders>
            <w:shd w:val="clear" w:color="auto" w:fill="auto"/>
            <w:noWrap/>
            <w:vAlign w:val="center"/>
          </w:tcPr>
          <w:p>
            <w:pPr>
              <w:widowControl/>
              <w:spacing w:after="160" w:line="256" w:lineRule="auto"/>
              <w:jc w:val="left"/>
              <w:rPr>
                <w:rFonts w:ascii="Times New Roman" w:hAnsi="Times New Roman" w:eastAsia="Times New Roman" w:cs="Times New Roman"/>
                <w:kern w:val="0"/>
                <w:sz w:val="20"/>
                <w:szCs w:val="20"/>
              </w:rPr>
            </w:pP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Precentral</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70</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152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hint="eastAsia" w:ascii="Calibri" w:hAnsi="Calibri" w:eastAsia="宋体" w:cs="Calibri"/>
                <w:color w:val="000000"/>
                <w:kern w:val="0"/>
                <w:sz w:val="22"/>
                <w:szCs w:val="22"/>
              </w:rPr>
              <w:t>&lt;</w:t>
            </w:r>
            <w:r>
              <w:rPr>
                <w:rFonts w:ascii="Calibri" w:hAnsi="Calibri" w:eastAsia="宋体" w:cs="Calibri"/>
                <w:color w:val="000000"/>
                <w:kern w:val="0"/>
                <w:sz w:val="22"/>
                <w:szCs w:val="22"/>
              </w:rPr>
              <w:t>0.00</w:t>
            </w:r>
            <w:r>
              <w:rPr>
                <w:rFonts w:hint="eastAsia" w:ascii="Calibri" w:hAnsi="Calibri" w:eastAsia="宋体" w:cs="Calibri"/>
                <w:color w:val="000000"/>
                <w:kern w:val="0"/>
                <w:sz w:val="22"/>
                <w:szCs w:val="22"/>
              </w:rPr>
              <w:t>1</w:t>
            </w:r>
            <w:r>
              <w:rPr>
                <w:rFonts w:ascii="Calibri" w:hAnsi="Calibri" w:eastAsia="宋体" w:cs="Calibri"/>
                <w:color w:val="000000"/>
                <w:kern w:val="0"/>
                <w:sz w:val="22"/>
                <w:szCs w:val="22"/>
              </w:rPr>
              <w:t xml:space="preserve">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Precentral</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42</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-18</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6.18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0.001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Precentral</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26</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-20</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74</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5.27</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0.019 </w:t>
            </w:r>
          </w:p>
        </w:tc>
      </w:tr>
      <w:tr>
        <w:tblPrEx>
          <w:tblCellMar>
            <w:top w:w="0" w:type="dxa"/>
            <w:left w:w="108" w:type="dxa"/>
            <w:bottom w:w="0" w:type="dxa"/>
            <w:right w:w="108" w:type="dxa"/>
          </w:tblCellMar>
        </w:tblPrEx>
        <w:trPr>
          <w:trHeight w:val="300" w:hRule="atLeast"/>
        </w:trPr>
        <w:tc>
          <w:tcPr>
            <w:tcW w:w="122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Precentral</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-14</w:t>
            </w:r>
          </w:p>
        </w:tc>
        <w:tc>
          <w:tcPr>
            <w:tcW w:w="212"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58</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5.36</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12</w:t>
            </w:r>
          </w:p>
        </w:tc>
        <w:tc>
          <w:tcPr>
            <w:tcW w:w="478" w:type="pct"/>
            <w:tcBorders>
              <w:top w:val="nil"/>
              <w:left w:val="nil"/>
              <w:bottom w:val="nil"/>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0.014 </w:t>
            </w:r>
          </w:p>
        </w:tc>
      </w:tr>
      <w:tr>
        <w:tblPrEx>
          <w:tblCellMar>
            <w:top w:w="0" w:type="dxa"/>
            <w:left w:w="108" w:type="dxa"/>
            <w:bottom w:w="0" w:type="dxa"/>
            <w:right w:w="108" w:type="dxa"/>
          </w:tblCellMar>
        </w:tblPrEx>
        <w:trPr>
          <w:trHeight w:val="315" w:hRule="atLeast"/>
        </w:trPr>
        <w:tc>
          <w:tcPr>
            <w:tcW w:w="122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Supplementary motor area</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R</w:t>
            </w:r>
          </w:p>
        </w:tc>
        <w:tc>
          <w:tcPr>
            <w:tcW w:w="1434"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w:t>
            </w:r>
          </w:p>
        </w:tc>
        <w:tc>
          <w:tcPr>
            <w:tcW w:w="212"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-24</w:t>
            </w:r>
          </w:p>
        </w:tc>
        <w:tc>
          <w:tcPr>
            <w:tcW w:w="212"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60</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5.35</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19</w:t>
            </w:r>
          </w:p>
        </w:tc>
        <w:tc>
          <w:tcPr>
            <w:tcW w:w="478" w:type="pct"/>
            <w:tcBorders>
              <w:top w:val="nil"/>
              <w:left w:val="nil"/>
              <w:bottom w:val="single" w:color="000000" w:sz="8" w:space="0"/>
              <w:right w:val="nil"/>
            </w:tcBorders>
            <w:shd w:val="clear" w:color="auto" w:fill="auto"/>
            <w:noWrap/>
            <w:vAlign w:val="center"/>
          </w:tcPr>
          <w:p>
            <w:pPr>
              <w:widowControl/>
              <w:spacing w:after="160" w:line="256" w:lineRule="auto"/>
              <w:jc w:val="center"/>
              <w:rPr>
                <w:rFonts w:ascii="Calibri" w:hAnsi="Calibri" w:eastAsia="宋体" w:cs="Calibri"/>
                <w:color w:val="000000"/>
                <w:kern w:val="0"/>
                <w:sz w:val="22"/>
                <w:szCs w:val="22"/>
              </w:rPr>
            </w:pPr>
            <w:r>
              <w:rPr>
                <w:rFonts w:ascii="Calibri" w:hAnsi="Calibri" w:eastAsia="宋体" w:cs="Calibri"/>
                <w:color w:val="000000"/>
                <w:kern w:val="0"/>
                <w:sz w:val="22"/>
                <w:szCs w:val="22"/>
              </w:rPr>
              <w:t xml:space="preserve">0.015 </w:t>
            </w:r>
          </w:p>
        </w:tc>
      </w:tr>
    </w:tbl>
    <w:p>
      <w:r>
        <w:rPr>
          <w:sz w:val="22"/>
          <w:szCs w:val="22"/>
        </w:rPr>
        <w:t>MNI, Montreal Neurological Institute; L, left; R, right.</w:t>
      </w:r>
    </w:p>
    <w:p>
      <w:pPr>
        <w:jc w:val="left"/>
        <w:rPr>
          <w:rFonts w:cstheme="minorHAnsi"/>
          <w:b/>
          <w:sz w:val="24"/>
        </w:rPr>
      </w:pPr>
    </w:p>
    <w:p>
      <w:pPr>
        <w:jc w:val="left"/>
        <w:rPr>
          <w:rFonts w:cstheme="minorHAnsi"/>
          <w:b/>
          <w:sz w:val="24"/>
        </w:rPr>
      </w:pPr>
      <w:r>
        <w:rPr>
          <w:rFonts w:cstheme="minorHAnsi"/>
          <w:b/>
          <w:sz w:val="24"/>
        </w:rPr>
        <w:t>Reference</w:t>
      </w:r>
    </w:p>
    <w:p>
      <w:pPr>
        <w:pStyle w:val="23"/>
        <w:ind w:left="720" w:hanging="720"/>
      </w:pPr>
      <w:r>
        <w:rPr>
          <w:rFonts w:cstheme="minorHAnsi"/>
          <w:b/>
          <w:sz w:val="24"/>
        </w:rPr>
        <w:fldChar w:fldCharType="begin"/>
      </w:r>
      <w:r>
        <w:rPr>
          <w:rFonts w:cstheme="minorHAnsi"/>
          <w:b/>
          <w:sz w:val="24"/>
        </w:rPr>
        <w:instrText xml:space="preserve"> ADDIN EN.REFLIST </w:instrText>
      </w:r>
      <w:r>
        <w:rPr>
          <w:rFonts w:cstheme="minorHAnsi"/>
          <w:b/>
          <w:sz w:val="24"/>
        </w:rPr>
        <w:fldChar w:fldCharType="separate"/>
      </w:r>
      <w:r>
        <w:t xml:space="preserve">Ahn, W.-Y., Haines, N., &amp; Zhang, L. (2017). Revealing neurocomputational mechanisms of reinforcement learning and decision-making with the hBayesDM package. </w:t>
      </w:r>
      <w:r>
        <w:rPr>
          <w:i/>
        </w:rPr>
        <w:t>Computational Psychiatry</w:t>
      </w:r>
      <w:r>
        <w:t xml:space="preserve">, 24-57. </w:t>
      </w:r>
    </w:p>
    <w:p>
      <w:pPr>
        <w:pStyle w:val="23"/>
        <w:ind w:left="720" w:hanging="720"/>
      </w:pPr>
      <w:bookmarkStart w:id="0" w:name="_ENREF_2"/>
      <w:r>
        <w:t xml:space="preserve">Averbeck, B., &amp; O'Doherty, J. P. (2021). Reinforcement-learning in fronto-striatal circuits. </w:t>
      </w:r>
      <w:r>
        <w:rPr>
          <w:i/>
        </w:rPr>
        <w:t>Neuropsychopharmacology</w:t>
      </w:r>
      <w:r>
        <w:t>. doi: 10.1038/s41386-021-01108-0</w:t>
      </w:r>
      <w:bookmarkEnd w:id="0"/>
    </w:p>
    <w:p>
      <w:pPr>
        <w:pStyle w:val="23"/>
        <w:ind w:left="720" w:hanging="720"/>
      </w:pPr>
      <w:bookmarkStart w:id="1" w:name="_ENREF_3"/>
      <w:r>
        <w:t xml:space="preserve">Bürkner, P.-C. (2017). brms: An R package for Bayesian multilevel models using Stan. </w:t>
      </w:r>
      <w:r>
        <w:rPr>
          <w:i/>
        </w:rPr>
        <w:t>Journal of statistical software, 80</w:t>
      </w:r>
      <w:r>
        <w:t xml:space="preserve">(1), 1-28. </w:t>
      </w:r>
      <w:bookmarkEnd w:id="1"/>
    </w:p>
    <w:p>
      <w:pPr>
        <w:pStyle w:val="23"/>
        <w:ind w:left="720" w:hanging="720"/>
      </w:pPr>
      <w:bookmarkStart w:id="2" w:name="_ENREF_4"/>
      <w:r>
        <w:t xml:space="preserve">Carpenter, B., Gelman, A., Hoffman, M. D., Lee, D., Goodrich, B., Betancourt, M., . . . Riddell, A. (2017). Stan: A probabilistic programming language. </w:t>
      </w:r>
      <w:r>
        <w:rPr>
          <w:i/>
        </w:rPr>
        <w:t>Journal of statistical software, 76</w:t>
      </w:r>
      <w:r>
        <w:t xml:space="preserve">(1), 1-32. </w:t>
      </w:r>
      <w:bookmarkEnd w:id="2"/>
    </w:p>
    <w:p>
      <w:pPr>
        <w:pStyle w:val="23"/>
        <w:ind w:left="720" w:hanging="720"/>
      </w:pPr>
      <w:r>
        <w:t xml:space="preserve">Dowd, E. C., Frank, M. J., Collins, A., Gold, J. M., &amp; Barch, D. M. (2016). Probabilistic reinforcement learning in patients with schizophrenia: relationships to anhedonia and avolition. Biological psychiatry: cognitive neuroscience and neuroimaging, 1(5), 460-473. </w:t>
      </w:r>
    </w:p>
    <w:p>
      <w:pPr>
        <w:pStyle w:val="23"/>
        <w:ind w:left="720" w:hanging="720"/>
      </w:pPr>
      <w:r>
        <w:t xml:space="preserve">Fan, L., Li, H., Zhuo, J., Zhang, Y., Wang, J., Chen, L., . . . Laird, A. R. (2016). The human brainnetome atlas: a new brain atlas based on connectional architecture. </w:t>
      </w:r>
      <w:r>
        <w:rPr>
          <w:i/>
        </w:rPr>
        <w:t>Cerebral cortex, 26</w:t>
      </w:r>
      <w:r>
        <w:t>(8), 3508-3526.</w:t>
      </w:r>
    </w:p>
    <w:p>
      <w:pPr>
        <w:pStyle w:val="23"/>
        <w:ind w:left="720" w:hanging="720"/>
      </w:pPr>
      <w:bookmarkStart w:id="3" w:name="_ENREF_6"/>
      <w:r>
        <w:t xml:space="preserve">Gelman, A., &amp; Rubin, D. B. (1992). Inference from iterative simulation using multiple sequences. </w:t>
      </w:r>
      <w:r>
        <w:rPr>
          <w:i/>
        </w:rPr>
        <w:t>Statistical science, 7</w:t>
      </w:r>
      <w:r>
        <w:t xml:space="preserve">(4), 457-472. </w:t>
      </w:r>
      <w:bookmarkEnd w:id="3"/>
    </w:p>
    <w:p>
      <w:pPr>
        <w:pStyle w:val="23"/>
        <w:ind w:left="720" w:hanging="720"/>
      </w:pPr>
      <w:bookmarkStart w:id="4" w:name="_ENREF_7"/>
      <w:r>
        <w:t xml:space="preserve">Goldberg, M. R., Tanaka, W., Barchowsky, A., Bradstreet, T. E., McCrea, J., Lo, M.-W., . . . Bjornsson, T. D. (1993). Effects of losartan on blood pressure, plasma renin activity, and angiotensin II in volunteers. </w:t>
      </w:r>
      <w:r>
        <w:rPr>
          <w:i/>
        </w:rPr>
        <w:t>Hypertension, 21</w:t>
      </w:r>
      <w:r>
        <w:t xml:space="preserve">(5), 704-713. </w:t>
      </w:r>
      <w:bookmarkEnd w:id="4"/>
    </w:p>
    <w:p>
      <w:pPr>
        <w:pStyle w:val="23"/>
        <w:ind w:left="720" w:hanging="720"/>
      </w:pPr>
      <w:bookmarkStart w:id="5" w:name="_ENREF_8"/>
      <w:r>
        <w:t xml:space="preserve">Hoffman, M. D., &amp; Gelman, A. (2014). The No-U-Turn sampler: adaptively setting path lengths in Hamiltonian Monte Carlo. </w:t>
      </w:r>
      <w:r>
        <w:rPr>
          <w:i/>
        </w:rPr>
        <w:t>J. Mach. Learn. Res., 15</w:t>
      </w:r>
      <w:r>
        <w:t xml:space="preserve">(1), 1593-1623. </w:t>
      </w:r>
      <w:bookmarkEnd w:id="5"/>
    </w:p>
    <w:p>
      <w:pPr>
        <w:pStyle w:val="23"/>
        <w:ind w:left="720" w:hanging="720"/>
      </w:pPr>
      <w:bookmarkStart w:id="6" w:name="_ENREF_9"/>
      <w:r>
        <w:t xml:space="preserve">Jahfari, S., Ridderinkhof, K. R., Collins, A. G. E., Knapen, T., Waldorp, L. J., &amp; Frank, M. J. (2019). Cross-Task Contributions of Frontobasal Ganglia Circuitry in Response Inhibition and Conflict-Induced Slowing. </w:t>
      </w:r>
      <w:r>
        <w:rPr>
          <w:i/>
        </w:rPr>
        <w:t>Cereb Cortex, 29</w:t>
      </w:r>
      <w:r>
        <w:t>(5), 1969-1983. doi: 10.1093/cercor/bhy076</w:t>
      </w:r>
      <w:bookmarkEnd w:id="6"/>
    </w:p>
    <w:p>
      <w:pPr>
        <w:pStyle w:val="23"/>
        <w:ind w:left="720" w:hanging="720"/>
      </w:pPr>
      <w:bookmarkStart w:id="7" w:name="_ENREF_10"/>
      <w:r>
        <w:t xml:space="preserve">Jahfari, S., Theeuwes, J., &amp; Knapen, T. (2020). Learning in Visual Regions as Support for the Bias in Future Value-Driven Choice. </w:t>
      </w:r>
      <w:r>
        <w:rPr>
          <w:i/>
        </w:rPr>
        <w:t>Cereb Cortex, 30</w:t>
      </w:r>
      <w:r>
        <w:t>(4), 2005-2018. doi: 10.1093/cercor/bhz218</w:t>
      </w:r>
      <w:bookmarkEnd w:id="7"/>
    </w:p>
    <w:p>
      <w:pPr>
        <w:pStyle w:val="23"/>
        <w:ind w:left="720" w:hanging="720"/>
      </w:pPr>
      <w:bookmarkStart w:id="8" w:name="_ENREF_11"/>
      <w:r>
        <w:t xml:space="preserve">Jocham, G., Klein, T. A., &amp; Ullsperger, M. (2011). Dopamine-mediated reinforcement learning signals in the striatum and ventromedial prefrontal cortex underlie value-based choices. </w:t>
      </w:r>
      <w:r>
        <w:rPr>
          <w:i/>
        </w:rPr>
        <w:t>J Neurosci, 31</w:t>
      </w:r>
      <w:r>
        <w:t>(5), 1606-1613. doi: 10.1523/JNEUROSCI.3904-10.2011</w:t>
      </w:r>
      <w:bookmarkEnd w:id="8"/>
    </w:p>
    <w:p>
      <w:pPr>
        <w:pStyle w:val="23"/>
        <w:ind w:left="720" w:hanging="720"/>
      </w:pPr>
      <w:bookmarkStart w:id="9" w:name="_ENREF_12"/>
      <w:r>
        <w:t xml:space="preserve">Lefebvre, G., Lebreton, M., Meyniel, F., Bourgeois-Gironde, S., &amp; Palminteri, S. (2017). Behavioural and neural characterization of optimistic reinforcement learning. </w:t>
      </w:r>
      <w:r>
        <w:rPr>
          <w:i/>
        </w:rPr>
        <w:t>Nature Human Behaviour, 1</w:t>
      </w:r>
      <w:r>
        <w:t>(4). doi: 10.1038/s41562-017-0067</w:t>
      </w:r>
      <w:bookmarkEnd w:id="9"/>
    </w:p>
    <w:p>
      <w:pPr>
        <w:pStyle w:val="23"/>
        <w:ind w:left="720" w:hanging="720"/>
      </w:pPr>
      <w:bookmarkStart w:id="10" w:name="_ENREF_13"/>
      <w:r>
        <w:t xml:space="preserve">Lowet, A. S., Zheng, Q., Matias, S., Drugowitsch, J., &amp; Uchida, N. (2020). Distributional Reinforcement Learning in the Brain. </w:t>
      </w:r>
      <w:r>
        <w:rPr>
          <w:i/>
        </w:rPr>
        <w:t>Trends Neurosci, 43</w:t>
      </w:r>
      <w:r>
        <w:t>(12), 980-997. doi: 10.1016/j.tins.2020.09.004</w:t>
      </w:r>
      <w:bookmarkEnd w:id="10"/>
    </w:p>
    <w:p>
      <w:pPr>
        <w:pStyle w:val="23"/>
        <w:ind w:left="720" w:hanging="720"/>
      </w:pPr>
      <w:bookmarkStart w:id="11" w:name="_ENREF_14"/>
      <w:r>
        <w:t xml:space="preserve">Mechaeil, R., Gard, P., Jackson, A., &amp; Rusted, J. (2011). Cognitive enhancement following acute losartan in normotensive young adults. </w:t>
      </w:r>
      <w:r>
        <w:rPr>
          <w:i/>
        </w:rPr>
        <w:t>Psychopharmacology (Berl), 217</w:t>
      </w:r>
      <w:r>
        <w:t>(1), 51-60. doi: 10.1007/s00213-011-2257-9</w:t>
      </w:r>
      <w:bookmarkEnd w:id="11"/>
    </w:p>
    <w:p>
      <w:pPr>
        <w:pStyle w:val="23"/>
        <w:ind w:left="720" w:hanging="720"/>
      </w:pPr>
      <w:bookmarkStart w:id="12" w:name="_ENREF_15"/>
      <w:r>
        <w:t xml:space="preserve">Pedersen, M. L., &amp; Frank, M. J. (2020). Simultaneous hierarchical bayesian parameter estimation for reinforcement learning and drift diffusion models: a tutorial and links to neural data. </w:t>
      </w:r>
      <w:r>
        <w:rPr>
          <w:i/>
        </w:rPr>
        <w:t>Computational Brain &amp; Behavior, 3</w:t>
      </w:r>
      <w:r>
        <w:t xml:space="preserve">, 458-471. </w:t>
      </w:r>
      <w:bookmarkEnd w:id="12"/>
    </w:p>
    <w:p>
      <w:pPr>
        <w:pStyle w:val="23"/>
        <w:ind w:left="720" w:hanging="720"/>
      </w:pPr>
      <w:bookmarkStart w:id="13" w:name="_ENREF_16"/>
      <w:r>
        <w:t xml:space="preserve">Pulcu, E., Shkreli, L., Holst, C. G., Woud, M. L., Craske, M. G., Browning, M., &amp; Reinecke, A. (2019). The effects of the angiotensin II receptor antagonist losartan on appetitive versus aversive learning: a randomized controlled trial. </w:t>
      </w:r>
      <w:r>
        <w:rPr>
          <w:i/>
        </w:rPr>
        <w:t>Biological psychiatry, 86</w:t>
      </w:r>
      <w:r>
        <w:t xml:space="preserve">(5), 397-404. </w:t>
      </w:r>
      <w:bookmarkEnd w:id="13"/>
    </w:p>
    <w:p>
      <w:pPr>
        <w:pStyle w:val="23"/>
        <w:ind w:left="720" w:hanging="720"/>
      </w:pPr>
      <w:bookmarkStart w:id="14" w:name="_ENREF_17"/>
      <w:r>
        <w:t xml:space="preserve">Schwarz, G. (1978). Estimating the dimension of a model Annals of Statistics, 6, 461-464. </w:t>
      </w:r>
      <w:r>
        <w:rPr>
          <w:i/>
        </w:rPr>
        <w:t>MathSciNet zbMATH</w:t>
      </w:r>
      <w:r>
        <w:t xml:space="preserve">. </w:t>
      </w:r>
      <w:bookmarkEnd w:id="14"/>
    </w:p>
    <w:p>
      <w:pPr>
        <w:pStyle w:val="23"/>
        <w:ind w:left="720" w:hanging="720"/>
      </w:pPr>
      <w:bookmarkStart w:id="15" w:name="_ENREF_18"/>
      <w:r>
        <w:t xml:space="preserve">Simon, J. R., Howard, J. H., &amp; Howard, D. V. (2010). Adult age differences in learning from positive and negative probabilistic feedback. </w:t>
      </w:r>
      <w:r>
        <w:rPr>
          <w:i/>
        </w:rPr>
        <w:t>Neuropsychology, 24</w:t>
      </w:r>
      <w:r>
        <w:t>(4), 534-541. doi: 10.1037/a0018652</w:t>
      </w:r>
      <w:bookmarkEnd w:id="15"/>
    </w:p>
    <w:p>
      <w:pPr>
        <w:pStyle w:val="23"/>
        <w:ind w:left="720" w:hanging="720"/>
      </w:pPr>
      <w:bookmarkStart w:id="16" w:name="_ENREF_19"/>
      <w:r>
        <w:t xml:space="preserve">Varoquaux, G., Raamana, P. R., Engemann, D. A., Hoyos-Idrobo, A., Schwartz, Y., &amp; Thirion, B. (2017). Assessing and tuning brain decoders: cross-validation, caveats, and guidelines. </w:t>
      </w:r>
      <w:r>
        <w:rPr>
          <w:i/>
        </w:rPr>
        <w:t>NeuroImage, 145</w:t>
      </w:r>
      <w:r>
        <w:t xml:space="preserve">, 166-179. </w:t>
      </w:r>
      <w:bookmarkEnd w:id="16"/>
    </w:p>
    <w:p>
      <w:pPr>
        <w:pStyle w:val="23"/>
        <w:ind w:left="720" w:hanging="720"/>
      </w:pPr>
      <w:bookmarkStart w:id="17" w:name="_ENREF_20"/>
      <w:r>
        <w:t xml:space="preserve">Vehtari, A., Gelman, A., &amp; Gabry, J. (2017). Practical Bayesian model evaluation using leave-one-out cross-validation and WAIC. </w:t>
      </w:r>
      <w:r>
        <w:rPr>
          <w:i/>
        </w:rPr>
        <w:t>Statistics and computing, 27</w:t>
      </w:r>
      <w:r>
        <w:t xml:space="preserve">(5), 1413-1432. </w:t>
      </w:r>
      <w:bookmarkEnd w:id="17"/>
    </w:p>
    <w:p>
      <w:pPr>
        <w:pStyle w:val="23"/>
        <w:ind w:left="720" w:hanging="720"/>
      </w:pPr>
      <w:bookmarkStart w:id="18" w:name="_ENREF_21"/>
      <w:r>
        <w:t xml:space="preserve">Yao, Y., Vehtari, A., Simpson, D., &amp; Gelman, A. (2018). Using stacking to average Bayesian predictive distributions (with discussion). </w:t>
      </w:r>
      <w:r>
        <w:rPr>
          <w:i/>
        </w:rPr>
        <w:t>Bayesian Analysis, 13</w:t>
      </w:r>
      <w:r>
        <w:t xml:space="preserve">(3), 917-1007. </w:t>
      </w:r>
      <w:bookmarkEnd w:id="18"/>
    </w:p>
    <w:p>
      <w:pPr>
        <w:pStyle w:val="23"/>
        <w:ind w:left="720" w:hanging="720"/>
      </w:pPr>
      <w:bookmarkStart w:id="19" w:name="_ENREF_22"/>
      <w:r>
        <w:t xml:space="preserve">Zhou, X., Zimmermann, K., Xin, F., Zhao, W., Derckx, R. T., Sassmannshausen, A., . . . Kendrick, K. M. (2019). Cue reactivity in the ventral striatum characterizes heavy cannabis use, whereas reactivity in the dorsal striatum mediates dependent use. </w:t>
      </w:r>
      <w:r>
        <w:rPr>
          <w:i/>
        </w:rPr>
        <w:t>Biological psychiatry: cognitive neuroscience and neuroimaging, 4</w:t>
      </w:r>
      <w:r>
        <w:t xml:space="preserve">(8), 751-762. </w:t>
      </w:r>
      <w:bookmarkEnd w:id="19"/>
    </w:p>
    <w:p>
      <w:pPr>
        <w:jc w:val="left"/>
        <w:rPr>
          <w:rFonts w:cstheme="minorHAnsi"/>
          <w:b/>
          <w:sz w:val="24"/>
        </w:rPr>
      </w:pPr>
      <w:r>
        <w:rPr>
          <w:rFonts w:cstheme="minorHAnsi"/>
          <w:b/>
          <w:sz w:val="24"/>
        </w:rPr>
        <w:fldChar w:fldCharType="end"/>
      </w:r>
    </w:p>
    <w:sectPr>
      <w:pgSz w:w="12240" w:h="15840"/>
      <w:pgMar w:top="1440" w:right="1080" w:bottom="1440" w:left="10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MR10">
    <w:altName w:val="Segoe Print"/>
    <w:panose1 w:val="020B0604020202020204"/>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AdvOTf0129623 + 20">
    <w:altName w:val="Segoe Print"/>
    <w:panose1 w:val="020B0604020202020204"/>
    <w:charset w:val="00"/>
    <w:family w:val="auto"/>
    <w:pitch w:val="default"/>
    <w:sig w:usb0="00000000" w:usb1="00000000" w:usb2="00000000" w:usb3="00000000" w:csb0="00040001"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1ZTkwYzk4ZWU5Y2I5ZWRhOGE3NDEwMThiYzA0NDUifQ=="/>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dta2fdp8zzp5ve9peeps0eefvdwwdt2vtft&quot;&gt;LT_RL_paper&lt;record-ids&gt;&lt;item&gt;5&lt;/item&gt;&lt;item&gt;10&lt;/item&gt;&lt;item&gt;11&lt;/item&gt;&lt;item&gt;12&lt;/item&gt;&lt;item&gt;13&lt;/item&gt;&lt;item&gt;14&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record-ids&gt;&lt;/item&gt;&lt;/Libraries&gt;"/>
  </w:docVars>
  <w:rsids>
    <w:rsidRoot w:val="00E33AD3"/>
    <w:rsid w:val="00003E28"/>
    <w:rsid w:val="00040CB7"/>
    <w:rsid w:val="000439B9"/>
    <w:rsid w:val="00053050"/>
    <w:rsid w:val="000A0E70"/>
    <w:rsid w:val="000E1C71"/>
    <w:rsid w:val="000F1E20"/>
    <w:rsid w:val="000F5517"/>
    <w:rsid w:val="0014037A"/>
    <w:rsid w:val="00150447"/>
    <w:rsid w:val="0016343E"/>
    <w:rsid w:val="0018496B"/>
    <w:rsid w:val="00192575"/>
    <w:rsid w:val="001B3511"/>
    <w:rsid w:val="001E65C8"/>
    <w:rsid w:val="00264C9A"/>
    <w:rsid w:val="00282FE5"/>
    <w:rsid w:val="002A3FC0"/>
    <w:rsid w:val="002B2291"/>
    <w:rsid w:val="002B541F"/>
    <w:rsid w:val="002E0352"/>
    <w:rsid w:val="002F3DA9"/>
    <w:rsid w:val="00307295"/>
    <w:rsid w:val="00340A98"/>
    <w:rsid w:val="00343782"/>
    <w:rsid w:val="00367709"/>
    <w:rsid w:val="0037414F"/>
    <w:rsid w:val="00381EB3"/>
    <w:rsid w:val="0038405D"/>
    <w:rsid w:val="003C2665"/>
    <w:rsid w:val="003C3E6D"/>
    <w:rsid w:val="003E14E6"/>
    <w:rsid w:val="003E3AED"/>
    <w:rsid w:val="004100CB"/>
    <w:rsid w:val="004141A2"/>
    <w:rsid w:val="00425D53"/>
    <w:rsid w:val="00491BF8"/>
    <w:rsid w:val="004C77A1"/>
    <w:rsid w:val="004E09C7"/>
    <w:rsid w:val="004E65DB"/>
    <w:rsid w:val="004F1FFC"/>
    <w:rsid w:val="004F2FD9"/>
    <w:rsid w:val="004F3ABD"/>
    <w:rsid w:val="004F7FEA"/>
    <w:rsid w:val="00510B9E"/>
    <w:rsid w:val="00513CE4"/>
    <w:rsid w:val="00526CEB"/>
    <w:rsid w:val="00563C69"/>
    <w:rsid w:val="00563DAB"/>
    <w:rsid w:val="00570B4C"/>
    <w:rsid w:val="00576CE9"/>
    <w:rsid w:val="00592FC5"/>
    <w:rsid w:val="005935F5"/>
    <w:rsid w:val="005A7970"/>
    <w:rsid w:val="005B31C5"/>
    <w:rsid w:val="005C3D0B"/>
    <w:rsid w:val="00643909"/>
    <w:rsid w:val="00666A96"/>
    <w:rsid w:val="00675793"/>
    <w:rsid w:val="00683019"/>
    <w:rsid w:val="006B72A8"/>
    <w:rsid w:val="006C2F2B"/>
    <w:rsid w:val="006D63D8"/>
    <w:rsid w:val="006E2005"/>
    <w:rsid w:val="007164D5"/>
    <w:rsid w:val="00727332"/>
    <w:rsid w:val="00760FF9"/>
    <w:rsid w:val="00772801"/>
    <w:rsid w:val="00782F9C"/>
    <w:rsid w:val="00795DB1"/>
    <w:rsid w:val="007A4FF9"/>
    <w:rsid w:val="007A78F4"/>
    <w:rsid w:val="007C0E01"/>
    <w:rsid w:val="007D10BE"/>
    <w:rsid w:val="007D3819"/>
    <w:rsid w:val="007E2E90"/>
    <w:rsid w:val="007F0562"/>
    <w:rsid w:val="007F0C13"/>
    <w:rsid w:val="007F22F5"/>
    <w:rsid w:val="007F7779"/>
    <w:rsid w:val="00800B72"/>
    <w:rsid w:val="008259DA"/>
    <w:rsid w:val="008615BE"/>
    <w:rsid w:val="00881BE0"/>
    <w:rsid w:val="008B0825"/>
    <w:rsid w:val="008B3779"/>
    <w:rsid w:val="008C6E37"/>
    <w:rsid w:val="008C73DA"/>
    <w:rsid w:val="008D78EB"/>
    <w:rsid w:val="008F7243"/>
    <w:rsid w:val="00922D52"/>
    <w:rsid w:val="009945FC"/>
    <w:rsid w:val="00997F11"/>
    <w:rsid w:val="009C180F"/>
    <w:rsid w:val="009C1A8F"/>
    <w:rsid w:val="009C7977"/>
    <w:rsid w:val="009D4760"/>
    <w:rsid w:val="009E21F5"/>
    <w:rsid w:val="00A24E6B"/>
    <w:rsid w:val="00A5097A"/>
    <w:rsid w:val="00A52283"/>
    <w:rsid w:val="00A83597"/>
    <w:rsid w:val="00A92D60"/>
    <w:rsid w:val="00AD63FA"/>
    <w:rsid w:val="00AE4235"/>
    <w:rsid w:val="00AE49A3"/>
    <w:rsid w:val="00B22413"/>
    <w:rsid w:val="00B34409"/>
    <w:rsid w:val="00B501B0"/>
    <w:rsid w:val="00B53B25"/>
    <w:rsid w:val="00B548F9"/>
    <w:rsid w:val="00B64FFB"/>
    <w:rsid w:val="00B82E63"/>
    <w:rsid w:val="00B90674"/>
    <w:rsid w:val="00BB3653"/>
    <w:rsid w:val="00BD61D8"/>
    <w:rsid w:val="00BE18D8"/>
    <w:rsid w:val="00C001A4"/>
    <w:rsid w:val="00C02238"/>
    <w:rsid w:val="00C05AC7"/>
    <w:rsid w:val="00C15CAD"/>
    <w:rsid w:val="00C17AC7"/>
    <w:rsid w:val="00C45397"/>
    <w:rsid w:val="00C861B7"/>
    <w:rsid w:val="00C939C7"/>
    <w:rsid w:val="00CA6C9C"/>
    <w:rsid w:val="00CA7ACF"/>
    <w:rsid w:val="00CB258C"/>
    <w:rsid w:val="00CC434F"/>
    <w:rsid w:val="00CD0AEC"/>
    <w:rsid w:val="00CD61E3"/>
    <w:rsid w:val="00CF3DA6"/>
    <w:rsid w:val="00D30757"/>
    <w:rsid w:val="00D44989"/>
    <w:rsid w:val="00D57ABA"/>
    <w:rsid w:val="00D831ED"/>
    <w:rsid w:val="00D92722"/>
    <w:rsid w:val="00E33AD3"/>
    <w:rsid w:val="00E41783"/>
    <w:rsid w:val="00E5461D"/>
    <w:rsid w:val="00E75F89"/>
    <w:rsid w:val="00E83EE2"/>
    <w:rsid w:val="00E910C8"/>
    <w:rsid w:val="00E95969"/>
    <w:rsid w:val="00E95A66"/>
    <w:rsid w:val="00EB56CE"/>
    <w:rsid w:val="00ED2DF4"/>
    <w:rsid w:val="00EE5763"/>
    <w:rsid w:val="00F12DF5"/>
    <w:rsid w:val="00F231F4"/>
    <w:rsid w:val="00F35AA2"/>
    <w:rsid w:val="00F36EDF"/>
    <w:rsid w:val="00F429D5"/>
    <w:rsid w:val="00F656D0"/>
    <w:rsid w:val="00F81F50"/>
    <w:rsid w:val="00F81F98"/>
    <w:rsid w:val="00F9779B"/>
    <w:rsid w:val="00FA3AE8"/>
    <w:rsid w:val="00FA506E"/>
    <w:rsid w:val="00FB1F4C"/>
    <w:rsid w:val="00FE22F1"/>
    <w:rsid w:val="00FF0B2C"/>
    <w:rsid w:val="00FF2CE6"/>
    <w:rsid w:val="01812819"/>
    <w:rsid w:val="028141B4"/>
    <w:rsid w:val="05895FCA"/>
    <w:rsid w:val="074D3DA9"/>
    <w:rsid w:val="0B2A7D43"/>
    <w:rsid w:val="0B417B49"/>
    <w:rsid w:val="0B616224"/>
    <w:rsid w:val="0B9E1E59"/>
    <w:rsid w:val="0E205822"/>
    <w:rsid w:val="0E7775CF"/>
    <w:rsid w:val="0F0C47A6"/>
    <w:rsid w:val="0FBF143A"/>
    <w:rsid w:val="123260BB"/>
    <w:rsid w:val="124C0E37"/>
    <w:rsid w:val="18184C04"/>
    <w:rsid w:val="19593A61"/>
    <w:rsid w:val="1CFB3364"/>
    <w:rsid w:val="1E652BA8"/>
    <w:rsid w:val="1E973A84"/>
    <w:rsid w:val="2181353E"/>
    <w:rsid w:val="229E2DD8"/>
    <w:rsid w:val="24573017"/>
    <w:rsid w:val="25495698"/>
    <w:rsid w:val="2A83425A"/>
    <w:rsid w:val="2A8A124E"/>
    <w:rsid w:val="2BA847B7"/>
    <w:rsid w:val="2EB1104E"/>
    <w:rsid w:val="2EE42DDB"/>
    <w:rsid w:val="340B0745"/>
    <w:rsid w:val="346C0C0B"/>
    <w:rsid w:val="36456B63"/>
    <w:rsid w:val="372568D3"/>
    <w:rsid w:val="37AF2786"/>
    <w:rsid w:val="37BB1646"/>
    <w:rsid w:val="3A9B7239"/>
    <w:rsid w:val="3CF06EF4"/>
    <w:rsid w:val="3D131009"/>
    <w:rsid w:val="3E6D7B2B"/>
    <w:rsid w:val="3EB92D70"/>
    <w:rsid w:val="41827E83"/>
    <w:rsid w:val="46C1310E"/>
    <w:rsid w:val="48A81BB3"/>
    <w:rsid w:val="4A2A20CB"/>
    <w:rsid w:val="4FA83189"/>
    <w:rsid w:val="51281191"/>
    <w:rsid w:val="527A699B"/>
    <w:rsid w:val="5293012E"/>
    <w:rsid w:val="533C1422"/>
    <w:rsid w:val="54025AD0"/>
    <w:rsid w:val="54465D08"/>
    <w:rsid w:val="549D0F21"/>
    <w:rsid w:val="586977A8"/>
    <w:rsid w:val="5E9524CC"/>
    <w:rsid w:val="64A2060B"/>
    <w:rsid w:val="6C3864A8"/>
    <w:rsid w:val="6CD02EB0"/>
    <w:rsid w:val="6E2B014A"/>
    <w:rsid w:val="70381498"/>
    <w:rsid w:val="711270C9"/>
    <w:rsid w:val="79E83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paragraph" w:styleId="3">
    <w:name w:val="annotation text"/>
    <w:basedOn w:val="1"/>
    <w:link w:val="17"/>
    <w:qFormat/>
    <w:uiPriority w:val="0"/>
    <w:pPr>
      <w:jc w:val="left"/>
    </w:pPr>
    <w:rPr>
      <w:rFonts w:ascii="CMR10" w:hAnsi="CMR10" w:eastAsia="宋体" w:cs="Times New Roman"/>
    </w:rPr>
  </w:style>
  <w:style w:type="paragraph" w:styleId="4">
    <w:name w:val="Balloon Text"/>
    <w:basedOn w:val="1"/>
    <w:link w:val="18"/>
    <w:semiHidden/>
    <w:unhideWhenUsed/>
    <w:qFormat/>
    <w:uiPriority w:val="99"/>
    <w:rPr>
      <w:rFonts w:ascii="Microsoft YaHei UI" w:eastAsia="Microsoft YaHei UI"/>
      <w:sz w:val="18"/>
      <w:szCs w:val="18"/>
    </w:rPr>
  </w:style>
  <w:style w:type="paragraph" w:styleId="5">
    <w:name w:val="footer"/>
    <w:basedOn w:val="1"/>
    <w:link w:val="16"/>
    <w:unhideWhenUsed/>
    <w:qFormat/>
    <w:uiPriority w:val="99"/>
    <w:pPr>
      <w:tabs>
        <w:tab w:val="center" w:pos="4320"/>
        <w:tab w:val="right" w:pos="8640"/>
      </w:tabs>
    </w:pPr>
  </w:style>
  <w:style w:type="paragraph" w:styleId="6">
    <w:name w:val="header"/>
    <w:basedOn w:val="1"/>
    <w:link w:val="15"/>
    <w:unhideWhenUsed/>
    <w:qFormat/>
    <w:uiPriority w:val="99"/>
    <w:pPr>
      <w:tabs>
        <w:tab w:val="center" w:pos="4320"/>
        <w:tab w:val="right" w:pos="8640"/>
      </w:tabs>
    </w:pPr>
  </w:style>
  <w:style w:type="paragraph" w:styleId="7">
    <w:name w:val="Normal (Web)"/>
    <w:basedOn w:val="1"/>
    <w:qFormat/>
    <w:uiPriority w:val="0"/>
    <w:pPr>
      <w:spacing w:before="100" w:beforeAutospacing="1" w:after="100" w:afterAutospacing="1"/>
      <w:jc w:val="left"/>
    </w:pPr>
    <w:rPr>
      <w:rFonts w:ascii="CMR10" w:hAnsi="CMR10" w:eastAsia="宋体" w:cs="Times New Roman"/>
      <w:kern w:val="0"/>
      <w:sz w:val="24"/>
    </w:rPr>
  </w:style>
  <w:style w:type="paragraph" w:styleId="8">
    <w:name w:val="annotation subject"/>
    <w:basedOn w:val="3"/>
    <w:next w:val="3"/>
    <w:link w:val="25"/>
    <w:semiHidden/>
    <w:unhideWhenUsed/>
    <w:qFormat/>
    <w:uiPriority w:val="99"/>
    <w:pPr>
      <w:jc w:val="both"/>
    </w:pPr>
    <w:rPr>
      <w:rFonts w:asciiTheme="minorHAnsi" w:hAnsiTheme="minorHAnsi" w:eastAsiaTheme="minorEastAsia" w:cstheme="minorBidi"/>
      <w:b/>
      <w:bCs/>
      <w:sz w:val="20"/>
      <w:szCs w:val="20"/>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semiHidden/>
    <w:unhideWhenUsed/>
    <w:qFormat/>
    <w:uiPriority w:val="99"/>
    <w:rPr>
      <w:color w:val="954F72"/>
      <w:u w:val="single"/>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styleId="14">
    <w:name w:val="annotation reference"/>
    <w:qFormat/>
    <w:uiPriority w:val="0"/>
    <w:rPr>
      <w:sz w:val="21"/>
      <w:szCs w:val="21"/>
    </w:rPr>
  </w:style>
  <w:style w:type="character" w:customStyle="1" w:styleId="15">
    <w:name w:val="Header Char"/>
    <w:basedOn w:val="11"/>
    <w:link w:val="6"/>
    <w:qFormat/>
    <w:uiPriority w:val="99"/>
  </w:style>
  <w:style w:type="character" w:customStyle="1" w:styleId="16">
    <w:name w:val="Footer Char"/>
    <w:basedOn w:val="11"/>
    <w:link w:val="5"/>
    <w:qFormat/>
    <w:uiPriority w:val="99"/>
  </w:style>
  <w:style w:type="character" w:customStyle="1" w:styleId="17">
    <w:name w:val="Comment Text Char"/>
    <w:basedOn w:val="11"/>
    <w:link w:val="3"/>
    <w:qFormat/>
    <w:uiPriority w:val="0"/>
    <w:rPr>
      <w:rFonts w:ascii="CMR10" w:hAnsi="CMR10" w:eastAsia="宋体" w:cs="Times New Roman"/>
      <w:kern w:val="2"/>
      <w:sz w:val="21"/>
      <w:szCs w:val="24"/>
    </w:rPr>
  </w:style>
  <w:style w:type="character" w:customStyle="1" w:styleId="18">
    <w:name w:val="Balloon Text Char"/>
    <w:basedOn w:val="11"/>
    <w:link w:val="4"/>
    <w:semiHidden/>
    <w:qFormat/>
    <w:uiPriority w:val="99"/>
    <w:rPr>
      <w:rFonts w:ascii="Microsoft YaHei UI" w:eastAsia="Microsoft YaHei UI"/>
      <w:kern w:val="2"/>
      <w:sz w:val="18"/>
      <w:szCs w:val="18"/>
    </w:rPr>
  </w:style>
  <w:style w:type="character" w:customStyle="1" w:styleId="19">
    <w:name w:val="fontstyle01"/>
    <w:qFormat/>
    <w:uiPriority w:val="0"/>
    <w:rPr>
      <w:rFonts w:ascii="Cambria Math" w:hAnsi="Cambria Math" w:eastAsia="Cambria Math" w:cs="Cambria Math"/>
      <w:color w:val="000000"/>
      <w:sz w:val="18"/>
      <w:szCs w:val="18"/>
    </w:rPr>
  </w:style>
  <w:style w:type="paragraph" w:styleId="20">
    <w:name w:val="List Paragraph"/>
    <w:basedOn w:val="1"/>
    <w:qFormat/>
    <w:uiPriority w:val="34"/>
    <w:pPr>
      <w:ind w:left="720"/>
      <w:contextualSpacing/>
    </w:pPr>
  </w:style>
  <w:style w:type="paragraph" w:customStyle="1" w:styleId="21">
    <w:name w:val="EndNote Bibliography Title"/>
    <w:basedOn w:val="1"/>
    <w:link w:val="22"/>
    <w:qFormat/>
    <w:uiPriority w:val="0"/>
    <w:pPr>
      <w:jc w:val="center"/>
    </w:pPr>
    <w:rPr>
      <w:rFonts w:ascii="Calibri" w:hAnsi="Calibri" w:cs="Calibri"/>
      <w:sz w:val="20"/>
    </w:rPr>
  </w:style>
  <w:style w:type="character" w:customStyle="1" w:styleId="22">
    <w:name w:val="EndNote Bibliography Title Char"/>
    <w:basedOn w:val="11"/>
    <w:link w:val="21"/>
    <w:qFormat/>
    <w:uiPriority w:val="0"/>
    <w:rPr>
      <w:rFonts w:ascii="Calibri" w:hAnsi="Calibri" w:cs="Calibri"/>
      <w:kern w:val="2"/>
      <w:sz w:val="20"/>
      <w:szCs w:val="24"/>
    </w:rPr>
  </w:style>
  <w:style w:type="paragraph" w:customStyle="1" w:styleId="23">
    <w:name w:val="EndNote Bibliography"/>
    <w:basedOn w:val="1"/>
    <w:link w:val="24"/>
    <w:qFormat/>
    <w:uiPriority w:val="0"/>
    <w:pPr>
      <w:jc w:val="left"/>
    </w:pPr>
    <w:rPr>
      <w:rFonts w:ascii="Calibri" w:hAnsi="Calibri" w:cs="Calibri"/>
      <w:sz w:val="20"/>
    </w:rPr>
  </w:style>
  <w:style w:type="character" w:customStyle="1" w:styleId="24">
    <w:name w:val="EndNote Bibliography Char"/>
    <w:basedOn w:val="11"/>
    <w:link w:val="23"/>
    <w:qFormat/>
    <w:uiPriority w:val="0"/>
    <w:rPr>
      <w:rFonts w:ascii="Calibri" w:hAnsi="Calibri" w:cs="Calibri"/>
      <w:kern w:val="2"/>
      <w:sz w:val="20"/>
      <w:szCs w:val="24"/>
    </w:rPr>
  </w:style>
  <w:style w:type="character" w:customStyle="1" w:styleId="25">
    <w:name w:val="Comment Subject Char"/>
    <w:basedOn w:val="17"/>
    <w:link w:val="8"/>
    <w:semiHidden/>
    <w:qFormat/>
    <w:uiPriority w:val="99"/>
    <w:rPr>
      <w:rFonts w:ascii="CMR10" w:hAnsi="CMR10" w:eastAsia="宋体" w:cs="Times New Roman"/>
      <w:b/>
      <w:bCs/>
      <w:kern w:val="2"/>
      <w:sz w:val="20"/>
      <w:szCs w:val="20"/>
    </w:rPr>
  </w:style>
  <w:style w:type="character" w:customStyle="1" w:styleId="26">
    <w:name w:val="font81"/>
    <w:basedOn w:val="11"/>
    <w:qFormat/>
    <w:uiPriority w:val="0"/>
    <w:rPr>
      <w:rFonts w:hint="default" w:ascii="Calibri" w:hAnsi="Calibri" w:cs="Calibri"/>
      <w:b/>
      <w:bCs/>
      <w:color w:val="000000"/>
      <w:sz w:val="22"/>
      <w:szCs w:val="22"/>
      <w:u w:val="none"/>
      <w:vertAlign w:val="subscript"/>
    </w:rPr>
  </w:style>
  <w:style w:type="character" w:customStyle="1" w:styleId="27">
    <w:name w:val="font31"/>
    <w:basedOn w:val="11"/>
    <w:qFormat/>
    <w:uiPriority w:val="0"/>
    <w:rPr>
      <w:rFonts w:hint="default" w:ascii="Calibri" w:hAnsi="Calibri" w:cs="Calibri"/>
      <w:b/>
      <w:bCs/>
      <w:color w:val="000000"/>
      <w:sz w:val="22"/>
      <w:szCs w:val="22"/>
      <w:u w:val="none"/>
      <w:vertAlign w:val="subscript"/>
    </w:rPr>
  </w:style>
  <w:style w:type="paragraph" w:customStyle="1" w:styleId="28">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9">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4000</Words>
  <Characters>23088</Characters>
  <Lines>275</Lines>
  <Paragraphs>77</Paragraphs>
  <TotalTime>0</TotalTime>
  <ScaleCrop>false</ScaleCrop>
  <LinksUpToDate>false</LinksUpToDate>
  <CharactersWithSpaces>26774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2022-03-15T01:44:00Z</dcterms:created>
  <dc:creator>Microsoft 帐户</dc:creator>
  <cp:lastModifiedBy>Tina</cp:lastModifiedBy>
  <dcterms:modified xsi:type="dcterms:W3CDTF">2022-08-24T02:47:02Z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780C16E364404852B3E62DB2478042BC</vt:lpwstr>
  </property>
</Properties>
</file>