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FD9" w:rsidRPr="009C24F2" w:rsidRDefault="00DC2FD9" w:rsidP="00DC2FD9">
      <w:pPr>
        <w:pStyle w:val="Heading1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VIII</w:t>
      </w:r>
      <w:r w:rsidRPr="009C24F2">
        <w:rPr>
          <w:rFonts w:asciiTheme="minorHAnsi" w:hAnsiTheme="minorHAnsi" w:cstheme="minorHAnsi"/>
        </w:rPr>
        <w:t>: Network meta-analysis of vasodilatory versus non-vasodilatory β-blockers interventions.</w:t>
      </w:r>
    </w:p>
    <w:p w:rsidR="00DC2FD9" w:rsidRPr="009C24F2" w:rsidRDefault="00DC2FD9" w:rsidP="00DC2FD9">
      <w:pPr>
        <w:rPr>
          <w:rFonts w:asciiTheme="minorHAnsi" w:hAnsiTheme="minorHAnsi" w:cstheme="minorHAnsi"/>
        </w:rPr>
      </w:pPr>
    </w:p>
    <w:p w:rsidR="00DC2FD9" w:rsidRPr="009C24F2" w:rsidRDefault="00DC2FD9" w:rsidP="00DC2FD9">
      <w:pPr>
        <w:rPr>
          <w:rFonts w:asciiTheme="minorHAnsi" w:hAnsiTheme="minorHAnsi" w:cstheme="minorHAnsi"/>
        </w:rPr>
      </w:pPr>
    </w:p>
    <w:p w:rsidR="00DC2FD9" w:rsidRPr="009C24F2" w:rsidRDefault="00DC2FD9" w:rsidP="00DC2FD9">
      <w:pPr>
        <w:rPr>
          <w:rFonts w:asciiTheme="minorHAnsi" w:hAnsiTheme="minorHAnsi" w:cstheme="minorHAnsi"/>
        </w:rPr>
      </w:pPr>
    </w:p>
    <w:p w:rsidR="00DC2FD9" w:rsidRPr="009C24F2" w:rsidRDefault="00DC2FD9" w:rsidP="00DC2FD9">
      <w:pPr>
        <w:rPr>
          <w:rFonts w:asciiTheme="minorHAnsi" w:hAnsiTheme="minorHAnsi" w:cstheme="minorHAnsi"/>
        </w:rPr>
      </w:pPr>
    </w:p>
    <w:p w:rsidR="00DC2FD9" w:rsidRPr="009C24F2" w:rsidRDefault="00DC2FD9" w:rsidP="00DC2FD9">
      <w:pPr>
        <w:keepNext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</w:rPr>
        <w:drawing>
          <wp:inline distT="0" distB="0" distL="0" distR="0" wp14:anchorId="7E6CA04E" wp14:editId="284EC560">
            <wp:extent cx="4571962" cy="34553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noumeravaso.pdf"/>
                    <pic:cNvPicPr/>
                  </pic:nvPicPr>
                  <pic:blipFill rotWithShape="1">
                    <a:blip r:embed="rId4"/>
                    <a:srcRect t="28525" b="29487"/>
                    <a:stretch/>
                  </pic:blipFill>
                  <pic:spPr bwMode="auto">
                    <a:xfrm>
                      <a:off x="0" y="0"/>
                      <a:ext cx="4571962" cy="345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FD9" w:rsidRPr="009C24F2" w:rsidRDefault="00DC2FD9" w:rsidP="00DC2FD9">
      <w:pPr>
        <w:pStyle w:val="Caption"/>
        <w:rPr>
          <w:rFonts w:cstheme="minorHAnsi"/>
        </w:rPr>
      </w:pPr>
      <w:r w:rsidRPr="009C24F2">
        <w:rPr>
          <w:rFonts w:cstheme="minorHAnsi"/>
        </w:rPr>
        <w:t>Figure S8.1. Network graph of interventions in vasodilatory versus non-vasodilatory b-blockers network meta-analysis.</w:t>
      </w: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Default="00DC2FD9" w:rsidP="00DC2FD9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br w:type="page"/>
      </w: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Pr="009C24F2" w:rsidRDefault="00DC2FD9" w:rsidP="00DC2FD9">
      <w:pPr>
        <w:keepNext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</w:rPr>
        <w:drawing>
          <wp:inline distT="0" distB="0" distL="0" distR="0" wp14:anchorId="70F6C339" wp14:editId="45AC4942">
            <wp:extent cx="5727700" cy="13487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restvaso.pdf"/>
                    <pic:cNvPicPr/>
                  </pic:nvPicPr>
                  <pic:blipFill rotWithShape="1">
                    <a:blip r:embed="rId5"/>
                    <a:srcRect t="41934" b="39228"/>
                    <a:stretch/>
                  </pic:blipFill>
                  <pic:spPr bwMode="auto">
                    <a:xfrm>
                      <a:off x="0" y="0"/>
                      <a:ext cx="5727700" cy="13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FD9" w:rsidRDefault="00DC2FD9" w:rsidP="00DC2FD9">
      <w:pPr>
        <w:pStyle w:val="Caption"/>
        <w:rPr>
          <w:rFonts w:cstheme="minorHAnsi"/>
        </w:rPr>
      </w:pPr>
      <w:r w:rsidRPr="009C24F2">
        <w:rPr>
          <w:rFonts w:cstheme="minorHAnsi"/>
        </w:rPr>
        <w:t>Figure S8.2. Forest plot of the effect of vasodilatory versus non-vasodilatory b-blockers on erectile function.</w:t>
      </w:r>
    </w:p>
    <w:p w:rsidR="00DC2FD9" w:rsidRDefault="00DC2FD9" w:rsidP="00DC2FD9">
      <w:pPr>
        <w:rPr>
          <w:rFonts w:asciiTheme="minorHAnsi" w:eastAsiaTheme="minorHAnsi" w:hAnsiTheme="minorHAnsi" w:cstheme="minorHAnsi"/>
          <w:i/>
          <w:iCs/>
          <w:color w:val="44546A" w:themeColor="text2"/>
          <w:sz w:val="18"/>
          <w:szCs w:val="18"/>
          <w:lang w:eastAsia="en-US"/>
        </w:rPr>
      </w:pPr>
      <w:r>
        <w:rPr>
          <w:rFonts w:cstheme="minorHAnsi"/>
        </w:rPr>
        <w:br w:type="page"/>
      </w:r>
    </w:p>
    <w:p w:rsidR="00DC2FD9" w:rsidRDefault="00DC2FD9" w:rsidP="00DC2FD9">
      <w:pPr>
        <w:pStyle w:val="Caption"/>
        <w:rPr>
          <w:rFonts w:cstheme="minorHAnsi"/>
        </w:rPr>
      </w:pPr>
    </w:p>
    <w:p w:rsidR="00DC2FD9" w:rsidRDefault="00DC2FD9" w:rsidP="00DC2FD9">
      <w:pPr>
        <w:keepNext/>
      </w:pPr>
      <w:r>
        <w:rPr>
          <w:noProof/>
          <w:lang w:eastAsia="en-US"/>
        </w:rPr>
        <w:drawing>
          <wp:inline distT="0" distB="0" distL="0" distR="0" wp14:anchorId="7D834403" wp14:editId="2FD51B88">
            <wp:extent cx="3939702" cy="6566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nnelcas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4124" cy="657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D9" w:rsidRPr="00F93BED" w:rsidRDefault="00DC2FD9" w:rsidP="00DC2FD9">
      <w:pPr>
        <w:pStyle w:val="Caption"/>
      </w:pPr>
      <w:r>
        <w:t xml:space="preserve">Figure S8.3. </w:t>
      </w:r>
      <w:r w:rsidRPr="00243B52">
        <w:t>Funnel plot and Egger's test for publication bias assessment.</w:t>
      </w:r>
    </w:p>
    <w:p w:rsidR="00DC2FD9" w:rsidRPr="009C24F2" w:rsidRDefault="00DC2FD9" w:rsidP="00DC2FD9">
      <w:pPr>
        <w:rPr>
          <w:rFonts w:asciiTheme="minorHAnsi" w:hAnsiTheme="minorHAnsi" w:cstheme="minorHAnsi"/>
          <w:lang w:eastAsia="en-US"/>
        </w:rPr>
      </w:pPr>
    </w:p>
    <w:p w:rsidR="00DC2FD9" w:rsidRPr="009C24F2" w:rsidRDefault="00DC2FD9" w:rsidP="00DC2FD9">
      <w:pPr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br w:type="page"/>
      </w:r>
    </w:p>
    <w:p w:rsidR="00DC2FD9" w:rsidRPr="009C24F2" w:rsidRDefault="00DC2FD9" w:rsidP="00DC2FD9">
      <w:pPr>
        <w:pStyle w:val="Caption"/>
        <w:keepNext/>
        <w:rPr>
          <w:rFonts w:cstheme="minorHAnsi"/>
        </w:rPr>
      </w:pPr>
      <w:r w:rsidRPr="009C24F2">
        <w:rPr>
          <w:rFonts w:cstheme="minorHAnsi"/>
        </w:rPr>
        <w:lastRenderedPageBreak/>
        <w:t>Table S8.</w:t>
      </w:r>
      <w:r w:rsidRPr="009C24F2">
        <w:rPr>
          <w:rFonts w:cstheme="minorHAnsi"/>
          <w:noProof/>
        </w:rPr>
        <w:fldChar w:fldCharType="begin"/>
      </w:r>
      <w:r w:rsidRPr="009C24F2">
        <w:rPr>
          <w:rFonts w:cstheme="minorHAnsi"/>
          <w:noProof/>
        </w:rPr>
        <w:instrText xml:space="preserve"> SEQ Table \* ARABIC </w:instrText>
      </w:r>
      <w:r w:rsidRPr="009C24F2">
        <w:rPr>
          <w:rFonts w:cstheme="minorHAnsi"/>
          <w:noProof/>
        </w:rPr>
        <w:fldChar w:fldCharType="separate"/>
      </w:r>
      <w:r w:rsidRPr="009C24F2">
        <w:rPr>
          <w:rFonts w:cstheme="minorHAnsi"/>
          <w:noProof/>
        </w:rPr>
        <w:t>1</w:t>
      </w:r>
      <w:r w:rsidRPr="009C24F2">
        <w:rPr>
          <w:rFonts w:cstheme="minorHAnsi"/>
          <w:noProof/>
        </w:rPr>
        <w:fldChar w:fldCharType="end"/>
      </w:r>
      <w:r w:rsidRPr="009C24F2">
        <w:rPr>
          <w:rFonts w:cstheme="minorHAnsi"/>
        </w:rPr>
        <w:t>. Assessment of consistency of network meta-analysis model.</w:t>
      </w:r>
    </w:p>
    <w:tbl>
      <w:tblPr>
        <w:tblStyle w:val="TableGrid"/>
        <w:tblW w:w="3550" w:type="pct"/>
        <w:tblLook w:val="04A0" w:firstRow="1" w:lastRow="0" w:firstColumn="1" w:lastColumn="0" w:noHBand="0" w:noVBand="1"/>
      </w:tblPr>
      <w:tblGrid>
        <w:gridCol w:w="2364"/>
        <w:gridCol w:w="388"/>
        <w:gridCol w:w="778"/>
        <w:gridCol w:w="826"/>
        <w:gridCol w:w="924"/>
        <w:gridCol w:w="1117"/>
      </w:tblGrid>
      <w:tr w:rsidR="00DC2FD9" w:rsidRPr="009C24F2" w:rsidTr="00944468">
        <w:tc>
          <w:tcPr>
            <w:tcW w:w="184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Comparison</w:t>
            </w:r>
          </w:p>
        </w:tc>
        <w:tc>
          <w:tcPr>
            <w:tcW w:w="30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608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prop</w:t>
            </w:r>
          </w:p>
        </w:tc>
        <w:tc>
          <w:tcPr>
            <w:tcW w:w="646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NMA</w:t>
            </w:r>
          </w:p>
        </w:tc>
        <w:tc>
          <w:tcPr>
            <w:tcW w:w="72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Direct</w:t>
            </w:r>
          </w:p>
        </w:tc>
        <w:tc>
          <w:tcPr>
            <w:tcW w:w="87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Indirect</w:t>
            </w:r>
          </w:p>
        </w:tc>
      </w:tr>
      <w:tr w:rsidR="00DC2FD9" w:rsidRPr="009C24F2" w:rsidTr="00944468">
        <w:tc>
          <w:tcPr>
            <w:tcW w:w="184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Non-vasodilatory vs Placebo</w:t>
            </w:r>
          </w:p>
        </w:tc>
        <w:tc>
          <w:tcPr>
            <w:tcW w:w="30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08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646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72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9C24F2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87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0.11</w:t>
            </w:r>
          </w:p>
        </w:tc>
      </w:tr>
      <w:tr w:rsidR="00DC2FD9" w:rsidRPr="009C24F2" w:rsidTr="00944468">
        <w:tc>
          <w:tcPr>
            <w:tcW w:w="184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Non-vasodilatory vs Vasodilatory</w:t>
            </w:r>
          </w:p>
        </w:tc>
        <w:tc>
          <w:tcPr>
            <w:tcW w:w="30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08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646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72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0.45</w:t>
            </w:r>
          </w:p>
        </w:tc>
        <w:tc>
          <w:tcPr>
            <w:tcW w:w="87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4.3</w:t>
            </w:r>
          </w:p>
        </w:tc>
      </w:tr>
      <w:tr w:rsidR="00DC2FD9" w:rsidRPr="009C24F2" w:rsidTr="00944468">
        <w:tc>
          <w:tcPr>
            <w:tcW w:w="184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Vasodilatory vs Placebo</w:t>
            </w:r>
          </w:p>
        </w:tc>
        <w:tc>
          <w:tcPr>
            <w:tcW w:w="30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08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0.07</w:t>
            </w:r>
          </w:p>
        </w:tc>
        <w:tc>
          <w:tcPr>
            <w:tcW w:w="646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2.07</w:t>
            </w:r>
          </w:p>
        </w:tc>
        <w:tc>
          <w:tcPr>
            <w:tcW w:w="72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873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2.41</w:t>
            </w:r>
          </w:p>
        </w:tc>
      </w:tr>
    </w:tbl>
    <w:p w:rsidR="00DC2FD9" w:rsidRPr="009C24F2" w:rsidRDefault="00DC2FD9" w:rsidP="00DC2FD9">
      <w:pPr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*k: Number of studies providing direct evidence, prop: Direct evidence proportion, NMA: Estimated treatment effect (OR) in network meta-analysis, Direct: Estimated treatment effect (OR) derived from direct evidence, Indirect: Estimated treatment effect (OR) derived from indirect evidence</w:t>
      </w:r>
    </w:p>
    <w:p w:rsidR="00DC2FD9" w:rsidRPr="009C24F2" w:rsidRDefault="00DC2FD9" w:rsidP="00DC2FD9">
      <w:pPr>
        <w:rPr>
          <w:rFonts w:asciiTheme="minorHAnsi" w:hAnsiTheme="minorHAnsi" w:cstheme="minorHAnsi"/>
          <w:i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i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i/>
        </w:rPr>
      </w:pPr>
    </w:p>
    <w:p w:rsidR="00DC2FD9" w:rsidRPr="009C24F2" w:rsidRDefault="00DC2FD9" w:rsidP="00DC2FD9">
      <w:pPr>
        <w:rPr>
          <w:rFonts w:asciiTheme="minorHAnsi" w:hAnsiTheme="minorHAnsi" w:cstheme="minorHAnsi"/>
          <w:i/>
        </w:rPr>
      </w:pPr>
    </w:p>
    <w:p w:rsidR="00DC2FD9" w:rsidRPr="009C24F2" w:rsidRDefault="00DC2FD9" w:rsidP="00DC2FD9">
      <w:pPr>
        <w:pStyle w:val="Caption"/>
        <w:keepNext/>
        <w:rPr>
          <w:rFonts w:cstheme="minorHAnsi"/>
        </w:rPr>
      </w:pPr>
      <w:r w:rsidRPr="009C24F2">
        <w:rPr>
          <w:rFonts w:cstheme="minorHAnsi"/>
        </w:rPr>
        <w:t xml:space="preserve">Table </w:t>
      </w:r>
      <w:r w:rsidRPr="009C24F2">
        <w:rPr>
          <w:rFonts w:cstheme="minorHAnsi"/>
          <w:noProof/>
        </w:rPr>
        <w:t>S8.2</w:t>
      </w:r>
      <w:r w:rsidRPr="009C24F2">
        <w:rPr>
          <w:rFonts w:cstheme="minorHAnsi"/>
        </w:rPr>
        <w:t>. League table of estimated treatment effect in network meta-analysis.</w:t>
      </w:r>
    </w:p>
    <w:tbl>
      <w:tblPr>
        <w:tblStyle w:val="TableGrid"/>
        <w:tblW w:w="3887" w:type="pct"/>
        <w:tblLook w:val="04A0" w:firstRow="1" w:lastRow="0" w:firstColumn="1" w:lastColumn="0" w:noHBand="0" w:noVBand="1"/>
      </w:tblPr>
      <w:tblGrid>
        <w:gridCol w:w="2803"/>
        <w:gridCol w:w="2006"/>
        <w:gridCol w:w="2195"/>
      </w:tblGrid>
      <w:tr w:rsidR="00DC2FD9" w:rsidRPr="009C24F2" w:rsidTr="00944468">
        <w:tc>
          <w:tcPr>
            <w:tcW w:w="2001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Non-Vasodilatory</w:t>
            </w:r>
          </w:p>
        </w:tc>
        <w:tc>
          <w:tcPr>
            <w:tcW w:w="143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0.96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(0.32-2.82)</w:t>
            </w:r>
          </w:p>
        </w:tc>
        <w:tc>
          <w:tcPr>
            <w:tcW w:w="156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0.46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  <w:b/>
              </w:rPr>
              <w:t>(0.25-0.87)</w:t>
            </w:r>
          </w:p>
        </w:tc>
      </w:tr>
      <w:tr w:rsidR="00DC2FD9" w:rsidRPr="009C24F2" w:rsidTr="00944468">
        <w:tc>
          <w:tcPr>
            <w:tcW w:w="2001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1.04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(0.36-3.06)</w:t>
            </w:r>
          </w:p>
        </w:tc>
        <w:tc>
          <w:tcPr>
            <w:tcW w:w="143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Placebo</w:t>
            </w:r>
          </w:p>
        </w:tc>
        <w:tc>
          <w:tcPr>
            <w:tcW w:w="156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C24F2">
              <w:rPr>
                <w:rFonts w:asciiTheme="minorHAnsi" w:hAnsiTheme="minorHAnsi" w:cstheme="minorHAnsi"/>
                <w:bCs/>
              </w:rPr>
              <w:t>0.48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C24F2">
              <w:rPr>
                <w:rFonts w:asciiTheme="minorHAnsi" w:hAnsiTheme="minorHAnsi" w:cstheme="minorHAnsi"/>
                <w:bCs/>
              </w:rPr>
              <w:t>(0.14-1.65)</w:t>
            </w:r>
          </w:p>
        </w:tc>
      </w:tr>
      <w:tr w:rsidR="00DC2FD9" w:rsidRPr="009C24F2" w:rsidTr="00944468">
        <w:tc>
          <w:tcPr>
            <w:tcW w:w="2001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2.16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  <w:b/>
              </w:rPr>
              <w:t>(1.15-4.04)</w:t>
            </w:r>
          </w:p>
        </w:tc>
        <w:tc>
          <w:tcPr>
            <w:tcW w:w="1432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C24F2">
              <w:rPr>
                <w:rFonts w:asciiTheme="minorHAnsi" w:hAnsiTheme="minorHAnsi" w:cstheme="minorHAnsi"/>
                <w:bCs/>
              </w:rPr>
              <w:t>2.07</w:t>
            </w:r>
          </w:p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C24F2">
              <w:rPr>
                <w:rFonts w:asciiTheme="minorHAnsi" w:hAnsiTheme="minorHAnsi" w:cstheme="minorHAnsi"/>
                <w:bCs/>
              </w:rPr>
              <w:t>(0.61-7.1)</w:t>
            </w:r>
          </w:p>
        </w:tc>
        <w:tc>
          <w:tcPr>
            <w:tcW w:w="1567" w:type="pct"/>
            <w:vAlign w:val="center"/>
          </w:tcPr>
          <w:p w:rsidR="00DC2FD9" w:rsidRPr="009C24F2" w:rsidRDefault="00DC2FD9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Vasodilatory</w:t>
            </w:r>
          </w:p>
        </w:tc>
      </w:tr>
    </w:tbl>
    <w:p w:rsidR="00DC2FD9" w:rsidRDefault="00DC2FD9" w:rsidP="00DC2FD9">
      <w:pPr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*treatment effect is reported as odds ratio (95% confidence interval).</w:t>
      </w:r>
    </w:p>
    <w:p w:rsidR="00DC2FD9" w:rsidRPr="00B77528" w:rsidRDefault="00DC2FD9" w:rsidP="00DC2FD9">
      <w:pPr>
        <w:rPr>
          <w:rFonts w:asciiTheme="minorHAnsi" w:hAnsiTheme="minorHAnsi" w:cstheme="minorHAnsi"/>
          <w:i/>
        </w:rPr>
      </w:pPr>
      <w:r w:rsidRPr="00B77528">
        <w:rPr>
          <w:rFonts w:asciiTheme="minorHAnsi" w:hAnsiTheme="minorHAnsi" w:cstheme="minorHAnsi"/>
          <w:i/>
        </w:rPr>
        <w:t>**bold font indicates significant effect.</w:t>
      </w:r>
    </w:p>
    <w:p w:rsidR="00A34FC2" w:rsidRDefault="00A34FC2"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D9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C2FD9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FE4694D-B76C-834A-B466-9669AAEF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FD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F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F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table" w:styleId="TableGrid">
    <w:name w:val="Table Grid"/>
    <w:basedOn w:val="TableNormal"/>
    <w:uiPriority w:val="39"/>
    <w:rsid w:val="00DC2FD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C2FD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2020-11-18T18:53:00Z</dcterms:created>
  <dcterms:modified xsi:type="dcterms:W3CDTF">2020-11-18T18:54:00Z</dcterms:modified>
</cp:coreProperties>
</file>