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8FD" w:rsidRPr="009C24F2" w:rsidRDefault="008D68FD" w:rsidP="008D68FD">
      <w:pPr>
        <w:pStyle w:val="Heading1"/>
        <w:rPr>
          <w:rFonts w:asciiTheme="minorHAnsi" w:hAnsiTheme="minorHAnsi" w:cstheme="minorHAnsi"/>
        </w:rPr>
      </w:pPr>
      <w:r w:rsidRPr="009C24F2">
        <w:rPr>
          <w:rFonts w:asciiTheme="minorHAnsi" w:hAnsiTheme="minorHAnsi" w:cstheme="minorHAnsi"/>
        </w:rPr>
        <w:t xml:space="preserve">Data supplement </w:t>
      </w:r>
      <w:r>
        <w:rPr>
          <w:rFonts w:asciiTheme="minorHAnsi" w:hAnsiTheme="minorHAnsi" w:cstheme="minorHAnsi"/>
        </w:rPr>
        <w:t>IX</w:t>
      </w:r>
      <w:r w:rsidRPr="009C24F2">
        <w:rPr>
          <w:rFonts w:asciiTheme="minorHAnsi" w:hAnsiTheme="minorHAnsi" w:cstheme="minorHAnsi"/>
        </w:rPr>
        <w:t>: Network meta-analysis of nebivolol versus other vasodilatory versus non-vasodilatory β-blockers interventions.</w:t>
      </w:r>
    </w:p>
    <w:p w:rsidR="008D68FD" w:rsidRPr="009C24F2" w:rsidRDefault="008D68FD" w:rsidP="008D68FD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noProof/>
          <w:lang w:eastAsia="en-US"/>
        </w:rPr>
        <w:drawing>
          <wp:inline distT="0" distB="0" distL="0" distR="0" wp14:anchorId="65D08151" wp14:editId="0AFDF4A5">
            <wp:extent cx="5727700" cy="40303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twork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8FD" w:rsidRPr="009C24F2" w:rsidRDefault="008D68FD" w:rsidP="008D68FD">
      <w:pPr>
        <w:pStyle w:val="Caption"/>
        <w:rPr>
          <w:rFonts w:cstheme="minorHAnsi"/>
        </w:rPr>
      </w:pPr>
      <w:r w:rsidRPr="009C24F2">
        <w:rPr>
          <w:rFonts w:cstheme="minorHAnsi"/>
        </w:rPr>
        <w:t>Figure S9.1. Network graph of interventions in nebivolol versus other vasodilatory versus non-vasodilatory b-blockers network meta-analysis.</w:t>
      </w:r>
    </w:p>
    <w:p w:rsidR="008D68FD" w:rsidRPr="009C24F2" w:rsidRDefault="008D68FD" w:rsidP="008D68FD">
      <w:pPr>
        <w:rPr>
          <w:rFonts w:asciiTheme="minorHAnsi" w:hAnsiTheme="minorHAnsi" w:cstheme="minorHAnsi"/>
          <w:lang w:eastAsia="en-US"/>
        </w:rPr>
      </w:pPr>
    </w:p>
    <w:p w:rsidR="008D68FD" w:rsidRPr="009C24F2" w:rsidRDefault="008D68FD" w:rsidP="008D68FD">
      <w:pPr>
        <w:rPr>
          <w:rFonts w:asciiTheme="minorHAnsi" w:hAnsiTheme="minorHAnsi" w:cstheme="minorHAnsi"/>
          <w:lang w:eastAsia="en-US"/>
        </w:rPr>
      </w:pPr>
    </w:p>
    <w:p w:rsidR="008D68FD" w:rsidRPr="009C24F2" w:rsidRDefault="008D68FD" w:rsidP="008D68FD">
      <w:pPr>
        <w:rPr>
          <w:rFonts w:asciiTheme="minorHAnsi" w:hAnsiTheme="minorHAnsi" w:cstheme="minorHAnsi"/>
          <w:lang w:eastAsia="en-US"/>
        </w:rPr>
      </w:pPr>
    </w:p>
    <w:p w:rsidR="008D68FD" w:rsidRPr="009C24F2" w:rsidRDefault="008D68FD" w:rsidP="008D68FD">
      <w:pPr>
        <w:rPr>
          <w:rFonts w:asciiTheme="minorHAnsi" w:hAnsiTheme="minorHAnsi" w:cstheme="minorHAnsi"/>
          <w:lang w:eastAsia="en-US"/>
        </w:rPr>
      </w:pPr>
    </w:p>
    <w:p w:rsidR="008D68FD" w:rsidRDefault="008D68FD" w:rsidP="008D68FD">
      <w:pPr>
        <w:keepNext/>
      </w:pPr>
      <w:r>
        <w:rPr>
          <w:rFonts w:asciiTheme="minorHAnsi" w:eastAsiaTheme="minorHAnsi" w:hAnsiTheme="minorHAnsi" w:cstheme="minorHAnsi"/>
          <w:iCs/>
          <w:noProof/>
          <w:color w:val="44546A" w:themeColor="text2"/>
          <w:sz w:val="18"/>
          <w:szCs w:val="18"/>
          <w:lang w:eastAsia="en-US"/>
        </w:rPr>
        <w:lastRenderedPageBreak/>
        <w:drawing>
          <wp:inline distT="0" distB="0" distL="0" distR="0" wp14:anchorId="4B9F06DA" wp14:editId="2ED6B9C7">
            <wp:extent cx="5727700" cy="31070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unnel cat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8FD" w:rsidRPr="00F93BED" w:rsidRDefault="008D68FD" w:rsidP="008D68FD">
      <w:pPr>
        <w:pStyle w:val="Caption"/>
        <w:rPr>
          <w:rFonts w:cstheme="minorHAnsi"/>
          <w:iCs w:val="0"/>
        </w:rPr>
      </w:pPr>
      <w:r>
        <w:t xml:space="preserve">Figure S9.2. </w:t>
      </w:r>
      <w:r w:rsidRPr="00FD371C">
        <w:t>Funnel plot and Egger's test for publication bias assessment.</w:t>
      </w:r>
    </w:p>
    <w:p w:rsidR="008D68FD" w:rsidRPr="009C24F2" w:rsidRDefault="008D68FD" w:rsidP="008D68FD">
      <w:pPr>
        <w:rPr>
          <w:rFonts w:asciiTheme="minorHAnsi" w:hAnsiTheme="minorHAnsi" w:cstheme="minorHAnsi"/>
          <w:lang w:eastAsia="en-US"/>
        </w:rPr>
      </w:pPr>
      <w:r w:rsidRPr="009C24F2">
        <w:rPr>
          <w:rFonts w:asciiTheme="minorHAnsi" w:hAnsiTheme="minorHAnsi" w:cstheme="minorHAnsi"/>
          <w:lang w:eastAsia="en-US"/>
        </w:rPr>
        <w:br w:type="page"/>
      </w:r>
    </w:p>
    <w:p w:rsidR="008D68FD" w:rsidRPr="009C24F2" w:rsidRDefault="008D68FD" w:rsidP="008D68FD">
      <w:pPr>
        <w:pStyle w:val="Caption"/>
        <w:keepNext/>
        <w:rPr>
          <w:rFonts w:cstheme="minorHAnsi"/>
        </w:rPr>
      </w:pPr>
      <w:r w:rsidRPr="009C24F2">
        <w:rPr>
          <w:rFonts w:cstheme="minorHAnsi"/>
        </w:rPr>
        <w:lastRenderedPageBreak/>
        <w:t>Table S9.</w:t>
      </w:r>
      <w:r w:rsidRPr="009C24F2">
        <w:rPr>
          <w:rFonts w:cstheme="minorHAnsi"/>
          <w:noProof/>
        </w:rPr>
        <w:fldChar w:fldCharType="begin"/>
      </w:r>
      <w:r w:rsidRPr="009C24F2">
        <w:rPr>
          <w:rFonts w:cstheme="minorHAnsi"/>
          <w:noProof/>
        </w:rPr>
        <w:instrText xml:space="preserve"> SEQ Table \* ARABIC </w:instrText>
      </w:r>
      <w:r w:rsidRPr="009C24F2">
        <w:rPr>
          <w:rFonts w:cstheme="minorHAnsi"/>
          <w:noProof/>
        </w:rPr>
        <w:fldChar w:fldCharType="separate"/>
      </w:r>
      <w:r w:rsidRPr="009C24F2">
        <w:rPr>
          <w:rFonts w:cstheme="minorHAnsi"/>
          <w:noProof/>
        </w:rPr>
        <w:t>1</w:t>
      </w:r>
      <w:r w:rsidRPr="009C24F2">
        <w:rPr>
          <w:rFonts w:cstheme="minorHAnsi"/>
          <w:noProof/>
        </w:rPr>
        <w:fldChar w:fldCharType="end"/>
      </w:r>
      <w:r w:rsidRPr="009C24F2">
        <w:rPr>
          <w:rFonts w:cstheme="minorHAnsi"/>
        </w:rPr>
        <w:t>. Assessment of consistency of network meta-analysis model.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82"/>
        <w:gridCol w:w="359"/>
        <w:gridCol w:w="721"/>
        <w:gridCol w:w="764"/>
        <w:gridCol w:w="854"/>
        <w:gridCol w:w="1033"/>
        <w:gridCol w:w="1033"/>
        <w:gridCol w:w="1033"/>
        <w:gridCol w:w="1031"/>
      </w:tblGrid>
      <w:tr w:rsidR="008D68FD" w:rsidRPr="009C24F2" w:rsidTr="00944468">
        <w:tc>
          <w:tcPr>
            <w:tcW w:w="1211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Comparison</w:t>
            </w:r>
          </w:p>
        </w:tc>
        <w:tc>
          <w:tcPr>
            <w:tcW w:w="199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k</w:t>
            </w:r>
          </w:p>
        </w:tc>
        <w:tc>
          <w:tcPr>
            <w:tcW w:w="400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prop</w:t>
            </w:r>
          </w:p>
        </w:tc>
        <w:tc>
          <w:tcPr>
            <w:tcW w:w="42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NMA</w:t>
            </w:r>
          </w:p>
        </w:tc>
        <w:tc>
          <w:tcPr>
            <w:tcW w:w="47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Direct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Indirect</w:t>
            </w:r>
          </w:p>
        </w:tc>
        <w:tc>
          <w:tcPr>
            <w:tcW w:w="573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RoR</w:t>
            </w:r>
          </w:p>
        </w:tc>
        <w:tc>
          <w:tcPr>
            <w:tcW w:w="573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z</w:t>
            </w:r>
          </w:p>
        </w:tc>
        <w:tc>
          <w:tcPr>
            <w:tcW w:w="572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p-value</w:t>
            </w:r>
          </w:p>
        </w:tc>
      </w:tr>
      <w:tr w:rsidR="008D68FD" w:rsidRPr="009C24F2" w:rsidTr="00944468">
        <w:tc>
          <w:tcPr>
            <w:tcW w:w="1211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Nebivolol : Non-vasodilatory</w:t>
            </w:r>
          </w:p>
        </w:tc>
        <w:tc>
          <w:tcPr>
            <w:tcW w:w="199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00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2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2.92</w:t>
            </w:r>
          </w:p>
        </w:tc>
        <w:tc>
          <w:tcPr>
            <w:tcW w:w="47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2.92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2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</w:tr>
      <w:tr w:rsidR="008D68FD" w:rsidRPr="009C24F2" w:rsidTr="00944468">
        <w:tc>
          <w:tcPr>
            <w:tcW w:w="1211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Nebivolol : Placebo</w:t>
            </w:r>
          </w:p>
        </w:tc>
        <w:tc>
          <w:tcPr>
            <w:tcW w:w="199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00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2.87</w:t>
            </w:r>
          </w:p>
        </w:tc>
        <w:tc>
          <w:tcPr>
            <w:tcW w:w="47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2.87</w:t>
            </w:r>
          </w:p>
        </w:tc>
        <w:tc>
          <w:tcPr>
            <w:tcW w:w="573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3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2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</w:tr>
      <w:tr w:rsidR="008D68FD" w:rsidRPr="009C24F2" w:rsidTr="00944468">
        <w:tc>
          <w:tcPr>
            <w:tcW w:w="1211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Nebivolol : Vasodilatory</w:t>
            </w:r>
          </w:p>
        </w:tc>
        <w:tc>
          <w:tcPr>
            <w:tcW w:w="199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00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2.15</w:t>
            </w:r>
          </w:p>
        </w:tc>
        <w:tc>
          <w:tcPr>
            <w:tcW w:w="47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2.15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2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</w:t>
            </w:r>
          </w:p>
        </w:tc>
      </w:tr>
      <w:tr w:rsidR="008D68FD" w:rsidRPr="009C24F2" w:rsidTr="00944468">
        <w:tc>
          <w:tcPr>
            <w:tcW w:w="1211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Non-Vasodilatory : Placebo</w:t>
            </w:r>
          </w:p>
        </w:tc>
        <w:tc>
          <w:tcPr>
            <w:tcW w:w="199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00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42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0.98</w:t>
            </w:r>
          </w:p>
        </w:tc>
        <w:tc>
          <w:tcPr>
            <w:tcW w:w="47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1.07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0.17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6.3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0.72</w:t>
            </w:r>
          </w:p>
        </w:tc>
        <w:tc>
          <w:tcPr>
            <w:tcW w:w="572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0.47</w:t>
            </w:r>
          </w:p>
        </w:tc>
      </w:tr>
      <w:tr w:rsidR="008D68FD" w:rsidRPr="009C24F2" w:rsidTr="00944468">
        <w:tc>
          <w:tcPr>
            <w:tcW w:w="1211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Non-Vasodilatory : Placebo</w:t>
            </w:r>
          </w:p>
        </w:tc>
        <w:tc>
          <w:tcPr>
            <w:tcW w:w="199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00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0.96</w:t>
            </w:r>
          </w:p>
        </w:tc>
        <w:tc>
          <w:tcPr>
            <w:tcW w:w="42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0.74</w:t>
            </w:r>
          </w:p>
        </w:tc>
        <w:tc>
          <w:tcPr>
            <w:tcW w:w="47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0.68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4.3</w:t>
            </w:r>
          </w:p>
        </w:tc>
        <w:tc>
          <w:tcPr>
            <w:tcW w:w="573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0.16</w:t>
            </w:r>
          </w:p>
        </w:tc>
        <w:tc>
          <w:tcPr>
            <w:tcW w:w="573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-0.72</w:t>
            </w:r>
          </w:p>
        </w:tc>
        <w:tc>
          <w:tcPr>
            <w:tcW w:w="572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0.47</w:t>
            </w:r>
          </w:p>
        </w:tc>
      </w:tr>
      <w:tr w:rsidR="008D68FD" w:rsidRPr="009C24F2" w:rsidTr="00944468">
        <w:tc>
          <w:tcPr>
            <w:tcW w:w="1211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Vasodilatory : Placebo</w:t>
            </w:r>
          </w:p>
        </w:tc>
        <w:tc>
          <w:tcPr>
            <w:tcW w:w="199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00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0.09</w:t>
            </w:r>
          </w:p>
        </w:tc>
        <w:tc>
          <w:tcPr>
            <w:tcW w:w="42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1.33</w:t>
            </w:r>
          </w:p>
        </w:tc>
        <w:tc>
          <w:tcPr>
            <w:tcW w:w="474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0.25</w:t>
            </w:r>
          </w:p>
        </w:tc>
        <w:tc>
          <w:tcPr>
            <w:tcW w:w="57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1.57</w:t>
            </w:r>
          </w:p>
        </w:tc>
        <w:tc>
          <w:tcPr>
            <w:tcW w:w="573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0.16</w:t>
            </w:r>
          </w:p>
        </w:tc>
        <w:tc>
          <w:tcPr>
            <w:tcW w:w="573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-0.72</w:t>
            </w:r>
          </w:p>
        </w:tc>
        <w:tc>
          <w:tcPr>
            <w:tcW w:w="572" w:type="pct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0.47</w:t>
            </w:r>
          </w:p>
        </w:tc>
      </w:tr>
    </w:tbl>
    <w:p w:rsidR="008D68FD" w:rsidRPr="009C24F2" w:rsidRDefault="008D68FD" w:rsidP="008D68FD">
      <w:pPr>
        <w:jc w:val="both"/>
        <w:rPr>
          <w:rFonts w:asciiTheme="minorHAnsi" w:hAnsiTheme="minorHAnsi" w:cstheme="minorHAnsi"/>
          <w:i/>
        </w:rPr>
      </w:pPr>
      <w:r w:rsidRPr="009C24F2">
        <w:rPr>
          <w:rFonts w:asciiTheme="minorHAnsi" w:hAnsiTheme="minorHAnsi" w:cstheme="minorHAnsi"/>
          <w:i/>
        </w:rPr>
        <w:t>*k: Number of studies providing direct evidence, prop: Direct evidence proportion, NMA: Estimated treatment effect (OR) in network meta-analysis, Direct: Estimated treatment effect (OR) derived from direct evidence, Indirect: Estimated treatment effect (OR) derived from indirect evidence, RoR: Ratio of Ratios (direct versus indirect), z: z-value of test for disagreement (direct versus indirect), p-value: p-value of test for disagreement (direct versus indirect)</w:t>
      </w:r>
    </w:p>
    <w:p w:rsidR="008D68FD" w:rsidRPr="009C24F2" w:rsidRDefault="008D68FD" w:rsidP="008D68FD">
      <w:pPr>
        <w:jc w:val="both"/>
        <w:rPr>
          <w:rFonts w:asciiTheme="minorHAnsi" w:hAnsiTheme="minorHAnsi" w:cstheme="minorHAnsi"/>
          <w:i/>
        </w:rPr>
      </w:pPr>
    </w:p>
    <w:p w:rsidR="008D68FD" w:rsidRPr="009C24F2" w:rsidRDefault="008D68FD" w:rsidP="008D68FD">
      <w:pPr>
        <w:jc w:val="both"/>
        <w:rPr>
          <w:rFonts w:asciiTheme="minorHAnsi" w:hAnsiTheme="minorHAnsi" w:cstheme="minorHAnsi"/>
          <w:i/>
        </w:rPr>
      </w:pPr>
    </w:p>
    <w:p w:rsidR="008D68FD" w:rsidRPr="009C24F2" w:rsidRDefault="008D68FD" w:rsidP="008D68FD">
      <w:pPr>
        <w:jc w:val="both"/>
        <w:rPr>
          <w:rFonts w:asciiTheme="minorHAnsi" w:hAnsiTheme="minorHAnsi" w:cstheme="minorHAnsi"/>
          <w:i/>
        </w:rPr>
      </w:pPr>
    </w:p>
    <w:p w:rsidR="008D68FD" w:rsidRPr="009C24F2" w:rsidRDefault="008D68FD" w:rsidP="008D68FD">
      <w:pPr>
        <w:jc w:val="both"/>
        <w:rPr>
          <w:rFonts w:asciiTheme="minorHAnsi" w:hAnsiTheme="minorHAnsi" w:cstheme="minorHAnsi"/>
          <w:i/>
        </w:rPr>
      </w:pPr>
    </w:p>
    <w:p w:rsidR="008D68FD" w:rsidRPr="009C24F2" w:rsidRDefault="008D68FD" w:rsidP="008D68FD">
      <w:pPr>
        <w:jc w:val="both"/>
        <w:rPr>
          <w:rFonts w:asciiTheme="minorHAnsi" w:hAnsiTheme="minorHAnsi" w:cstheme="minorHAnsi"/>
          <w:i/>
        </w:rPr>
      </w:pPr>
    </w:p>
    <w:p w:rsidR="008D68FD" w:rsidRPr="009C24F2" w:rsidRDefault="008D68FD" w:rsidP="008D68FD">
      <w:pPr>
        <w:jc w:val="both"/>
        <w:rPr>
          <w:rFonts w:asciiTheme="minorHAnsi" w:hAnsiTheme="minorHAnsi" w:cstheme="minorHAnsi"/>
          <w:i/>
        </w:rPr>
      </w:pPr>
    </w:p>
    <w:p w:rsidR="008D68FD" w:rsidRPr="009C24F2" w:rsidRDefault="008D68FD" w:rsidP="008D68FD">
      <w:pPr>
        <w:pStyle w:val="Caption"/>
        <w:keepNext/>
        <w:rPr>
          <w:rFonts w:cstheme="minorHAnsi"/>
        </w:rPr>
      </w:pPr>
      <w:r w:rsidRPr="009C24F2">
        <w:rPr>
          <w:rFonts w:cstheme="minorHAnsi"/>
        </w:rPr>
        <w:t>Table S9.</w:t>
      </w:r>
      <w:r w:rsidRPr="009C24F2">
        <w:rPr>
          <w:rFonts w:cstheme="minorHAnsi"/>
          <w:noProof/>
        </w:rPr>
        <w:t>2</w:t>
      </w:r>
      <w:r w:rsidRPr="009C24F2">
        <w:rPr>
          <w:rFonts w:cstheme="minorHAnsi"/>
        </w:rPr>
        <w:t>. League table of estimated treatment effect in network meta-analysis.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03"/>
        <w:gridCol w:w="2006"/>
        <w:gridCol w:w="2195"/>
        <w:gridCol w:w="2006"/>
      </w:tblGrid>
      <w:tr w:rsidR="008D68FD" w:rsidRPr="009C24F2" w:rsidTr="00944468">
        <w:tc>
          <w:tcPr>
            <w:tcW w:w="1555" w:type="pct"/>
            <w:vAlign w:val="center"/>
          </w:tcPr>
          <w:p w:rsidR="008D68FD" w:rsidRPr="00B330E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30E2">
              <w:rPr>
                <w:rFonts w:asciiTheme="minorHAnsi" w:hAnsiTheme="minorHAnsi" w:cstheme="minorHAnsi"/>
                <w:b/>
              </w:rPr>
              <w:t>Nebivolol</w:t>
            </w:r>
          </w:p>
        </w:tc>
        <w:tc>
          <w:tcPr>
            <w:tcW w:w="1113" w:type="pct"/>
            <w:vAlign w:val="bottom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2.92 (1.3-6.54)</w:t>
            </w:r>
          </w:p>
        </w:tc>
        <w:tc>
          <w:tcPr>
            <w:tcW w:w="1218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2.87 (0.75-11.04)</w:t>
            </w:r>
          </w:p>
        </w:tc>
        <w:tc>
          <w:tcPr>
            <w:tcW w:w="111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2.15 (0.6-7.77)</w:t>
            </w:r>
          </w:p>
        </w:tc>
      </w:tr>
      <w:tr w:rsidR="008D68FD" w:rsidRPr="009C24F2" w:rsidTr="00944468">
        <w:tc>
          <w:tcPr>
            <w:tcW w:w="1555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F2">
              <w:rPr>
                <w:rFonts w:asciiTheme="minorHAnsi" w:hAnsiTheme="minorHAnsi" w:cstheme="minorHAnsi"/>
                <w:b/>
              </w:rPr>
              <w:t>0.34 (0.15-0.77)</w:t>
            </w:r>
          </w:p>
        </w:tc>
        <w:tc>
          <w:tcPr>
            <w:tcW w:w="1113" w:type="pct"/>
            <w:vAlign w:val="center"/>
          </w:tcPr>
          <w:p w:rsidR="008D68FD" w:rsidRPr="00B330E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30E2">
              <w:rPr>
                <w:rFonts w:asciiTheme="minorHAnsi" w:hAnsiTheme="minorHAnsi" w:cstheme="minorHAnsi"/>
                <w:b/>
              </w:rPr>
              <w:t>Non-vasodilatory</w:t>
            </w:r>
          </w:p>
        </w:tc>
        <w:tc>
          <w:tcPr>
            <w:tcW w:w="1218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0.98 (0.33-2.89)</w:t>
            </w:r>
          </w:p>
        </w:tc>
        <w:tc>
          <w:tcPr>
            <w:tcW w:w="111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0.73 (0.27-2)</w:t>
            </w:r>
          </w:p>
        </w:tc>
      </w:tr>
      <w:tr w:rsidR="008D68FD" w:rsidRPr="009C24F2" w:rsidTr="00944468">
        <w:tc>
          <w:tcPr>
            <w:tcW w:w="1555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0.35 (0.09-1.34)</w:t>
            </w:r>
          </w:p>
        </w:tc>
        <w:tc>
          <w:tcPr>
            <w:tcW w:w="111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1.02 (0.35-3)</w:t>
            </w:r>
          </w:p>
        </w:tc>
        <w:tc>
          <w:tcPr>
            <w:tcW w:w="1218" w:type="pct"/>
            <w:vAlign w:val="center"/>
          </w:tcPr>
          <w:p w:rsidR="008D68FD" w:rsidRPr="00B330E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30E2">
              <w:rPr>
                <w:rFonts w:asciiTheme="minorHAnsi" w:hAnsiTheme="minorHAnsi" w:cstheme="minorHAnsi"/>
                <w:b/>
              </w:rPr>
              <w:t>Placebo</w:t>
            </w:r>
          </w:p>
        </w:tc>
        <w:tc>
          <w:tcPr>
            <w:tcW w:w="111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0.75 (0.18-3.15)</w:t>
            </w:r>
          </w:p>
        </w:tc>
      </w:tr>
      <w:tr w:rsidR="008D68FD" w:rsidRPr="009C24F2" w:rsidTr="00944468">
        <w:tc>
          <w:tcPr>
            <w:tcW w:w="1555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0.47 (0.13-1.68)</w:t>
            </w:r>
          </w:p>
        </w:tc>
        <w:tc>
          <w:tcPr>
            <w:tcW w:w="1113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>1.36 (0.5-3.69)</w:t>
            </w:r>
          </w:p>
        </w:tc>
        <w:tc>
          <w:tcPr>
            <w:tcW w:w="1218" w:type="pct"/>
            <w:vAlign w:val="center"/>
          </w:tcPr>
          <w:p w:rsidR="008D68FD" w:rsidRPr="009C24F2" w:rsidRDefault="008D68FD" w:rsidP="00944468">
            <w:pPr>
              <w:jc w:val="center"/>
              <w:rPr>
                <w:rFonts w:asciiTheme="minorHAnsi" w:hAnsiTheme="minorHAnsi" w:cstheme="minorHAnsi"/>
              </w:rPr>
            </w:pPr>
            <w:r w:rsidRPr="009C24F2">
              <w:rPr>
                <w:rFonts w:asciiTheme="minorHAnsi" w:hAnsiTheme="minorHAnsi" w:cstheme="minorHAnsi"/>
              </w:rPr>
              <w:t xml:space="preserve"> 1.33 (0.32-5.61)</w:t>
            </w:r>
          </w:p>
        </w:tc>
        <w:tc>
          <w:tcPr>
            <w:tcW w:w="1113" w:type="pct"/>
            <w:vAlign w:val="center"/>
          </w:tcPr>
          <w:p w:rsidR="008D68FD" w:rsidRPr="00B330E2" w:rsidRDefault="008D68FD" w:rsidP="0094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30E2">
              <w:rPr>
                <w:rFonts w:asciiTheme="minorHAnsi" w:hAnsiTheme="minorHAnsi" w:cstheme="minorHAnsi"/>
                <w:b/>
              </w:rPr>
              <w:t>Vasodilatory</w:t>
            </w:r>
          </w:p>
        </w:tc>
      </w:tr>
    </w:tbl>
    <w:p w:rsidR="008D68FD" w:rsidRDefault="008D68FD" w:rsidP="008D68FD">
      <w:pPr>
        <w:rPr>
          <w:rFonts w:asciiTheme="minorHAnsi" w:hAnsiTheme="minorHAnsi" w:cstheme="minorHAnsi"/>
          <w:i/>
        </w:rPr>
      </w:pPr>
      <w:r w:rsidRPr="009C24F2">
        <w:rPr>
          <w:rFonts w:asciiTheme="minorHAnsi" w:hAnsiTheme="minorHAnsi" w:cstheme="minorHAnsi"/>
          <w:i/>
        </w:rPr>
        <w:t>*treatment effect is reported as odds ratio (95% confidence interval)</w:t>
      </w:r>
    </w:p>
    <w:p w:rsidR="008D68FD" w:rsidRPr="00B77528" w:rsidRDefault="008D68FD" w:rsidP="008D68FD">
      <w:pPr>
        <w:rPr>
          <w:rFonts w:asciiTheme="minorHAnsi" w:hAnsiTheme="minorHAnsi" w:cstheme="minorHAnsi"/>
          <w:i/>
        </w:rPr>
      </w:pPr>
      <w:r w:rsidRPr="00B77528">
        <w:rPr>
          <w:rFonts w:asciiTheme="minorHAnsi" w:hAnsiTheme="minorHAnsi" w:cstheme="minorHAnsi"/>
          <w:i/>
        </w:rPr>
        <w:t>**bold font indicates significant effect.</w:t>
      </w:r>
    </w:p>
    <w:p w:rsidR="008D68FD" w:rsidRPr="009C24F2" w:rsidRDefault="008D68FD" w:rsidP="008D68FD">
      <w:pPr>
        <w:rPr>
          <w:rFonts w:asciiTheme="minorHAnsi" w:hAnsiTheme="minorHAnsi" w:cstheme="minorHAnsi"/>
          <w:i/>
        </w:rPr>
      </w:pPr>
    </w:p>
    <w:p w:rsidR="00A34FC2" w:rsidRDefault="00A34FC2">
      <w:bookmarkStart w:id="0" w:name="_GoBack"/>
      <w:bookmarkEnd w:id="0"/>
    </w:p>
    <w:sectPr w:rsidR="00A34FC2" w:rsidSect="009B66FC">
      <w:headerReference w:type="default" r:id="rId6"/>
      <w:footerReference w:type="even" r:id="rId7"/>
      <w:footerReference w:type="default" r:id="rId8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570140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F3B83" w:rsidRDefault="008D68FD" w:rsidP="004B5A1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F3B83" w:rsidRDefault="008D68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3967010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F3B83" w:rsidRDefault="008D68FD" w:rsidP="004B5A1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:rsidR="008F3B83" w:rsidRDefault="008D68F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B83" w:rsidRPr="002716C5" w:rsidRDefault="008D68FD" w:rsidP="002716C5">
    <w:pPr>
      <w:pStyle w:val="Header"/>
      <w:jc w:val="center"/>
      <w:rPr>
        <w:rFonts w:ascii="Times New Roman" w:hAnsi="Times New Roman" w:cs="Times New Roman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FD"/>
    <w:rsid w:val="0003148F"/>
    <w:rsid w:val="0005304E"/>
    <w:rsid w:val="00067DF5"/>
    <w:rsid w:val="00073657"/>
    <w:rsid w:val="00087DD6"/>
    <w:rsid w:val="000A64CA"/>
    <w:rsid w:val="000D0BE4"/>
    <w:rsid w:val="00125AD0"/>
    <w:rsid w:val="00155804"/>
    <w:rsid w:val="001D19D6"/>
    <w:rsid w:val="001D5816"/>
    <w:rsid w:val="001F29F9"/>
    <w:rsid w:val="002136EB"/>
    <w:rsid w:val="00230C39"/>
    <w:rsid w:val="00282A21"/>
    <w:rsid w:val="002850EB"/>
    <w:rsid w:val="002E1D8D"/>
    <w:rsid w:val="002E4EE9"/>
    <w:rsid w:val="002E6775"/>
    <w:rsid w:val="00314AEC"/>
    <w:rsid w:val="00350E79"/>
    <w:rsid w:val="0036774A"/>
    <w:rsid w:val="003C36BA"/>
    <w:rsid w:val="003D585C"/>
    <w:rsid w:val="004E739F"/>
    <w:rsid w:val="00552C25"/>
    <w:rsid w:val="005536D8"/>
    <w:rsid w:val="00565BD0"/>
    <w:rsid w:val="00624FFE"/>
    <w:rsid w:val="00633CB9"/>
    <w:rsid w:val="00690857"/>
    <w:rsid w:val="0069148E"/>
    <w:rsid w:val="00761094"/>
    <w:rsid w:val="00763597"/>
    <w:rsid w:val="007676AD"/>
    <w:rsid w:val="00775551"/>
    <w:rsid w:val="00800BC9"/>
    <w:rsid w:val="008109B5"/>
    <w:rsid w:val="008609F9"/>
    <w:rsid w:val="00874331"/>
    <w:rsid w:val="008C5068"/>
    <w:rsid w:val="008D68FD"/>
    <w:rsid w:val="00971869"/>
    <w:rsid w:val="009A2526"/>
    <w:rsid w:val="009F1D9C"/>
    <w:rsid w:val="00A1478E"/>
    <w:rsid w:val="00A22CF0"/>
    <w:rsid w:val="00A34FC2"/>
    <w:rsid w:val="00A52AE0"/>
    <w:rsid w:val="00AD05E1"/>
    <w:rsid w:val="00B04A4A"/>
    <w:rsid w:val="00B74738"/>
    <w:rsid w:val="00C3081E"/>
    <w:rsid w:val="00CE638D"/>
    <w:rsid w:val="00CF082B"/>
    <w:rsid w:val="00D168B1"/>
    <w:rsid w:val="00D250A2"/>
    <w:rsid w:val="00D42070"/>
    <w:rsid w:val="00D611EB"/>
    <w:rsid w:val="00D73709"/>
    <w:rsid w:val="00DA38F4"/>
    <w:rsid w:val="00DE3842"/>
    <w:rsid w:val="00DF53DC"/>
    <w:rsid w:val="00DF5635"/>
    <w:rsid w:val="00E75087"/>
    <w:rsid w:val="00EF0D79"/>
    <w:rsid w:val="00EF5F38"/>
    <w:rsid w:val="00F63B43"/>
    <w:rsid w:val="00F63F49"/>
    <w:rsid w:val="00FB540C"/>
    <w:rsid w:val="00FE4BB9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293AFAC6-DDFE-8046-9A80-DB709AFC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8FD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68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8F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D68F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D68FD"/>
  </w:style>
  <w:style w:type="paragraph" w:styleId="Footer">
    <w:name w:val="footer"/>
    <w:basedOn w:val="Normal"/>
    <w:link w:val="FooterChar"/>
    <w:uiPriority w:val="99"/>
    <w:unhideWhenUsed/>
    <w:rsid w:val="008D68F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D68FD"/>
  </w:style>
  <w:style w:type="table" w:styleId="TableGrid">
    <w:name w:val="Table Grid"/>
    <w:basedOn w:val="TableNormal"/>
    <w:uiPriority w:val="39"/>
    <w:rsid w:val="008D68FD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D68FD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D6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Farmakis</dc:creator>
  <cp:keywords/>
  <dc:description/>
  <cp:lastModifiedBy>Ioannis Farmakis</cp:lastModifiedBy>
  <cp:revision>1</cp:revision>
  <dcterms:created xsi:type="dcterms:W3CDTF">2020-11-18T18:54:00Z</dcterms:created>
  <dcterms:modified xsi:type="dcterms:W3CDTF">2020-11-18T18:54:00Z</dcterms:modified>
</cp:coreProperties>
</file>