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D53F02" w14:textId="77777777" w:rsidR="00006D67" w:rsidRPr="00006D67" w:rsidRDefault="00006D67" w:rsidP="00006D67">
      <w:pPr>
        <w:pStyle w:val="MDPI41tablecaption"/>
        <w:ind w:left="0" w:firstLine="425"/>
        <w:rPr>
          <w:rFonts w:ascii="Times New Roman" w:hAnsi="Times New Roman" w:cs="Times New Roman"/>
          <w:b/>
          <w:bCs/>
          <w:sz w:val="44"/>
          <w:szCs w:val="44"/>
        </w:rPr>
      </w:pPr>
      <w:r w:rsidRPr="00006D67">
        <w:rPr>
          <w:rFonts w:ascii="Times New Roman" w:hAnsi="Times New Roman" w:cs="Times New Roman"/>
          <w:b/>
          <w:bCs/>
          <w:sz w:val="44"/>
          <w:szCs w:val="44"/>
        </w:rPr>
        <w:t>Supplementary figures and tables</w:t>
      </w:r>
    </w:p>
    <w:p w14:paraId="17DEF0B1" w14:textId="44970E7D" w:rsidR="00006D67" w:rsidRPr="00006D67" w:rsidRDefault="00006D67" w:rsidP="00006D67">
      <w:pPr>
        <w:pStyle w:val="MDPI51figurecaption"/>
        <w:ind w:left="425" w:right="425"/>
        <w:jc w:val="both"/>
        <w:rPr>
          <w:rFonts w:ascii="Times New Roman" w:hAnsi="Times New Roman"/>
          <w:b/>
        </w:rPr>
      </w:pPr>
      <w:r w:rsidRPr="00006D67">
        <w:rPr>
          <w:rFonts w:ascii="Times New Roman" w:hAnsi="Times New Roman"/>
          <w:b/>
          <w:noProof/>
        </w:rPr>
        <w:drawing>
          <wp:inline distT="0" distB="0" distL="0" distR="0" wp14:anchorId="3ED98A4F" wp14:editId="3DC4DE75">
            <wp:extent cx="6638925" cy="428625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9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C47C48" w14:textId="77777777" w:rsidR="00006D67" w:rsidRPr="00006D67" w:rsidRDefault="00006D67" w:rsidP="00006D67">
      <w:pPr>
        <w:pStyle w:val="MDPI51figurecaption"/>
        <w:ind w:left="0"/>
        <w:rPr>
          <w:rFonts w:ascii="Times New Roman" w:eastAsia="等线" w:hAnsi="Times New Roman"/>
        </w:rPr>
      </w:pPr>
      <w:r w:rsidRPr="00006D67">
        <w:rPr>
          <w:rFonts w:ascii="Times New Roman" w:eastAsia="等线" w:hAnsi="Times New Roman"/>
          <w:b/>
          <w:bCs/>
        </w:rPr>
        <w:t>Supplementary Figure 1</w:t>
      </w:r>
      <w:r w:rsidRPr="00006D67">
        <w:rPr>
          <w:rFonts w:ascii="Times New Roman" w:eastAsia="等线" w:hAnsi="Times New Roman"/>
        </w:rPr>
        <w:t>. Study design and work-flow of the analysis.</w:t>
      </w:r>
    </w:p>
    <w:p w14:paraId="32E0C906" w14:textId="5B5520F8" w:rsidR="00006D67" w:rsidRPr="00006D67" w:rsidRDefault="00006D67" w:rsidP="00006D67">
      <w:pPr>
        <w:pStyle w:val="MDPI51figurecaption"/>
        <w:ind w:left="425" w:right="425"/>
        <w:jc w:val="center"/>
        <w:rPr>
          <w:rFonts w:ascii="Times New Roman" w:hAnsi="Times New Roman"/>
          <w:b/>
        </w:rPr>
      </w:pPr>
      <w:r w:rsidRPr="00006D67">
        <w:rPr>
          <w:rFonts w:ascii="Times New Roman" w:hAnsi="Times New Roman"/>
          <w:b/>
          <w:noProof/>
        </w:rPr>
        <w:drawing>
          <wp:inline distT="0" distB="0" distL="0" distR="0" wp14:anchorId="3A9BDAEE" wp14:editId="2AE2D6BF">
            <wp:extent cx="5643880" cy="3215005"/>
            <wp:effectExtent l="0" t="0" r="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389" b="126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880" cy="321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8CB01C" w14:textId="77777777" w:rsidR="00006D67" w:rsidRPr="00006D67" w:rsidRDefault="00006D67" w:rsidP="00006D67">
      <w:pPr>
        <w:pStyle w:val="MDPI51figurecaption"/>
        <w:ind w:left="0"/>
        <w:rPr>
          <w:rFonts w:ascii="Times New Roman" w:eastAsia="等线" w:hAnsi="Times New Roman"/>
        </w:rPr>
      </w:pPr>
      <w:r w:rsidRPr="00006D67">
        <w:rPr>
          <w:rFonts w:ascii="Times New Roman" w:eastAsia="等线" w:hAnsi="Times New Roman"/>
          <w:b/>
          <w:bCs/>
        </w:rPr>
        <w:lastRenderedPageBreak/>
        <w:t>Supplementary Figure 2</w:t>
      </w:r>
      <w:r w:rsidRPr="00006D67">
        <w:rPr>
          <w:rFonts w:ascii="Times New Roman" w:eastAsia="等线" w:hAnsi="Times New Roman"/>
        </w:rPr>
        <w:t xml:space="preserve">. Prognostic factors of univariate analysis of the overall survival (OS) and cancer-specific survival (CSS) in adult-onset neuroblastoma patients. </w:t>
      </w:r>
    </w:p>
    <w:p w14:paraId="544D2692" w14:textId="77777777" w:rsidR="00006D67" w:rsidRPr="00006D67" w:rsidRDefault="00006D67" w:rsidP="00006D67">
      <w:pPr>
        <w:pStyle w:val="MDPI51figurecaption"/>
        <w:ind w:left="425" w:right="425"/>
        <w:jc w:val="center"/>
        <w:rPr>
          <w:rFonts w:ascii="Times New Roman" w:hAnsi="Times New Roman"/>
          <w:b/>
        </w:rPr>
      </w:pPr>
    </w:p>
    <w:p w14:paraId="2ECD8762" w14:textId="4E62DAC4" w:rsidR="00006D67" w:rsidRPr="00006D67" w:rsidRDefault="00006D67" w:rsidP="00006D67">
      <w:pPr>
        <w:pStyle w:val="MDPI51figurecaption"/>
        <w:ind w:left="425" w:right="425"/>
        <w:jc w:val="center"/>
        <w:rPr>
          <w:rFonts w:ascii="Times New Roman" w:hAnsi="Times New Roman"/>
          <w:b/>
        </w:rPr>
      </w:pPr>
      <w:r w:rsidRPr="00006D67">
        <w:rPr>
          <w:rFonts w:ascii="Times New Roman" w:hAnsi="Times New Roman"/>
          <w:b/>
          <w:noProof/>
        </w:rPr>
        <w:drawing>
          <wp:inline distT="0" distB="0" distL="0" distR="0" wp14:anchorId="082ABB53" wp14:editId="51B60176">
            <wp:extent cx="5676900" cy="286258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638" b="15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286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CF7400" w14:textId="77777777" w:rsidR="00006D67" w:rsidRPr="00006D67" w:rsidRDefault="00006D67" w:rsidP="00006D67">
      <w:pPr>
        <w:pStyle w:val="MDPI51figurecaption"/>
        <w:ind w:left="0"/>
        <w:rPr>
          <w:rFonts w:ascii="Times New Roman" w:eastAsia="等线" w:hAnsi="Times New Roman"/>
        </w:rPr>
      </w:pPr>
      <w:r w:rsidRPr="00006D67">
        <w:rPr>
          <w:rFonts w:ascii="Times New Roman" w:eastAsia="等线" w:hAnsi="Times New Roman"/>
          <w:b/>
          <w:bCs/>
        </w:rPr>
        <w:t>Supplementary Figure 3</w:t>
      </w:r>
      <w:r w:rsidRPr="00006D67">
        <w:rPr>
          <w:rFonts w:ascii="Times New Roman" w:eastAsia="等线" w:hAnsi="Times New Roman"/>
        </w:rPr>
        <w:t xml:space="preserve">. Prognostic factors of multivariate analysis of the overall survival (OS) and cancer-specific survival (CSS) in adult-onset neuroblastoma patients. </w:t>
      </w:r>
    </w:p>
    <w:p w14:paraId="3AA1DCB9" w14:textId="539F2959" w:rsidR="00006D67" w:rsidRPr="00006D67" w:rsidRDefault="00006D67" w:rsidP="00006D67">
      <w:pPr>
        <w:pStyle w:val="MDPI51figurecaption"/>
        <w:ind w:left="425" w:right="425"/>
        <w:jc w:val="center"/>
        <w:rPr>
          <w:rFonts w:ascii="Times New Roman" w:hAnsi="Times New Roman"/>
          <w:b/>
        </w:rPr>
      </w:pPr>
      <w:r w:rsidRPr="00006D67">
        <w:rPr>
          <w:rFonts w:ascii="Times New Roman" w:hAnsi="Times New Roman"/>
          <w:b/>
          <w:noProof/>
        </w:rPr>
        <w:drawing>
          <wp:inline distT="0" distB="0" distL="0" distR="0" wp14:anchorId="6A6110FA" wp14:editId="415421BD">
            <wp:extent cx="4081780" cy="39243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56" r="136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1780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9D6BF0" w14:textId="77777777" w:rsidR="00006D67" w:rsidRPr="00006D67" w:rsidRDefault="00006D67" w:rsidP="00006D67">
      <w:pPr>
        <w:pStyle w:val="MDPI51figurecaption"/>
        <w:ind w:left="0"/>
        <w:rPr>
          <w:rFonts w:ascii="Times New Roman" w:eastAsia="等线" w:hAnsi="Times New Roman"/>
        </w:rPr>
      </w:pPr>
      <w:r w:rsidRPr="00006D67">
        <w:rPr>
          <w:rFonts w:ascii="Times New Roman" w:eastAsia="等线" w:hAnsi="Times New Roman"/>
          <w:b/>
        </w:rPr>
        <w:t>Supplementary Fig</w:t>
      </w:r>
      <w:r w:rsidRPr="00006D67">
        <w:rPr>
          <w:rFonts w:ascii="Times New Roman" w:hAnsi="Times New Roman"/>
          <w:b/>
        </w:rPr>
        <w:t>ure 4.</w:t>
      </w:r>
      <w:r w:rsidRPr="00006D67">
        <w:rPr>
          <w:rFonts w:ascii="Times New Roman" w:eastAsia="等线" w:hAnsi="Times New Roman"/>
        </w:rPr>
        <w:t xml:space="preserve"> (</w:t>
      </w:r>
      <w:r w:rsidRPr="00006D67">
        <w:rPr>
          <w:rFonts w:ascii="Times New Roman" w:eastAsia="等线" w:hAnsi="Times New Roman"/>
          <w:b/>
        </w:rPr>
        <w:t>a, b</w:t>
      </w:r>
      <w:r w:rsidRPr="00006D67">
        <w:rPr>
          <w:rFonts w:ascii="Times New Roman" w:eastAsia="等线" w:hAnsi="Times New Roman"/>
        </w:rPr>
        <w:t>) Calibration plot of the 3-year and 5-year nomogram predictions versus the actual observations in the validation group. (</w:t>
      </w:r>
      <w:r w:rsidRPr="00006D67">
        <w:rPr>
          <w:rFonts w:ascii="Times New Roman" w:eastAsia="等线" w:hAnsi="Times New Roman"/>
          <w:b/>
        </w:rPr>
        <w:t>c, d</w:t>
      </w:r>
      <w:r w:rsidRPr="00006D67">
        <w:rPr>
          <w:rFonts w:ascii="Times New Roman" w:eastAsia="等线" w:hAnsi="Times New Roman"/>
        </w:rPr>
        <w:t>) Decision curve analysis (DCA) of the 3-year and 5-year nomogram predictions and the net benefit of decision in the validation group.</w:t>
      </w:r>
    </w:p>
    <w:p w14:paraId="2842C203" w14:textId="77777777" w:rsidR="00006D67" w:rsidRPr="00006D67" w:rsidRDefault="00006D67" w:rsidP="00006D67">
      <w:pPr>
        <w:pStyle w:val="MDPI51figurecaption"/>
        <w:rPr>
          <w:rFonts w:ascii="Times New Roman" w:eastAsia="等线" w:hAnsi="Times New Roman"/>
        </w:rPr>
      </w:pPr>
    </w:p>
    <w:p w14:paraId="2419AF41" w14:textId="77777777" w:rsidR="00006D67" w:rsidRPr="00006D67" w:rsidRDefault="00006D67" w:rsidP="00006D67">
      <w:pPr>
        <w:pStyle w:val="MDPI51figurecaption"/>
        <w:rPr>
          <w:rFonts w:ascii="Times New Roman" w:eastAsia="等线" w:hAnsi="Times New Roman"/>
        </w:rPr>
      </w:pPr>
    </w:p>
    <w:p w14:paraId="08651301" w14:textId="77777777" w:rsidR="00006D67" w:rsidRPr="00006D67" w:rsidRDefault="00006D67" w:rsidP="00006D67">
      <w:pPr>
        <w:pStyle w:val="MDPI41tablecaption"/>
        <w:ind w:left="0"/>
        <w:jc w:val="center"/>
        <w:rPr>
          <w:rFonts w:ascii="Times New Roman" w:hAnsi="Times New Roman" w:cs="Times New Roman"/>
        </w:rPr>
      </w:pPr>
      <w:r w:rsidRPr="00006D67">
        <w:rPr>
          <w:rFonts w:ascii="Times New Roman" w:hAnsi="Times New Roman" w:cs="Times New Roman"/>
          <w:b/>
        </w:rPr>
        <w:t xml:space="preserve">Supplementary Table 1. </w:t>
      </w:r>
      <w:r w:rsidRPr="00006D67">
        <w:rPr>
          <w:rFonts w:ascii="Times New Roman" w:hAnsi="Times New Roman" w:cs="Times New Roman"/>
        </w:rPr>
        <w:t>Clinical characteristics of training group and validation group</w:t>
      </w:r>
    </w:p>
    <w:tbl>
      <w:tblPr>
        <w:tblW w:w="9940" w:type="dxa"/>
        <w:jc w:val="center"/>
        <w:tblBorders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5300"/>
        <w:gridCol w:w="1500"/>
        <w:gridCol w:w="1020"/>
        <w:gridCol w:w="1100"/>
        <w:gridCol w:w="1020"/>
      </w:tblGrid>
      <w:tr w:rsidR="00006D67" w:rsidRPr="00006D67" w14:paraId="321D3D0C" w14:textId="77777777" w:rsidTr="00250AC5">
        <w:trPr>
          <w:trHeight w:val="278"/>
          <w:jc w:val="center"/>
        </w:trPr>
        <w:tc>
          <w:tcPr>
            <w:tcW w:w="53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noWrap/>
            <w:vAlign w:val="center"/>
            <w:hideMark/>
          </w:tcPr>
          <w:p w14:paraId="2896BE4B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napToGrid/>
                <w:sz w:val="21"/>
                <w:szCs w:val="21"/>
                <w:lang w:val="de-DE"/>
              </w:rPr>
            </w:pP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noWrap/>
            <w:vAlign w:val="center"/>
            <w:hideMark/>
          </w:tcPr>
          <w:p w14:paraId="3A0F0E2D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napToGrid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napToGrid/>
                <w:sz w:val="21"/>
                <w:szCs w:val="21"/>
                <w:lang w:val="de-DE"/>
              </w:rPr>
              <w:t>training group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noWrap/>
            <w:vAlign w:val="center"/>
            <w:hideMark/>
          </w:tcPr>
          <w:p w14:paraId="6E9FA066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napToGrid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napToGrid/>
                <w:sz w:val="21"/>
                <w:szCs w:val="21"/>
                <w:lang w:val="de-DE"/>
              </w:rPr>
              <w:t>percent</w:t>
            </w:r>
          </w:p>
        </w:tc>
        <w:tc>
          <w:tcPr>
            <w:tcW w:w="11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noWrap/>
            <w:vAlign w:val="center"/>
            <w:hideMark/>
          </w:tcPr>
          <w:p w14:paraId="7CD950E7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napToGrid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napToGrid/>
                <w:sz w:val="21"/>
                <w:szCs w:val="21"/>
                <w:lang w:val="de-DE"/>
              </w:rPr>
              <w:t>validation group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noWrap/>
            <w:vAlign w:val="center"/>
            <w:hideMark/>
          </w:tcPr>
          <w:p w14:paraId="3801A4D4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napToGrid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napToGrid/>
                <w:sz w:val="21"/>
                <w:szCs w:val="21"/>
                <w:lang w:val="de-DE"/>
              </w:rPr>
              <w:t>percent</w:t>
            </w:r>
          </w:p>
        </w:tc>
      </w:tr>
      <w:tr w:rsidR="00006D67" w:rsidRPr="00006D67" w14:paraId="1CCC04A4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26BBBBA5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Total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0B1A6AF5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160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F85ED75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FF35AAD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33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5EA6907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</w:tr>
      <w:tr w:rsidR="00006D67" w:rsidRPr="00006D67" w14:paraId="019E36EB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59DACBE9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Gender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39CD9CA9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FFFD244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432507F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946F128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</w:tr>
      <w:tr w:rsidR="00006D67" w:rsidRPr="00006D67" w14:paraId="40270AD4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2DAD8F5E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male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7661D340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82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1F23C3E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51.3%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4FDEDAA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C93761C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51.5%</w:t>
            </w:r>
          </w:p>
        </w:tc>
      </w:tr>
      <w:tr w:rsidR="00006D67" w:rsidRPr="00006D67" w14:paraId="63385918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34D74E31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female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42DF8C36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78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512C85D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48.8%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C9D5BF9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BDE1E2D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48.5%</w:t>
            </w:r>
          </w:p>
        </w:tc>
      </w:tr>
      <w:tr w:rsidR="00006D67" w:rsidRPr="00006D67" w14:paraId="14AECE7B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03BEE921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Race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4E0250AF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9DE1E2B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938343B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C38A8C1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</w:tr>
      <w:tr w:rsidR="00006D67" w:rsidRPr="00006D67" w14:paraId="0590A629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1133FA69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Black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121A4AB1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24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5B012CA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15.0%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ECD827C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D13A43D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15.2%</w:t>
            </w:r>
          </w:p>
        </w:tc>
      </w:tr>
      <w:tr w:rsidR="00006D67" w:rsidRPr="00006D67" w14:paraId="5C5F33CB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194318E3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White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3E1E7376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123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1405C25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76.9%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D1BCEF6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24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EDF6CD5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72.7%</w:t>
            </w:r>
          </w:p>
        </w:tc>
      </w:tr>
      <w:tr w:rsidR="00006D67" w:rsidRPr="00006D67" w14:paraId="3CB2D4C9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4B52DBDF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Other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44C9CDC8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CE84E59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7.5%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71253E5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5294E70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12.1%</w:t>
            </w:r>
          </w:p>
        </w:tc>
      </w:tr>
      <w:tr w:rsidR="00006D67" w:rsidRPr="00006D67" w14:paraId="5FB3F3C0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339A0268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Unknown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365B0C06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DE91D84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0.6%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31E3AE7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9C6839D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0.0%</w:t>
            </w:r>
          </w:p>
        </w:tc>
      </w:tr>
      <w:tr w:rsidR="00006D67" w:rsidRPr="00006D67" w14:paraId="01FD5E85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159B052A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Grade(differentiation)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7721CBC2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692D7D2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A6E875B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D4B6F65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</w:tr>
      <w:tr w:rsidR="00006D67" w:rsidRPr="00006D67" w14:paraId="48432CC7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701FCC49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I(well-differentiated)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0EED00AA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53F32C7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0.0%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48BDEE6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4F2F8E5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3.0%</w:t>
            </w:r>
          </w:p>
        </w:tc>
      </w:tr>
      <w:tr w:rsidR="00006D67" w:rsidRPr="00006D67" w14:paraId="3736900B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5419A1FD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II(moderately-differentiated)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76683CA0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7EABE8A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3.8%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39C63B7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1AA2412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12.1%</w:t>
            </w:r>
          </w:p>
        </w:tc>
      </w:tr>
      <w:tr w:rsidR="00006D67" w:rsidRPr="00006D67" w14:paraId="4130E00C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4340D71A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III(poorly-differentiated)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2988E9DF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21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480D94C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13.1%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E1CDE72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48EB134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21.2%</w:t>
            </w:r>
          </w:p>
        </w:tc>
      </w:tr>
      <w:tr w:rsidR="00006D67" w:rsidRPr="00006D67" w14:paraId="73305639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0B100321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IV(undifferetiated)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0054C981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FC31C66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8.8%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B255A4A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3057398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6.1%</w:t>
            </w:r>
          </w:p>
        </w:tc>
      </w:tr>
      <w:tr w:rsidR="00006D67" w:rsidRPr="00006D67" w14:paraId="332690E2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2068B7E7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unknown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6C63E1AC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119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ED56BA2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74.4%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C8F1245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7BCDAE6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57.6%</w:t>
            </w:r>
          </w:p>
        </w:tc>
      </w:tr>
      <w:tr w:rsidR="00006D67" w:rsidRPr="00006D67" w14:paraId="3F6808E9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6990F415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Primary Site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78F0BC7E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67C1912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1DAA594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C0ED0AB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</w:tr>
      <w:tr w:rsidR="00006D67" w:rsidRPr="00006D67" w14:paraId="5EBF5F1B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152AB5DA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Brain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228F328E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40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A933A90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25.0%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D3AA35F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D9A2D0F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30.3%</w:t>
            </w:r>
          </w:p>
        </w:tc>
      </w:tr>
      <w:tr w:rsidR="00006D67" w:rsidRPr="00006D67" w14:paraId="43D1F26E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6EB073A9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Retroperitoneum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025206F8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24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FE21337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15.0%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F07E486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CD6B45C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12.1%</w:t>
            </w:r>
          </w:p>
        </w:tc>
      </w:tr>
      <w:tr w:rsidR="00006D67" w:rsidRPr="00006D67" w14:paraId="728282D9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684E4AF6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Soft Tissue including Heart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1E9EB9E1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22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A4D9F8A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13.8%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EEE50D2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79F3A0B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12.1%</w:t>
            </w:r>
          </w:p>
        </w:tc>
      </w:tr>
      <w:tr w:rsidR="00006D67" w:rsidRPr="00006D67" w14:paraId="7ED789C5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13E2AA48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Other Endocrine including Thymus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79AB51E9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C725BF8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11.3%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A3F0A8B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F843AFB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9.1%</w:t>
            </w:r>
          </w:p>
        </w:tc>
      </w:tr>
      <w:tr w:rsidR="00006D67" w:rsidRPr="00006D67" w14:paraId="7521CB60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2DCD3B8F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Nose, Nasal Cavity and Middle Ear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3572B37E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C5CBAC0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6.3%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C750049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F98D4A1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18.2%</w:t>
            </w:r>
          </w:p>
        </w:tc>
      </w:tr>
      <w:tr w:rsidR="00006D67" w:rsidRPr="00006D67" w14:paraId="6A934406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2C840621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Cranial Nerves Other Nervous System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5FEBFB53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B158919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9.4%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4397E25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CA900DF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0.0%</w:t>
            </w:r>
          </w:p>
        </w:tc>
      </w:tr>
      <w:tr w:rsidR="00006D67" w:rsidRPr="00006D67" w14:paraId="6F839FD5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2EA5924B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Trachea, Mediastinum and Other Respiratory Organs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20EA013E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C3E71A1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3.1%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299F99E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809EADB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3.0%</w:t>
            </w:r>
          </w:p>
        </w:tc>
      </w:tr>
      <w:tr w:rsidR="00006D67" w:rsidRPr="00006D67" w14:paraId="6D3C9ED4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2797AB23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Others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008D21D4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26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15779C3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16.3%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3E70D13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1ED7209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15.2%</w:t>
            </w:r>
          </w:p>
        </w:tc>
      </w:tr>
      <w:tr w:rsidR="00006D67" w:rsidRPr="00006D67" w14:paraId="1B721AC6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49A629DE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Histology type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06A1176C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D0C41AE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A4099F0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B5E4B0D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</w:tr>
      <w:tr w:rsidR="00006D67" w:rsidRPr="00006D67" w14:paraId="5DB2785D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0379EAE3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Neuroblastoma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7734A87B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118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A30625B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73.8%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D3A17A5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29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8AA05EE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87.9%</w:t>
            </w:r>
          </w:p>
        </w:tc>
      </w:tr>
      <w:tr w:rsidR="00006D67" w:rsidRPr="00006D67" w14:paraId="667F14EB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22C0801F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Ganglioneuroblastoma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4DFFF429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42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F46ACFF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26.3%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567A641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461C993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12.1%</w:t>
            </w:r>
          </w:p>
        </w:tc>
      </w:tr>
      <w:tr w:rsidR="00006D67" w:rsidRPr="00006D67" w14:paraId="67CC0A56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345279C7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Surgery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5B168B2D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AE62CEB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B55F89B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C2F25DA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</w:tr>
      <w:tr w:rsidR="00006D67" w:rsidRPr="00006D67" w14:paraId="61164ECB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19B5860C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yes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63E4370D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520CC82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71.9%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6526874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23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27DD9B8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69.7%</w:t>
            </w:r>
          </w:p>
        </w:tc>
      </w:tr>
      <w:tr w:rsidR="00006D67" w:rsidRPr="00006D67" w14:paraId="0444832F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2FD9B1C4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no/unknown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4D8574E2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45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3E1E349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28.1%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BD9318C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64EB362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30.3%</w:t>
            </w:r>
          </w:p>
        </w:tc>
      </w:tr>
      <w:tr w:rsidR="00006D67" w:rsidRPr="00006D67" w14:paraId="493D1804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5369479D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Tumor resection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08ED2BF4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DBBE1EC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BD6C9A3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A02672D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</w:tr>
      <w:tr w:rsidR="00006D67" w:rsidRPr="00006D67" w14:paraId="2C84AFAC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47CF363B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yes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73605B09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58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2914DCC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36.3%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B6269BF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97F87AB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36.4%</w:t>
            </w:r>
          </w:p>
        </w:tc>
      </w:tr>
      <w:tr w:rsidR="00006D67" w:rsidRPr="00006D67" w14:paraId="2133FF38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79541965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other/unknown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2A5F3593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102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19701E0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63.8%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92FAE11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21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53584C9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63.6%</w:t>
            </w:r>
          </w:p>
        </w:tc>
      </w:tr>
      <w:tr w:rsidR="00006D67" w:rsidRPr="00006D67" w14:paraId="437FCF92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62D2C5E8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Nodes removal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4AFF48D2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E997D93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1734FB7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FC5D4C1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</w:tr>
      <w:tr w:rsidR="00006D67" w:rsidRPr="00006D67" w14:paraId="7082B68C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194AFD9E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yes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6CF04740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8EA4C92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4.4%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F8873A7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0C995C0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0.0%</w:t>
            </w:r>
          </w:p>
        </w:tc>
      </w:tr>
      <w:tr w:rsidR="00006D67" w:rsidRPr="00006D67" w14:paraId="5AA8F24B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61A203DB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no/unknown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1F7AD116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153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5B3FB61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95.6%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4BF8F88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33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3F21F55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100.0%</w:t>
            </w:r>
          </w:p>
        </w:tc>
      </w:tr>
      <w:tr w:rsidR="00006D67" w:rsidRPr="00006D67" w14:paraId="2663FDE1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1E640F19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Nodes positive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7FA4027A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1FFFEB3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4DB06F2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1A65DA9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</w:tr>
      <w:tr w:rsidR="00006D67" w:rsidRPr="00006D67" w14:paraId="6B1763DB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650F6047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yes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19ED5ED5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25BDF74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5.6%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9984952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241A302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9.1%</w:t>
            </w:r>
          </w:p>
        </w:tc>
      </w:tr>
      <w:tr w:rsidR="00006D67" w:rsidRPr="00006D67" w14:paraId="27197137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7B5ECA7B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no/unknown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7E8ACFAF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151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E4E6848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94.4%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10367CD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30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AB1EE8D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90.9%</w:t>
            </w:r>
          </w:p>
        </w:tc>
      </w:tr>
      <w:tr w:rsidR="00006D67" w:rsidRPr="00006D67" w14:paraId="1CA87311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1619043B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Chemotherapy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58C3F637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0C99151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FD8BB7F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89DE6B5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</w:tr>
      <w:tr w:rsidR="00006D67" w:rsidRPr="00006D67" w14:paraId="3C361BC5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05530754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yes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5D4CE52D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71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A00CA02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44.4%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B52A6B0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CD1805B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48.5%</w:t>
            </w:r>
          </w:p>
        </w:tc>
      </w:tr>
      <w:tr w:rsidR="00006D67" w:rsidRPr="00006D67" w14:paraId="324E19AF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02D42006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no/unknown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1EDD3649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89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7785987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55.6%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F0F53B4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A0AFB0E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51.5%</w:t>
            </w:r>
          </w:p>
        </w:tc>
      </w:tr>
      <w:tr w:rsidR="00006D67" w:rsidRPr="00006D67" w14:paraId="2D87A79B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793C20FE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Radiotherapy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12CAA8FC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3C19701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4CAB178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F071398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</w:p>
        </w:tc>
      </w:tr>
      <w:tr w:rsidR="00006D67" w:rsidRPr="00006D67" w14:paraId="498682BD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4835A2AD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yes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4CAE979F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60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0FB8142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37.5%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B9A9A4B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51DF680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39.4%</w:t>
            </w:r>
          </w:p>
        </w:tc>
      </w:tr>
      <w:tr w:rsidR="00006D67" w:rsidRPr="00006D67" w14:paraId="44053148" w14:textId="77777777" w:rsidTr="00250AC5">
        <w:trPr>
          <w:trHeight w:val="278"/>
          <w:jc w:val="center"/>
        </w:trPr>
        <w:tc>
          <w:tcPr>
            <w:tcW w:w="5300" w:type="dxa"/>
            <w:shd w:val="clear" w:color="auto" w:fill="auto"/>
            <w:noWrap/>
            <w:vAlign w:val="center"/>
            <w:hideMark/>
          </w:tcPr>
          <w:p w14:paraId="48525843" w14:textId="77777777" w:rsidR="00006D67" w:rsidRPr="00006D67" w:rsidRDefault="00006D67" w:rsidP="00006D67">
            <w:pPr>
              <w:pStyle w:val="MDPI42tablebody"/>
              <w:jc w:val="left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no/unknown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1A10E6BF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100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570F027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62.5%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8B9B594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20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777A516" w14:textId="77777777" w:rsidR="00006D67" w:rsidRPr="00006D67" w:rsidRDefault="00006D67" w:rsidP="00250AC5">
            <w:pPr>
              <w:pStyle w:val="MDPI42tablebody"/>
              <w:rPr>
                <w:rFonts w:ascii="Times New Roman" w:hAnsi="Times New Roman"/>
                <w:sz w:val="21"/>
                <w:szCs w:val="21"/>
                <w:lang w:val="de-DE"/>
              </w:rPr>
            </w:pPr>
            <w:r w:rsidRPr="00006D67">
              <w:rPr>
                <w:rFonts w:ascii="Times New Roman" w:hAnsi="Times New Roman"/>
                <w:sz w:val="21"/>
                <w:szCs w:val="21"/>
                <w:lang w:val="de-DE"/>
              </w:rPr>
              <w:t>60.6%</w:t>
            </w:r>
          </w:p>
        </w:tc>
      </w:tr>
    </w:tbl>
    <w:p w14:paraId="16406D67" w14:textId="77777777" w:rsidR="00006D67" w:rsidRPr="00006D67" w:rsidRDefault="00006D67" w:rsidP="00006D67">
      <w:pPr>
        <w:pStyle w:val="MDPI71References"/>
        <w:numPr>
          <w:ilvl w:val="0"/>
          <w:numId w:val="0"/>
        </w:numPr>
        <w:rPr>
          <w:rFonts w:ascii="Times New Roman" w:hAnsi="Times New Roman"/>
        </w:rPr>
      </w:pPr>
    </w:p>
    <w:sectPr w:rsidR="00006D67" w:rsidRPr="00006D67" w:rsidSect="00006D67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1906" w:h="16838" w:code="9"/>
      <w:pgMar w:top="1417" w:right="720" w:bottom="1077" w:left="720" w:header="1020" w:footer="340" w:gutter="0"/>
      <w:lnNumType w:countBy="1" w:distance="255" w:restart="continuous"/>
      <w:pgNumType w:start="1"/>
      <w:cols w:space="425"/>
      <w:titlePg/>
      <w:bidi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87F417" w14:textId="77777777" w:rsidR="00987E89" w:rsidRDefault="00987E89" w:rsidP="00006D67">
      <w:pPr>
        <w:spacing w:line="240" w:lineRule="auto"/>
      </w:pPr>
      <w:r>
        <w:separator/>
      </w:r>
    </w:p>
  </w:endnote>
  <w:endnote w:type="continuationSeparator" w:id="0">
    <w:p w14:paraId="5DC6BDE9" w14:textId="77777777" w:rsidR="00987E89" w:rsidRDefault="00987E89" w:rsidP="00006D6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DCB2B6" w14:textId="77777777" w:rsidR="003D25EE" w:rsidRPr="00164C5C" w:rsidRDefault="00987E89" w:rsidP="00AF7CE2">
    <w:pPr>
      <w:pStyle w:val="a3"/>
      <w:spacing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8157CC" w14:textId="01C15D69" w:rsidR="00694F81" w:rsidRPr="00106BF5" w:rsidRDefault="00987E89" w:rsidP="00694F81">
    <w:pPr>
      <w:tabs>
        <w:tab w:val="right" w:pos="10466"/>
      </w:tabs>
      <w:adjustRightInd w:val="0"/>
      <w:snapToGrid w:val="0"/>
      <w:spacing w:line="240" w:lineRule="auto"/>
      <w:rPr>
        <w:sz w:val="16"/>
        <w:szCs w:val="16"/>
        <w:lang w:val="fr-CH"/>
      </w:rPr>
    </w:pPr>
    <w:r w:rsidRPr="008B308E">
      <w:rPr>
        <w:lang w:val="fr-CH"/>
      </w:rPr>
      <w:tab/>
    </w:r>
  </w:p>
  <w:p w14:paraId="2B11E981" w14:textId="77777777" w:rsidR="003D25EE" w:rsidRPr="00694F81" w:rsidRDefault="00987E89" w:rsidP="00AC5F82">
    <w:pPr>
      <w:pStyle w:val="MDPIfooterfirstpage"/>
      <w:tabs>
        <w:tab w:val="clear" w:pos="8845"/>
        <w:tab w:val="right" w:pos="10466"/>
      </w:tabs>
      <w:spacing w:line="240" w:lineRule="auto"/>
      <w:jc w:val="both"/>
      <w:rPr>
        <w:lang w:val="fr-CH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4DE2DD" w14:textId="77777777" w:rsidR="00987E89" w:rsidRDefault="00987E89" w:rsidP="00006D67">
      <w:pPr>
        <w:spacing w:line="240" w:lineRule="auto"/>
      </w:pPr>
      <w:r>
        <w:separator/>
      </w:r>
    </w:p>
  </w:footnote>
  <w:footnote w:type="continuationSeparator" w:id="0">
    <w:p w14:paraId="6A25E5E3" w14:textId="77777777" w:rsidR="00987E89" w:rsidRDefault="00987E89" w:rsidP="00006D6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949EDA" w14:textId="77777777" w:rsidR="003D25EE" w:rsidRDefault="00987E89" w:rsidP="00AF7CE2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254992" w14:textId="42EF74FF" w:rsidR="003D25EE" w:rsidRDefault="00987E89" w:rsidP="00AC5F82">
    <w:pPr>
      <w:tabs>
        <w:tab w:val="right" w:pos="10466"/>
      </w:tabs>
      <w:adjustRightInd w:val="0"/>
      <w:snapToGrid w:val="0"/>
      <w:spacing w:line="240" w:lineRule="auto"/>
      <w:rPr>
        <w:sz w:val="16"/>
      </w:rPr>
    </w:pPr>
    <w:r>
      <w:rPr>
        <w:sz w:val="16"/>
      </w:rPr>
      <w:tab/>
    </w:r>
    <w:r>
      <w:rPr>
        <w:sz w:val="16"/>
      </w:rPr>
      <w:t xml:space="preserve"> </w:t>
    </w:r>
  </w:p>
  <w:p w14:paraId="088439BD" w14:textId="77777777" w:rsidR="003D25EE" w:rsidRPr="00836BB8" w:rsidRDefault="00987E89" w:rsidP="00B16808">
    <w:pPr>
      <w:pBdr>
        <w:bottom w:val="single" w:sz="4" w:space="1" w:color="000000"/>
      </w:pBdr>
      <w:tabs>
        <w:tab w:val="right" w:pos="8844"/>
      </w:tabs>
      <w:adjustRightInd w:val="0"/>
      <w:snapToGrid w:val="0"/>
      <w:spacing w:after="480" w:line="100" w:lineRule="exact"/>
      <w:jc w:val="left"/>
      <w:rPr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487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679"/>
      <w:gridCol w:w="4535"/>
      <w:gridCol w:w="2273"/>
    </w:tblGrid>
    <w:tr w:rsidR="003D25EE" w:rsidRPr="00AC5F82" w14:paraId="5A614DCD" w14:textId="77777777" w:rsidTr="00AC5F82">
      <w:trPr>
        <w:trHeight w:val="686"/>
      </w:trPr>
      <w:tc>
        <w:tcPr>
          <w:tcW w:w="3679" w:type="dxa"/>
          <w:shd w:val="clear" w:color="auto" w:fill="auto"/>
          <w:vAlign w:val="center"/>
        </w:tcPr>
        <w:p w14:paraId="27B6EF28" w14:textId="5A2047D7" w:rsidR="003D25EE" w:rsidRPr="00BD0BE9" w:rsidRDefault="00987E89" w:rsidP="00AC5F82">
          <w:pPr>
            <w:pStyle w:val="a5"/>
            <w:pBdr>
              <w:bottom w:val="none" w:sz="0" w:space="0" w:color="auto"/>
            </w:pBdr>
            <w:jc w:val="left"/>
            <w:rPr>
              <w:rFonts w:eastAsia="等线"/>
              <w:b/>
              <w:bCs/>
            </w:rPr>
          </w:pPr>
        </w:p>
      </w:tc>
      <w:tc>
        <w:tcPr>
          <w:tcW w:w="4535" w:type="dxa"/>
          <w:shd w:val="clear" w:color="auto" w:fill="auto"/>
          <w:vAlign w:val="center"/>
        </w:tcPr>
        <w:p w14:paraId="30019D6F" w14:textId="77777777" w:rsidR="003D25EE" w:rsidRPr="00BD0BE9" w:rsidRDefault="00987E89" w:rsidP="00AC5F82">
          <w:pPr>
            <w:pStyle w:val="a5"/>
            <w:pBdr>
              <w:bottom w:val="none" w:sz="0" w:space="0" w:color="auto"/>
            </w:pBdr>
            <w:rPr>
              <w:rFonts w:eastAsia="等线"/>
              <w:b/>
              <w:bCs/>
            </w:rPr>
          </w:pPr>
        </w:p>
      </w:tc>
      <w:tc>
        <w:tcPr>
          <w:tcW w:w="2273" w:type="dxa"/>
          <w:shd w:val="clear" w:color="auto" w:fill="auto"/>
          <w:vAlign w:val="center"/>
        </w:tcPr>
        <w:p w14:paraId="4901853D" w14:textId="2370F4EC" w:rsidR="003D25EE" w:rsidRPr="00BD0BE9" w:rsidRDefault="00987E89" w:rsidP="00AC5F82">
          <w:pPr>
            <w:pStyle w:val="a5"/>
            <w:pBdr>
              <w:bottom w:val="none" w:sz="0" w:space="0" w:color="auto"/>
            </w:pBdr>
            <w:jc w:val="right"/>
            <w:rPr>
              <w:rFonts w:eastAsia="等线"/>
              <w:b/>
              <w:bCs/>
            </w:rPr>
          </w:pPr>
        </w:p>
      </w:tc>
    </w:tr>
  </w:tbl>
  <w:p w14:paraId="61F286BD" w14:textId="77777777" w:rsidR="003D25EE" w:rsidRPr="005F530C" w:rsidRDefault="00987E89" w:rsidP="00B16808">
    <w:pPr>
      <w:pBdr>
        <w:bottom w:val="single" w:sz="4" w:space="1" w:color="000000"/>
      </w:pBdr>
      <w:adjustRightInd w:val="0"/>
      <w:snapToGrid w:val="0"/>
      <w:spacing w:line="100" w:lineRule="exact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B468F5"/>
    <w:multiLevelType w:val="hybridMultilevel"/>
    <w:tmpl w:val="F7E250A8"/>
    <w:lvl w:ilvl="0" w:tplc="5A92E4B0">
      <w:start w:val="1"/>
      <w:numFmt w:val="decimal"/>
      <w:lvlRestart w:val="0"/>
      <w:pStyle w:val="MDPI71References"/>
      <w:lvlText w:val="%1."/>
      <w:lvlJc w:val="left"/>
      <w:pPr>
        <w:ind w:left="425" w:hanging="425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MzMzCzMDQ1NjWzMDZS0lEKTi0uzszPAykwrAUA+mEY7SwAAAA="/>
  </w:docVars>
  <w:rsids>
    <w:rsidRoot w:val="002C62FC"/>
    <w:rsid w:val="00006D67"/>
    <w:rsid w:val="002C62FC"/>
    <w:rsid w:val="005969AE"/>
    <w:rsid w:val="00987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DFA83"/>
  <w15:chartTrackingRefBased/>
  <w15:docId w15:val="{579177FA-38D2-4E4B-91E2-B68749188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6D67"/>
    <w:pPr>
      <w:spacing w:line="260" w:lineRule="atLeast"/>
      <w:jc w:val="both"/>
    </w:pPr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06D67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a4">
    <w:name w:val="页脚 字符"/>
    <w:basedOn w:val="a0"/>
    <w:link w:val="a3"/>
    <w:uiPriority w:val="99"/>
    <w:rsid w:val="00006D67"/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paragraph" w:styleId="a5">
    <w:name w:val="header"/>
    <w:basedOn w:val="a"/>
    <w:link w:val="a6"/>
    <w:uiPriority w:val="99"/>
    <w:rsid w:val="00006D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a6">
    <w:name w:val="页眉 字符"/>
    <w:basedOn w:val="a0"/>
    <w:link w:val="a5"/>
    <w:uiPriority w:val="99"/>
    <w:rsid w:val="00006D67"/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paragraph" w:customStyle="1" w:styleId="MDPI41tablecaption">
    <w:name w:val="MDPI_4.1_table_caption"/>
    <w:qFormat/>
    <w:rsid w:val="00006D67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</w:rPr>
  </w:style>
  <w:style w:type="paragraph" w:customStyle="1" w:styleId="MDPI42tablebody">
    <w:name w:val="MDPI_4.2_table_body"/>
    <w:qFormat/>
    <w:rsid w:val="00006D67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51figurecaption">
    <w:name w:val="MDPI_5.1_figure_caption"/>
    <w:qFormat/>
    <w:rsid w:val="00006D67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footerfirstpage">
    <w:name w:val="MDPI_footer_firstpage"/>
    <w:qFormat/>
    <w:rsid w:val="00006D67"/>
    <w:pPr>
      <w:tabs>
        <w:tab w:val="right" w:pos="8845"/>
      </w:tabs>
      <w:spacing w:line="160" w:lineRule="exact"/>
    </w:pPr>
    <w:rPr>
      <w:rFonts w:ascii="Palatino Linotype" w:eastAsia="Times New Roman" w:hAnsi="Palatino Linotype" w:cs="Times New Roman"/>
      <w:color w:val="000000"/>
      <w:kern w:val="0"/>
      <w:sz w:val="16"/>
      <w:szCs w:val="20"/>
      <w:lang w:eastAsia="de-DE"/>
    </w:rPr>
  </w:style>
  <w:style w:type="paragraph" w:customStyle="1" w:styleId="MDPI71References">
    <w:name w:val="MDPI_7.1_References"/>
    <w:qFormat/>
    <w:rsid w:val="00006D67"/>
    <w:pPr>
      <w:numPr>
        <w:numId w:val="1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character" w:styleId="a7">
    <w:name w:val="line number"/>
    <w:basedOn w:val="a0"/>
    <w:uiPriority w:val="99"/>
    <w:semiHidden/>
    <w:unhideWhenUsed/>
    <w:rsid w:val="00006D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324</Words>
  <Characters>1850</Characters>
  <Application>Microsoft Office Word</Application>
  <DocSecurity>0</DocSecurity>
  <Lines>15</Lines>
  <Paragraphs>4</Paragraphs>
  <ScaleCrop>false</ScaleCrop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Yani</dc:creator>
  <cp:keywords/>
  <dc:description/>
  <cp:lastModifiedBy>Yang Yani</cp:lastModifiedBy>
  <cp:revision>2</cp:revision>
  <dcterms:created xsi:type="dcterms:W3CDTF">2021-02-01T13:44:00Z</dcterms:created>
  <dcterms:modified xsi:type="dcterms:W3CDTF">2021-02-01T13:47:00Z</dcterms:modified>
</cp:coreProperties>
</file>