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678" w:rsidRPr="00B339B3" w:rsidRDefault="00B339B3" w:rsidP="00B339B3">
      <w:pPr>
        <w:rPr>
          <w:rFonts w:asciiTheme="majorBidi" w:hAnsiTheme="majorBidi" w:cstheme="majorBidi"/>
          <w:b/>
          <w:bCs/>
          <w:sz w:val="20"/>
          <w:szCs w:val="20"/>
        </w:rPr>
      </w:pPr>
      <w:proofErr w:type="gramStart"/>
      <w:r w:rsidRPr="006B50B0">
        <w:rPr>
          <w:rFonts w:asciiTheme="majorBidi" w:hAnsiTheme="majorBidi" w:cstheme="majorBidi"/>
          <w:b/>
          <w:bCs/>
          <w:sz w:val="24"/>
          <w:szCs w:val="24"/>
        </w:rPr>
        <w:t>Questionnaire</w:t>
      </w:r>
      <w:r w:rsidRPr="00B339B3">
        <w:rPr>
          <w:rFonts w:asciiTheme="majorBidi" w:hAnsiTheme="majorBidi" w:cstheme="majorBidi"/>
          <w:b/>
          <w:bCs/>
          <w:sz w:val="20"/>
          <w:szCs w:val="20"/>
        </w:rPr>
        <w:t xml:space="preserve"> :</w:t>
      </w:r>
      <w:proofErr w:type="gramEnd"/>
      <w:r w:rsidRPr="00B339B3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6B50B0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B339B3">
        <w:rPr>
          <w:rFonts w:asciiTheme="majorBidi" w:hAnsiTheme="majorBidi" w:cstheme="majorBidi"/>
          <w:b/>
          <w:bCs/>
          <w:sz w:val="20"/>
          <w:szCs w:val="20"/>
        </w:rPr>
        <w:t>Barriers and challenges against the utilization of novel teaching methods for nursin</w:t>
      </w:r>
      <w:bookmarkStart w:id="0" w:name="_GoBack"/>
      <w:bookmarkEnd w:id="0"/>
      <w:r w:rsidRPr="00B339B3">
        <w:rPr>
          <w:rFonts w:asciiTheme="majorBidi" w:hAnsiTheme="majorBidi" w:cstheme="majorBidi"/>
          <w:b/>
          <w:bCs/>
          <w:sz w:val="20"/>
          <w:szCs w:val="20"/>
        </w:rPr>
        <w:t>g students from the perspective of nursing instructors (</w:t>
      </w:r>
      <w:r>
        <w:rPr>
          <w:rFonts w:asciiTheme="majorBidi" w:hAnsiTheme="majorBidi" w:cstheme="majorBidi"/>
          <w:b/>
          <w:bCs/>
          <w:sz w:val="20"/>
          <w:szCs w:val="20"/>
        </w:rPr>
        <w:t>17 Items</w:t>
      </w:r>
      <w:r w:rsidRPr="00B339B3">
        <w:rPr>
          <w:rFonts w:asciiTheme="majorBidi" w:hAnsiTheme="majorBidi" w:cstheme="majorBidi"/>
          <w:b/>
          <w:bCs/>
          <w:sz w:val="20"/>
          <w:szCs w:val="20"/>
        </w:rPr>
        <w:t>)</w:t>
      </w:r>
    </w:p>
    <w:tbl>
      <w:tblPr>
        <w:tblStyle w:val="TableGrid"/>
        <w:tblW w:w="10710" w:type="dxa"/>
        <w:tblInd w:w="-702" w:type="dxa"/>
        <w:tblLayout w:type="fixed"/>
        <w:tblLook w:val="04A0" w:firstRow="1" w:lastRow="0" w:firstColumn="1" w:lastColumn="0" w:noHBand="0" w:noVBand="1"/>
      </w:tblPr>
      <w:tblGrid>
        <w:gridCol w:w="1788"/>
        <w:gridCol w:w="3072"/>
        <w:gridCol w:w="1350"/>
        <w:gridCol w:w="970"/>
        <w:gridCol w:w="1106"/>
        <w:gridCol w:w="1164"/>
        <w:gridCol w:w="1260"/>
      </w:tblGrid>
      <w:tr w:rsidR="000A612E" w:rsidRPr="00B339B3" w:rsidTr="00B339B3">
        <w:tc>
          <w:tcPr>
            <w:tcW w:w="1788" w:type="dxa"/>
            <w:tcBorders>
              <w:bottom w:val="single" w:sz="12" w:space="0" w:color="auto"/>
            </w:tcBorders>
          </w:tcPr>
          <w:p w:rsidR="000A612E" w:rsidRPr="00B339B3" w:rsidRDefault="000A612E" w:rsidP="00202A0A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0A612E" w:rsidRPr="00B339B3" w:rsidRDefault="000A612E" w:rsidP="00202A0A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>Domain</w:t>
            </w:r>
          </w:p>
          <w:p w:rsidR="000A612E" w:rsidRPr="00B339B3" w:rsidRDefault="000A612E" w:rsidP="00202A0A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072" w:type="dxa"/>
            <w:tcBorders>
              <w:bottom w:val="single" w:sz="12" w:space="0" w:color="auto"/>
            </w:tcBorders>
          </w:tcPr>
          <w:p w:rsidR="000A612E" w:rsidRPr="00B339B3" w:rsidRDefault="000A612E" w:rsidP="00202A0A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0A612E" w:rsidRPr="00B339B3" w:rsidRDefault="000A612E" w:rsidP="00202A0A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>Effective factors and barriers</w:t>
            </w:r>
          </w:p>
          <w:p w:rsidR="000A612E" w:rsidRPr="00B339B3" w:rsidRDefault="000A612E" w:rsidP="00202A0A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0A612E" w:rsidRPr="00B339B3" w:rsidRDefault="000A612E" w:rsidP="00202A0A">
            <w:pPr>
              <w:spacing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50" w:type="dxa"/>
            <w:tcBorders>
              <w:bottom w:val="single" w:sz="12" w:space="0" w:color="auto"/>
            </w:tcBorders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  <w:p w:rsidR="00164678" w:rsidRPr="00B339B3" w:rsidRDefault="00164678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Very important</w:t>
            </w:r>
          </w:p>
          <w:p w:rsidR="00164678" w:rsidRPr="00B339B3" w:rsidRDefault="00164678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970" w:type="dxa"/>
            <w:tcBorders>
              <w:bottom w:val="single" w:sz="12" w:space="0" w:color="auto"/>
            </w:tcBorders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0A612E" w:rsidRPr="00B339B3" w:rsidRDefault="00164678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>Important</w:t>
            </w:r>
          </w:p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106" w:type="dxa"/>
            <w:tcBorders>
              <w:bottom w:val="single" w:sz="12" w:space="0" w:color="auto"/>
            </w:tcBorders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164678" w:rsidRPr="00B339B3" w:rsidRDefault="00164678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>Moderately important</w:t>
            </w:r>
          </w:p>
        </w:tc>
        <w:tc>
          <w:tcPr>
            <w:tcW w:w="1164" w:type="dxa"/>
            <w:tcBorders>
              <w:bottom w:val="single" w:sz="12" w:space="0" w:color="auto"/>
            </w:tcBorders>
          </w:tcPr>
          <w:p w:rsidR="000A612E" w:rsidRPr="00B339B3" w:rsidRDefault="00B339B3" w:rsidP="00B339B3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Not </w:t>
            </w:r>
            <w:r w:rsidR="00164678" w:rsidRPr="00B339B3">
              <w:rPr>
                <w:rFonts w:asciiTheme="majorBidi" w:hAnsiTheme="majorBidi" w:cstheme="majorBidi"/>
                <w:sz w:val="18"/>
                <w:szCs w:val="18"/>
              </w:rPr>
              <w:t>very important</w:t>
            </w:r>
          </w:p>
        </w:tc>
        <w:tc>
          <w:tcPr>
            <w:tcW w:w="1260" w:type="dxa"/>
            <w:tcBorders>
              <w:bottom w:val="single" w:sz="12" w:space="0" w:color="auto"/>
            </w:tcBorders>
          </w:tcPr>
          <w:p w:rsidR="000A612E" w:rsidRPr="00B339B3" w:rsidRDefault="00164678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>Not important at all</w:t>
            </w:r>
          </w:p>
        </w:tc>
      </w:tr>
      <w:tr w:rsidR="000A612E" w:rsidRPr="00B339B3" w:rsidTr="00B339B3">
        <w:tc>
          <w:tcPr>
            <w:tcW w:w="1788" w:type="dxa"/>
            <w:vMerge w:val="restart"/>
            <w:tcBorders>
              <w:top w:val="single" w:sz="12" w:space="0" w:color="auto"/>
            </w:tcBorders>
          </w:tcPr>
          <w:p w:rsidR="000A612E" w:rsidRPr="00B339B3" w:rsidRDefault="000A612E" w:rsidP="00684A89">
            <w:pPr>
              <w:spacing w:line="360" w:lineRule="auto"/>
              <w:jc w:val="lowKashida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0A612E" w:rsidRPr="00B339B3" w:rsidRDefault="000A612E" w:rsidP="000A612E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>Challenges related to students</w:t>
            </w:r>
          </w:p>
        </w:tc>
        <w:tc>
          <w:tcPr>
            <w:tcW w:w="3072" w:type="dxa"/>
            <w:tcBorders>
              <w:top w:val="single" w:sz="12" w:space="0" w:color="auto"/>
            </w:tcBorders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164678" w:rsidRPr="00B339B3">
              <w:rPr>
                <w:rFonts w:asciiTheme="majorBidi" w:hAnsiTheme="majorBidi" w:cstheme="majorBidi"/>
                <w:sz w:val="18"/>
                <w:szCs w:val="18"/>
              </w:rPr>
              <w:t>1-</w:t>
            </w:r>
            <w:r w:rsidRPr="00B339B3">
              <w:rPr>
                <w:rFonts w:asciiTheme="majorBidi" w:hAnsiTheme="majorBidi" w:cstheme="majorBidi"/>
                <w:sz w:val="18"/>
                <w:szCs w:val="18"/>
              </w:rPr>
              <w:t>Lack of motivation</w:t>
            </w:r>
          </w:p>
        </w:tc>
        <w:tc>
          <w:tcPr>
            <w:tcW w:w="1350" w:type="dxa"/>
            <w:tcBorders>
              <w:top w:val="single" w:sz="12" w:space="0" w:color="auto"/>
            </w:tcBorders>
          </w:tcPr>
          <w:p w:rsidR="000A612E" w:rsidRPr="00B339B3" w:rsidRDefault="000A612E" w:rsidP="00B724A8">
            <w:pPr>
              <w:rPr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single" w:sz="12" w:space="0" w:color="auto"/>
            </w:tcBorders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12" w:space="0" w:color="auto"/>
            </w:tcBorders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single" w:sz="12" w:space="0" w:color="auto"/>
            </w:tcBorders>
          </w:tcPr>
          <w:p w:rsidR="000A612E" w:rsidRPr="00B339B3" w:rsidRDefault="000A612E" w:rsidP="00B339B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</w:tr>
      <w:tr w:rsidR="000A612E" w:rsidRPr="00B339B3" w:rsidTr="00B339B3">
        <w:tc>
          <w:tcPr>
            <w:tcW w:w="1788" w:type="dxa"/>
            <w:vMerge/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072" w:type="dxa"/>
          </w:tcPr>
          <w:p w:rsidR="000A612E" w:rsidRPr="00B339B3" w:rsidRDefault="00164678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 xml:space="preserve">2- </w:t>
            </w:r>
            <w:r w:rsidR="000A612E" w:rsidRPr="00B339B3">
              <w:rPr>
                <w:rFonts w:asciiTheme="majorBidi" w:hAnsiTheme="majorBidi" w:cstheme="majorBidi"/>
                <w:sz w:val="18"/>
                <w:szCs w:val="18"/>
              </w:rPr>
              <w:t>Resistance against change</w:t>
            </w:r>
          </w:p>
        </w:tc>
        <w:tc>
          <w:tcPr>
            <w:tcW w:w="1350" w:type="dxa"/>
          </w:tcPr>
          <w:p w:rsidR="000A612E" w:rsidRPr="00B339B3" w:rsidRDefault="000A612E" w:rsidP="00B724A8">
            <w:pPr>
              <w:rPr>
                <w:sz w:val="18"/>
                <w:szCs w:val="18"/>
              </w:rPr>
            </w:pPr>
          </w:p>
        </w:tc>
        <w:tc>
          <w:tcPr>
            <w:tcW w:w="97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64" w:type="dxa"/>
          </w:tcPr>
          <w:p w:rsidR="000A612E" w:rsidRPr="00B339B3" w:rsidRDefault="000A612E" w:rsidP="00B339B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</w:tr>
      <w:tr w:rsidR="000A612E" w:rsidRPr="00B339B3" w:rsidTr="00B339B3">
        <w:tc>
          <w:tcPr>
            <w:tcW w:w="1788" w:type="dxa"/>
            <w:vMerge/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072" w:type="dxa"/>
          </w:tcPr>
          <w:p w:rsidR="000A612E" w:rsidRPr="00B339B3" w:rsidRDefault="00164678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 xml:space="preserve">3- </w:t>
            </w:r>
            <w:r w:rsidR="000A612E" w:rsidRPr="00B339B3">
              <w:rPr>
                <w:rFonts w:asciiTheme="majorBidi" w:hAnsiTheme="majorBidi" w:cstheme="majorBidi"/>
                <w:sz w:val="18"/>
                <w:szCs w:val="18"/>
              </w:rPr>
              <w:t>Unfamiliarity with novel teaching methods</w:t>
            </w:r>
          </w:p>
        </w:tc>
        <w:tc>
          <w:tcPr>
            <w:tcW w:w="1350" w:type="dxa"/>
          </w:tcPr>
          <w:p w:rsidR="000A612E" w:rsidRPr="00B339B3" w:rsidRDefault="000A612E" w:rsidP="00B724A8">
            <w:pPr>
              <w:rPr>
                <w:sz w:val="18"/>
                <w:szCs w:val="18"/>
              </w:rPr>
            </w:pPr>
          </w:p>
        </w:tc>
        <w:tc>
          <w:tcPr>
            <w:tcW w:w="97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64" w:type="dxa"/>
          </w:tcPr>
          <w:p w:rsidR="000A612E" w:rsidRPr="00B339B3" w:rsidRDefault="000A612E" w:rsidP="00B339B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</w:tr>
      <w:tr w:rsidR="000A612E" w:rsidRPr="00B339B3" w:rsidTr="00B339B3">
        <w:tc>
          <w:tcPr>
            <w:tcW w:w="1788" w:type="dxa"/>
            <w:vMerge/>
            <w:tcBorders>
              <w:bottom w:val="single" w:sz="12" w:space="0" w:color="auto"/>
            </w:tcBorders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072" w:type="dxa"/>
            <w:tcBorders>
              <w:bottom w:val="single" w:sz="12" w:space="0" w:color="auto"/>
            </w:tcBorders>
          </w:tcPr>
          <w:p w:rsidR="000A612E" w:rsidRPr="00B339B3" w:rsidRDefault="00164678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>4-</w:t>
            </w:r>
            <w:r w:rsidR="000A612E" w:rsidRPr="00B339B3">
              <w:rPr>
                <w:rFonts w:asciiTheme="majorBidi" w:hAnsiTheme="majorBidi" w:cstheme="majorBidi"/>
                <w:sz w:val="18"/>
                <w:szCs w:val="18"/>
              </w:rPr>
              <w:t>Non-applicability</w:t>
            </w:r>
            <w:r w:rsidR="000A612E" w:rsidRPr="00B339B3">
              <w:rPr>
                <w:rFonts w:asciiTheme="majorBidi" w:hAnsiTheme="majorBidi" w:cstheme="majorBidi" w:hint="cs"/>
                <w:sz w:val="18"/>
                <w:szCs w:val="18"/>
                <w:rtl/>
              </w:rPr>
              <w:t xml:space="preserve"> </w:t>
            </w:r>
            <w:r w:rsidR="000A612E" w:rsidRPr="00B339B3">
              <w:rPr>
                <w:rFonts w:asciiTheme="majorBidi" w:hAnsiTheme="majorBidi" w:cstheme="majorBidi"/>
                <w:sz w:val="18"/>
                <w:szCs w:val="18"/>
              </w:rPr>
              <w:t>of teaching content</w:t>
            </w:r>
          </w:p>
        </w:tc>
        <w:tc>
          <w:tcPr>
            <w:tcW w:w="1350" w:type="dxa"/>
            <w:tcBorders>
              <w:bottom w:val="single" w:sz="12" w:space="0" w:color="auto"/>
            </w:tcBorders>
          </w:tcPr>
          <w:p w:rsidR="000A612E" w:rsidRPr="00B339B3" w:rsidRDefault="000A612E" w:rsidP="00B724A8">
            <w:pPr>
              <w:rPr>
                <w:sz w:val="18"/>
                <w:szCs w:val="18"/>
              </w:rPr>
            </w:pPr>
          </w:p>
        </w:tc>
        <w:tc>
          <w:tcPr>
            <w:tcW w:w="970" w:type="dxa"/>
            <w:tcBorders>
              <w:bottom w:val="single" w:sz="12" w:space="0" w:color="auto"/>
            </w:tcBorders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bottom w:val="single" w:sz="12" w:space="0" w:color="auto"/>
            </w:tcBorders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64" w:type="dxa"/>
            <w:tcBorders>
              <w:bottom w:val="single" w:sz="12" w:space="0" w:color="auto"/>
            </w:tcBorders>
          </w:tcPr>
          <w:p w:rsidR="000A612E" w:rsidRPr="00B339B3" w:rsidRDefault="000A612E" w:rsidP="00B339B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</w:tr>
      <w:tr w:rsidR="000A612E" w:rsidRPr="00B339B3" w:rsidTr="00B339B3">
        <w:tc>
          <w:tcPr>
            <w:tcW w:w="1788" w:type="dxa"/>
            <w:vMerge w:val="restart"/>
            <w:tcBorders>
              <w:top w:val="single" w:sz="12" w:space="0" w:color="auto"/>
            </w:tcBorders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0A612E" w:rsidRPr="00B339B3" w:rsidRDefault="000A612E" w:rsidP="000A612E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 xml:space="preserve">Challenges related to instructors </w:t>
            </w:r>
          </w:p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072" w:type="dxa"/>
            <w:tcBorders>
              <w:top w:val="single" w:sz="12" w:space="0" w:color="auto"/>
            </w:tcBorders>
          </w:tcPr>
          <w:p w:rsidR="000A612E" w:rsidRPr="00B339B3" w:rsidRDefault="00164678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 xml:space="preserve">5- </w:t>
            </w:r>
            <w:r w:rsidR="000A612E" w:rsidRPr="00B339B3">
              <w:rPr>
                <w:rFonts w:asciiTheme="majorBidi" w:hAnsiTheme="majorBidi" w:cstheme="majorBidi"/>
                <w:sz w:val="18"/>
                <w:szCs w:val="18"/>
              </w:rPr>
              <w:t>Resistance against change</w:t>
            </w:r>
          </w:p>
        </w:tc>
        <w:tc>
          <w:tcPr>
            <w:tcW w:w="1350" w:type="dxa"/>
            <w:tcBorders>
              <w:top w:val="single" w:sz="12" w:space="0" w:color="auto"/>
            </w:tcBorders>
          </w:tcPr>
          <w:p w:rsidR="000A612E" w:rsidRPr="00B339B3" w:rsidRDefault="000A612E" w:rsidP="00B724A8">
            <w:pPr>
              <w:rPr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single" w:sz="12" w:space="0" w:color="auto"/>
            </w:tcBorders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12" w:space="0" w:color="auto"/>
            </w:tcBorders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single" w:sz="12" w:space="0" w:color="auto"/>
            </w:tcBorders>
          </w:tcPr>
          <w:p w:rsidR="000A612E" w:rsidRPr="00B339B3" w:rsidRDefault="000A612E" w:rsidP="00B339B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</w:tr>
      <w:tr w:rsidR="000A612E" w:rsidRPr="00B339B3" w:rsidTr="00B339B3">
        <w:tc>
          <w:tcPr>
            <w:tcW w:w="1788" w:type="dxa"/>
            <w:vMerge/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072" w:type="dxa"/>
          </w:tcPr>
          <w:p w:rsidR="000A612E" w:rsidRPr="00B339B3" w:rsidRDefault="00164678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>6-</w:t>
            </w:r>
            <w:r w:rsidR="000A612E" w:rsidRPr="00B339B3">
              <w:rPr>
                <w:rFonts w:asciiTheme="majorBidi" w:hAnsiTheme="majorBidi" w:cstheme="majorBidi"/>
                <w:sz w:val="18"/>
                <w:szCs w:val="18"/>
              </w:rPr>
              <w:t>Unfamiliarity with novel teaching methods</w:t>
            </w:r>
          </w:p>
        </w:tc>
        <w:tc>
          <w:tcPr>
            <w:tcW w:w="1350" w:type="dxa"/>
          </w:tcPr>
          <w:p w:rsidR="000A612E" w:rsidRPr="00B339B3" w:rsidRDefault="000A612E" w:rsidP="00B724A8">
            <w:pPr>
              <w:rPr>
                <w:sz w:val="18"/>
                <w:szCs w:val="18"/>
              </w:rPr>
            </w:pPr>
          </w:p>
        </w:tc>
        <w:tc>
          <w:tcPr>
            <w:tcW w:w="97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64" w:type="dxa"/>
          </w:tcPr>
          <w:p w:rsidR="000A612E" w:rsidRPr="00B339B3" w:rsidRDefault="000A612E" w:rsidP="00B339B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</w:tr>
      <w:tr w:rsidR="000A612E" w:rsidRPr="00B339B3" w:rsidTr="00B339B3">
        <w:tc>
          <w:tcPr>
            <w:tcW w:w="1788" w:type="dxa"/>
            <w:vMerge/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072" w:type="dxa"/>
          </w:tcPr>
          <w:p w:rsidR="000A612E" w:rsidRPr="00B339B3" w:rsidRDefault="00164678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 xml:space="preserve">7- </w:t>
            </w:r>
            <w:r w:rsidR="000A612E" w:rsidRPr="00B339B3">
              <w:rPr>
                <w:rFonts w:asciiTheme="majorBidi" w:hAnsiTheme="majorBidi" w:cstheme="majorBidi"/>
                <w:sz w:val="18"/>
                <w:szCs w:val="18"/>
              </w:rPr>
              <w:t>Lack of motivation</w:t>
            </w:r>
          </w:p>
        </w:tc>
        <w:tc>
          <w:tcPr>
            <w:tcW w:w="1350" w:type="dxa"/>
          </w:tcPr>
          <w:p w:rsidR="000A612E" w:rsidRPr="00B339B3" w:rsidRDefault="000A612E" w:rsidP="00B724A8">
            <w:pPr>
              <w:rPr>
                <w:sz w:val="18"/>
                <w:szCs w:val="18"/>
              </w:rPr>
            </w:pPr>
          </w:p>
        </w:tc>
        <w:tc>
          <w:tcPr>
            <w:tcW w:w="97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64" w:type="dxa"/>
          </w:tcPr>
          <w:p w:rsidR="000A612E" w:rsidRPr="00B339B3" w:rsidRDefault="000A612E" w:rsidP="00B339B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</w:tr>
      <w:tr w:rsidR="000A612E" w:rsidRPr="00B339B3" w:rsidTr="00B339B3">
        <w:tc>
          <w:tcPr>
            <w:tcW w:w="1788" w:type="dxa"/>
            <w:vMerge/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072" w:type="dxa"/>
          </w:tcPr>
          <w:p w:rsidR="000A612E" w:rsidRPr="00B339B3" w:rsidRDefault="00164678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 xml:space="preserve">8- </w:t>
            </w:r>
            <w:r w:rsidR="000A612E" w:rsidRPr="00B339B3">
              <w:rPr>
                <w:rFonts w:asciiTheme="majorBidi" w:hAnsiTheme="majorBidi" w:cstheme="majorBidi"/>
                <w:sz w:val="18"/>
                <w:szCs w:val="18"/>
              </w:rPr>
              <w:t>Satisfaction with and trust in the common teaching methods</w:t>
            </w:r>
          </w:p>
        </w:tc>
        <w:tc>
          <w:tcPr>
            <w:tcW w:w="1350" w:type="dxa"/>
          </w:tcPr>
          <w:p w:rsidR="000A612E" w:rsidRPr="00B339B3" w:rsidRDefault="000A612E" w:rsidP="00B724A8">
            <w:pPr>
              <w:rPr>
                <w:sz w:val="18"/>
                <w:szCs w:val="18"/>
              </w:rPr>
            </w:pPr>
          </w:p>
        </w:tc>
        <w:tc>
          <w:tcPr>
            <w:tcW w:w="97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64" w:type="dxa"/>
          </w:tcPr>
          <w:p w:rsidR="000A612E" w:rsidRPr="00B339B3" w:rsidRDefault="000A612E" w:rsidP="00B339B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</w:tr>
      <w:tr w:rsidR="000A612E" w:rsidRPr="00B339B3" w:rsidTr="00B339B3">
        <w:tc>
          <w:tcPr>
            <w:tcW w:w="1788" w:type="dxa"/>
            <w:vMerge/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072" w:type="dxa"/>
          </w:tcPr>
          <w:p w:rsidR="000A612E" w:rsidRPr="00B339B3" w:rsidRDefault="00164678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>9-</w:t>
            </w:r>
            <w:r w:rsidR="000A612E" w:rsidRPr="00B339B3">
              <w:rPr>
                <w:rFonts w:asciiTheme="majorBidi" w:hAnsiTheme="majorBidi" w:cstheme="majorBidi"/>
                <w:sz w:val="18"/>
                <w:szCs w:val="18"/>
              </w:rPr>
              <w:t>Lack of privilege</w:t>
            </w:r>
          </w:p>
        </w:tc>
        <w:tc>
          <w:tcPr>
            <w:tcW w:w="1350" w:type="dxa"/>
          </w:tcPr>
          <w:p w:rsidR="000A612E" w:rsidRPr="00B339B3" w:rsidRDefault="000A612E" w:rsidP="00B724A8">
            <w:pPr>
              <w:rPr>
                <w:sz w:val="18"/>
                <w:szCs w:val="18"/>
              </w:rPr>
            </w:pPr>
          </w:p>
        </w:tc>
        <w:tc>
          <w:tcPr>
            <w:tcW w:w="97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64" w:type="dxa"/>
          </w:tcPr>
          <w:p w:rsidR="000A612E" w:rsidRPr="00B339B3" w:rsidRDefault="000A612E" w:rsidP="00B339B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</w:tr>
      <w:tr w:rsidR="000A612E" w:rsidRPr="00B339B3" w:rsidTr="00B339B3">
        <w:tc>
          <w:tcPr>
            <w:tcW w:w="1788" w:type="dxa"/>
            <w:vMerge/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072" w:type="dxa"/>
          </w:tcPr>
          <w:p w:rsidR="000A612E" w:rsidRPr="00B339B3" w:rsidRDefault="00164678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>10-</w:t>
            </w:r>
            <w:r w:rsidR="000A612E" w:rsidRPr="00B339B3">
              <w:rPr>
                <w:rFonts w:asciiTheme="majorBidi" w:hAnsiTheme="majorBidi" w:cstheme="majorBidi"/>
                <w:sz w:val="18"/>
                <w:szCs w:val="18"/>
              </w:rPr>
              <w:t>Difficulty of evaluation in novel teaching methods</w:t>
            </w:r>
          </w:p>
        </w:tc>
        <w:tc>
          <w:tcPr>
            <w:tcW w:w="1350" w:type="dxa"/>
          </w:tcPr>
          <w:p w:rsidR="000A612E" w:rsidRPr="00B339B3" w:rsidRDefault="000A612E" w:rsidP="00B724A8">
            <w:pPr>
              <w:rPr>
                <w:sz w:val="18"/>
                <w:szCs w:val="18"/>
              </w:rPr>
            </w:pPr>
          </w:p>
        </w:tc>
        <w:tc>
          <w:tcPr>
            <w:tcW w:w="97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64" w:type="dxa"/>
          </w:tcPr>
          <w:p w:rsidR="000A612E" w:rsidRPr="00B339B3" w:rsidRDefault="000A612E" w:rsidP="00B339B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</w:tr>
      <w:tr w:rsidR="000A612E" w:rsidRPr="00B339B3" w:rsidTr="00B339B3">
        <w:tc>
          <w:tcPr>
            <w:tcW w:w="1788" w:type="dxa"/>
            <w:vMerge/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072" w:type="dxa"/>
          </w:tcPr>
          <w:p w:rsidR="000A612E" w:rsidRPr="00B339B3" w:rsidRDefault="00164678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>11-</w:t>
            </w:r>
            <w:r w:rsidR="000A612E" w:rsidRPr="00B339B3">
              <w:rPr>
                <w:rFonts w:asciiTheme="majorBidi" w:hAnsiTheme="majorBidi" w:cstheme="majorBidi"/>
                <w:sz w:val="18"/>
                <w:szCs w:val="18"/>
              </w:rPr>
              <w:t>Not having lessons plans based on the teaching method</w:t>
            </w:r>
          </w:p>
        </w:tc>
        <w:tc>
          <w:tcPr>
            <w:tcW w:w="1350" w:type="dxa"/>
          </w:tcPr>
          <w:p w:rsidR="000A612E" w:rsidRPr="00B339B3" w:rsidRDefault="000A612E" w:rsidP="00B724A8">
            <w:pPr>
              <w:rPr>
                <w:sz w:val="18"/>
                <w:szCs w:val="18"/>
              </w:rPr>
            </w:pPr>
          </w:p>
        </w:tc>
        <w:tc>
          <w:tcPr>
            <w:tcW w:w="97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64" w:type="dxa"/>
          </w:tcPr>
          <w:p w:rsidR="000A612E" w:rsidRPr="00B339B3" w:rsidRDefault="000A612E" w:rsidP="00B339B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</w:tr>
      <w:tr w:rsidR="000A612E" w:rsidRPr="00B339B3" w:rsidTr="00B339B3">
        <w:tc>
          <w:tcPr>
            <w:tcW w:w="1788" w:type="dxa"/>
            <w:vMerge/>
            <w:tcBorders>
              <w:bottom w:val="single" w:sz="12" w:space="0" w:color="auto"/>
            </w:tcBorders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072" w:type="dxa"/>
            <w:tcBorders>
              <w:bottom w:val="single" w:sz="12" w:space="0" w:color="auto"/>
            </w:tcBorders>
          </w:tcPr>
          <w:p w:rsidR="000A612E" w:rsidRPr="00B339B3" w:rsidRDefault="00164678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>12-</w:t>
            </w:r>
            <w:r w:rsidR="000A612E" w:rsidRPr="00B339B3">
              <w:rPr>
                <w:rFonts w:asciiTheme="majorBidi" w:hAnsiTheme="majorBidi" w:cstheme="majorBidi"/>
                <w:sz w:val="18"/>
                <w:szCs w:val="18"/>
              </w:rPr>
              <w:t>Lack of mastery and skills</w:t>
            </w:r>
          </w:p>
        </w:tc>
        <w:tc>
          <w:tcPr>
            <w:tcW w:w="1350" w:type="dxa"/>
            <w:tcBorders>
              <w:bottom w:val="single" w:sz="12" w:space="0" w:color="auto"/>
            </w:tcBorders>
          </w:tcPr>
          <w:p w:rsidR="000A612E" w:rsidRPr="00B339B3" w:rsidRDefault="000A612E" w:rsidP="00B724A8">
            <w:pPr>
              <w:rPr>
                <w:sz w:val="18"/>
                <w:szCs w:val="18"/>
              </w:rPr>
            </w:pPr>
          </w:p>
        </w:tc>
        <w:tc>
          <w:tcPr>
            <w:tcW w:w="970" w:type="dxa"/>
            <w:tcBorders>
              <w:bottom w:val="single" w:sz="12" w:space="0" w:color="auto"/>
            </w:tcBorders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bottom w:val="single" w:sz="12" w:space="0" w:color="auto"/>
            </w:tcBorders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64" w:type="dxa"/>
            <w:tcBorders>
              <w:bottom w:val="single" w:sz="12" w:space="0" w:color="auto"/>
            </w:tcBorders>
          </w:tcPr>
          <w:p w:rsidR="000A612E" w:rsidRPr="00B339B3" w:rsidRDefault="000A612E" w:rsidP="00B339B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</w:tr>
      <w:tr w:rsidR="000A612E" w:rsidRPr="00B339B3" w:rsidTr="00B339B3">
        <w:tc>
          <w:tcPr>
            <w:tcW w:w="1788" w:type="dxa"/>
            <w:vMerge w:val="restart"/>
            <w:tcBorders>
              <w:top w:val="single" w:sz="12" w:space="0" w:color="auto"/>
            </w:tcBorders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B339B3">
              <w:rPr>
                <w:rFonts w:asciiTheme="majorBidi" w:hAnsiTheme="majorBidi" w:cstheme="majorBidi"/>
                <w:sz w:val="18"/>
                <w:szCs w:val="18"/>
              </w:rPr>
              <w:t>Structural-managerial challenges</w:t>
            </w:r>
          </w:p>
        </w:tc>
        <w:tc>
          <w:tcPr>
            <w:tcW w:w="3072" w:type="dxa"/>
            <w:tcBorders>
              <w:top w:val="single" w:sz="12" w:space="0" w:color="auto"/>
            </w:tcBorders>
          </w:tcPr>
          <w:p w:rsidR="000A612E" w:rsidRPr="00B339B3" w:rsidRDefault="00B339B3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13-</w:t>
            </w:r>
            <w:r w:rsidR="000A612E" w:rsidRPr="00B339B3">
              <w:rPr>
                <w:rFonts w:asciiTheme="majorBidi" w:hAnsiTheme="majorBidi" w:cstheme="majorBidi"/>
                <w:sz w:val="18"/>
                <w:szCs w:val="18"/>
              </w:rPr>
              <w:t>Time restrictions</w:t>
            </w:r>
          </w:p>
        </w:tc>
        <w:tc>
          <w:tcPr>
            <w:tcW w:w="1350" w:type="dxa"/>
            <w:tcBorders>
              <w:top w:val="single" w:sz="12" w:space="0" w:color="auto"/>
            </w:tcBorders>
          </w:tcPr>
          <w:p w:rsidR="000A612E" w:rsidRPr="00B339B3" w:rsidRDefault="000A612E" w:rsidP="00B724A8">
            <w:pPr>
              <w:rPr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single" w:sz="12" w:space="0" w:color="auto"/>
            </w:tcBorders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  <w:tcBorders>
              <w:top w:val="single" w:sz="12" w:space="0" w:color="auto"/>
            </w:tcBorders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64" w:type="dxa"/>
            <w:tcBorders>
              <w:top w:val="single" w:sz="12" w:space="0" w:color="auto"/>
            </w:tcBorders>
          </w:tcPr>
          <w:p w:rsidR="000A612E" w:rsidRPr="00B339B3" w:rsidRDefault="000A612E" w:rsidP="00B339B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</w:tr>
      <w:tr w:rsidR="000A612E" w:rsidRPr="00B339B3" w:rsidTr="00B339B3">
        <w:tc>
          <w:tcPr>
            <w:tcW w:w="1788" w:type="dxa"/>
            <w:vMerge/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072" w:type="dxa"/>
          </w:tcPr>
          <w:p w:rsidR="000A612E" w:rsidRPr="00B339B3" w:rsidRDefault="00B339B3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14- </w:t>
            </w:r>
            <w:r w:rsidR="000A612E" w:rsidRPr="00B339B3">
              <w:rPr>
                <w:rFonts w:asciiTheme="majorBidi" w:hAnsiTheme="majorBidi" w:cstheme="majorBidi"/>
                <w:sz w:val="18"/>
                <w:szCs w:val="18"/>
              </w:rPr>
              <w:t>Large number of students</w:t>
            </w:r>
          </w:p>
        </w:tc>
        <w:tc>
          <w:tcPr>
            <w:tcW w:w="1350" w:type="dxa"/>
          </w:tcPr>
          <w:p w:rsidR="000A612E" w:rsidRPr="00B339B3" w:rsidRDefault="000A612E" w:rsidP="00B724A8">
            <w:pPr>
              <w:rPr>
                <w:sz w:val="18"/>
                <w:szCs w:val="18"/>
              </w:rPr>
            </w:pPr>
          </w:p>
        </w:tc>
        <w:tc>
          <w:tcPr>
            <w:tcW w:w="97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64" w:type="dxa"/>
          </w:tcPr>
          <w:p w:rsidR="000A612E" w:rsidRPr="00B339B3" w:rsidRDefault="000A612E" w:rsidP="00B339B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</w:tr>
      <w:tr w:rsidR="000A612E" w:rsidRPr="00B339B3" w:rsidTr="00B339B3">
        <w:tc>
          <w:tcPr>
            <w:tcW w:w="1788" w:type="dxa"/>
            <w:vMerge/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072" w:type="dxa"/>
          </w:tcPr>
          <w:p w:rsidR="000A612E" w:rsidRPr="00B339B3" w:rsidRDefault="00B339B3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15-</w:t>
            </w:r>
            <w:r w:rsidR="000A612E" w:rsidRPr="00B339B3">
              <w:rPr>
                <w:rFonts w:asciiTheme="majorBidi" w:hAnsiTheme="majorBidi" w:cstheme="majorBidi"/>
                <w:sz w:val="18"/>
                <w:szCs w:val="18"/>
              </w:rPr>
              <w:t>Difficulty in class management</w:t>
            </w:r>
          </w:p>
        </w:tc>
        <w:tc>
          <w:tcPr>
            <w:tcW w:w="1350" w:type="dxa"/>
          </w:tcPr>
          <w:p w:rsidR="000A612E" w:rsidRPr="00B339B3" w:rsidRDefault="000A612E" w:rsidP="00B724A8">
            <w:pPr>
              <w:rPr>
                <w:sz w:val="18"/>
                <w:szCs w:val="18"/>
              </w:rPr>
            </w:pPr>
          </w:p>
        </w:tc>
        <w:tc>
          <w:tcPr>
            <w:tcW w:w="97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64" w:type="dxa"/>
          </w:tcPr>
          <w:p w:rsidR="000A612E" w:rsidRPr="00B339B3" w:rsidRDefault="000A612E" w:rsidP="00B339B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</w:tr>
      <w:tr w:rsidR="000A612E" w:rsidRPr="00B339B3" w:rsidTr="00B339B3">
        <w:tc>
          <w:tcPr>
            <w:tcW w:w="1788" w:type="dxa"/>
            <w:vMerge/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072" w:type="dxa"/>
          </w:tcPr>
          <w:p w:rsidR="000A612E" w:rsidRPr="00B339B3" w:rsidRDefault="00B339B3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16- </w:t>
            </w:r>
            <w:r w:rsidR="000A612E" w:rsidRPr="00B339B3">
              <w:rPr>
                <w:rFonts w:asciiTheme="majorBidi" w:hAnsiTheme="majorBidi" w:cstheme="majorBidi"/>
                <w:sz w:val="18"/>
                <w:szCs w:val="18"/>
              </w:rPr>
              <w:t>Lack of appropriate physical space</w:t>
            </w:r>
          </w:p>
        </w:tc>
        <w:tc>
          <w:tcPr>
            <w:tcW w:w="1350" w:type="dxa"/>
          </w:tcPr>
          <w:p w:rsidR="000A612E" w:rsidRPr="00B339B3" w:rsidRDefault="000A612E" w:rsidP="00B724A8">
            <w:pPr>
              <w:rPr>
                <w:sz w:val="18"/>
                <w:szCs w:val="18"/>
              </w:rPr>
            </w:pPr>
          </w:p>
        </w:tc>
        <w:tc>
          <w:tcPr>
            <w:tcW w:w="97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64" w:type="dxa"/>
          </w:tcPr>
          <w:p w:rsidR="000A612E" w:rsidRPr="00B339B3" w:rsidRDefault="000A612E" w:rsidP="00B339B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</w:tr>
      <w:tr w:rsidR="000A612E" w:rsidRPr="00B339B3" w:rsidTr="00B339B3">
        <w:tc>
          <w:tcPr>
            <w:tcW w:w="1788" w:type="dxa"/>
            <w:vMerge/>
          </w:tcPr>
          <w:p w:rsidR="000A612E" w:rsidRPr="00B339B3" w:rsidRDefault="000A612E" w:rsidP="00202A0A">
            <w:pPr>
              <w:spacing w:line="36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072" w:type="dxa"/>
          </w:tcPr>
          <w:p w:rsidR="000A612E" w:rsidRPr="00B339B3" w:rsidRDefault="00B339B3" w:rsidP="000A612E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17-</w:t>
            </w:r>
            <w:r w:rsidR="000A612E" w:rsidRPr="00B339B3">
              <w:rPr>
                <w:rFonts w:asciiTheme="majorBidi" w:hAnsiTheme="majorBidi" w:cstheme="majorBidi"/>
                <w:sz w:val="18"/>
                <w:szCs w:val="18"/>
              </w:rPr>
              <w:t>Lack of support and encouragement from the university</w:t>
            </w:r>
          </w:p>
        </w:tc>
        <w:tc>
          <w:tcPr>
            <w:tcW w:w="1350" w:type="dxa"/>
          </w:tcPr>
          <w:p w:rsidR="000A612E" w:rsidRPr="00B339B3" w:rsidRDefault="000A612E" w:rsidP="00B724A8">
            <w:pPr>
              <w:rPr>
                <w:sz w:val="18"/>
                <w:szCs w:val="18"/>
              </w:rPr>
            </w:pPr>
          </w:p>
        </w:tc>
        <w:tc>
          <w:tcPr>
            <w:tcW w:w="97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06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  <w:tc>
          <w:tcPr>
            <w:tcW w:w="1164" w:type="dxa"/>
          </w:tcPr>
          <w:p w:rsidR="000A612E" w:rsidRPr="00B339B3" w:rsidRDefault="000A612E" w:rsidP="00B339B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</w:tcPr>
          <w:p w:rsidR="000A612E" w:rsidRPr="00B339B3" w:rsidRDefault="000A612E" w:rsidP="00BD18BD">
            <w:pPr>
              <w:rPr>
                <w:sz w:val="18"/>
                <w:szCs w:val="18"/>
              </w:rPr>
            </w:pPr>
          </w:p>
        </w:tc>
      </w:tr>
    </w:tbl>
    <w:p w:rsidR="00684A89" w:rsidRPr="00B339B3" w:rsidRDefault="00684A89" w:rsidP="00684A89">
      <w:pPr>
        <w:rPr>
          <w:rFonts w:asciiTheme="majorBidi" w:hAnsiTheme="majorBidi" w:cstheme="majorBidi"/>
          <w:sz w:val="18"/>
          <w:szCs w:val="18"/>
        </w:rPr>
      </w:pPr>
    </w:p>
    <w:sectPr w:rsidR="00684A89" w:rsidRPr="00B339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A89"/>
    <w:rsid w:val="000A612E"/>
    <w:rsid w:val="00164678"/>
    <w:rsid w:val="00684A89"/>
    <w:rsid w:val="006B50B0"/>
    <w:rsid w:val="00A97972"/>
    <w:rsid w:val="00B3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4A89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4A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4A89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4A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</dc:creator>
  <cp:lastModifiedBy>TR</cp:lastModifiedBy>
  <cp:revision>4</cp:revision>
  <dcterms:created xsi:type="dcterms:W3CDTF">2020-01-11T01:19:00Z</dcterms:created>
  <dcterms:modified xsi:type="dcterms:W3CDTF">2020-02-11T09:00:00Z</dcterms:modified>
</cp:coreProperties>
</file>