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743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3248241"/>
      <w:bookmarkStart w:id="9" w:name="_GoBack"/>
      <w:bookmarkEnd w:id="9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</w:t>
      </w:r>
    </w:p>
    <w:bookmarkEnd w:id="0"/>
    <w:p>
      <w:pPr>
        <w:tabs>
          <w:tab w:val="left" w:pos="8743"/>
        </w:tabs>
        <w:jc w:val="left"/>
        <w:rPr>
          <w:rFonts w:ascii="Times New Roman" w:hAnsi="Times New Roman" w:eastAsia="等线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Search strategy for PubMed.</w:t>
      </w:r>
    </w:p>
    <w:tbl>
      <w:tblPr>
        <w:tblStyle w:val="4"/>
        <w:tblW w:w="3576" w:type="pct"/>
        <w:tblInd w:w="0" w:type="dxa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338"/>
        <w:gridCol w:w="8799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  <w:t>Database</w:t>
            </w:r>
          </w:p>
        </w:tc>
        <w:tc>
          <w:tcPr>
            <w:tcW w:w="43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  <w:t>Search strategy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6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8"/>
                <w:szCs w:val="28"/>
              </w:rPr>
              <w:t>PubMed</w:t>
            </w:r>
          </w:p>
        </w:tc>
        <w:tc>
          <w:tcPr>
            <w:tcW w:w="433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1"/>
                <w:szCs w:val="21"/>
              </w:rPr>
              <w:t xml:space="preserve">("deliri*"[Title/Abstract] OR "confus*"[Title/Abstract] OR "POCD"[Title/Abstract] OR (("postoperative period"[MeSH Terms] OR ("postoperative"[All Fields] AND "period"[All Fields]) OR "postoperative period"[All Fields] OR ("post"[All Fields] AND "operative"[All Fields]) OR "post-operative"[All Fields]) AND "cognitive disorder"[Title/Abstract]) OR "acute confusional state"[Title/Abstract]) AND ("risk"[MeSH Terms] OR "risk"[All Fields] OR ("predictor"[All Fields] OR "predictors"[All Fields]) OR ("factor"[All Fields] OR "factor s"[All Fields] OR "factors"[All Fields])) AND ("knee"[MeSH Terms] OR "knee joint"[MeSH Terms] OR "hip"[MeSH Terms] OR "joints"[MeSH Terms])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43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43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43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43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433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p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>
      <w:pPr>
        <w:rPr>
          <w:rStyle w:val="8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8"/>
          <w:rFonts w:ascii="Times New Roman" w:hAnsi="Times New Roman" w:cs="Times New Roman"/>
          <w:b/>
          <w:bCs/>
          <w:sz w:val="24"/>
          <w:szCs w:val="24"/>
        </w:rPr>
        <w:t xml:space="preserve">Supplementary table 2 </w:t>
      </w:r>
    </w:p>
    <w:p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131413"/>
          <w:sz w:val="24"/>
          <w:szCs w:val="24"/>
        </w:rPr>
        <w:t>Methodological quality assessment of included studies by Newcastle–Ottawa scales</w:t>
      </w:r>
      <w:r>
        <w:rPr>
          <w:rFonts w:hint="eastAsia" w:ascii="Times New Roman" w:hAnsi="Times New Roman" w:cs="Times New Roman"/>
          <w:color w:val="131413"/>
          <w:sz w:val="24"/>
          <w:szCs w:val="24"/>
        </w:rPr>
        <w:t>.</w:t>
      </w:r>
    </w:p>
    <w:tbl>
      <w:tblPr>
        <w:tblStyle w:val="4"/>
        <w:tblpPr w:leftFromText="180" w:rightFromText="180" w:vertAnchor="text" w:horzAnchor="page" w:tblpX="1884" w:tblpY="389"/>
        <w:tblOverlap w:val="never"/>
        <w:tblW w:w="406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946"/>
        <w:gridCol w:w="1096"/>
        <w:gridCol w:w="1258"/>
        <w:gridCol w:w="997"/>
        <w:gridCol w:w="1287"/>
        <w:gridCol w:w="1050"/>
        <w:gridCol w:w="935"/>
        <w:gridCol w:w="1085"/>
        <w:gridCol w:w="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2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186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Selection</w:t>
            </w:r>
          </w:p>
        </w:tc>
        <w:tc>
          <w:tcPr>
            <w:tcW w:w="5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Comparability</w:t>
            </w:r>
          </w:p>
        </w:tc>
        <w:tc>
          <w:tcPr>
            <w:tcW w:w="175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Outcome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Exposed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Cohort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Nonexposed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Cohort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Ascertainment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of exposure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Outcome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of interest</w:t>
            </w:r>
          </w:p>
        </w:tc>
        <w:tc>
          <w:tcPr>
            <w:tcW w:w="5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Assessment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of outcome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Length of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follow-up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Adequacy</w:t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br w:type="textWrapping"/>
            </w: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of follow-up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Total score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Rogers et al. (1989)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Russo et al. (1992)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Fisher et al. (1995)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Freter et al. (2005)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Lowery et al. (2007)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Priner et al. (2008)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Jankowski et al. (2011)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Cerejeira et al. (2012)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Flink et al. (2012)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Chung et al. (2015)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Wang et al. (2017)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Huang et al. (2017)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Chen et al. (2017)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Peng et al. (2019)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b/>
                <w:bCs/>
                <w:color w:val="000000"/>
                <w:sz w:val="16"/>
                <w:szCs w:val="16"/>
              </w:rPr>
              <w:t>Kijima et al. (2020)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16"/>
                <w:szCs w:val="16"/>
              </w:rPr>
              <w:t>−</w:t>
            </w:r>
          </w:p>
        </w:tc>
        <w:tc>
          <w:tcPr>
            <w:tcW w:w="47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0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Segoe UI Symbol" w:hAnsi="Segoe UI Symbol" w:eastAsia="Adobe 黑体 Std R" w:cs="Segoe UI Symbol"/>
                <w:color w:val="000000"/>
                <w:sz w:val="16"/>
                <w:szCs w:val="16"/>
              </w:rPr>
              <w:t>★</w:t>
            </w:r>
          </w:p>
        </w:tc>
        <w:tc>
          <w:tcPr>
            <w:tcW w:w="4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dobe 黑体 Std R" w:cs="Times New Roman"/>
                <w:color w:val="000000"/>
                <w:sz w:val="16"/>
                <w:szCs w:val="16"/>
              </w:rPr>
              <w:t>7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>
      <w:pPr>
        <w:rPr>
          <w:rStyle w:val="8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8"/>
          <w:rFonts w:ascii="Times New Roman" w:hAnsi="Times New Roman" w:cs="Times New Roman"/>
          <w:b/>
          <w:bCs/>
          <w:sz w:val="24"/>
          <w:szCs w:val="24"/>
        </w:rPr>
        <w:t xml:space="preserve">Supplementary table 3 </w:t>
      </w:r>
    </w:p>
    <w:p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Results of sensitive analysis for variables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4"/>
        <w:tblpPr w:leftFromText="180" w:rightFromText="180" w:vertAnchor="text" w:horzAnchor="page" w:tblpX="1545" w:tblpY="346"/>
        <w:tblOverlap w:val="never"/>
        <w:tblW w:w="44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2038"/>
        <w:gridCol w:w="1520"/>
        <w:gridCol w:w="558"/>
        <w:gridCol w:w="2216"/>
        <w:gridCol w:w="2208"/>
        <w:gridCol w:w="1535"/>
        <w:gridCol w:w="4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Variables</w:t>
            </w:r>
          </w:p>
        </w:tc>
        <w:tc>
          <w:tcPr>
            <w:tcW w:w="79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OR or MD and corresponding 95%CI (original)</w:t>
            </w:r>
          </w:p>
        </w:tc>
        <w:tc>
          <w:tcPr>
            <w:tcW w:w="59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P for heterogeneity</w:t>
            </w:r>
          </w:p>
        </w:tc>
        <w:tc>
          <w:tcPr>
            <w:tcW w:w="2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sz w:val="22"/>
              </w:rPr>
              <w:t>I</w:t>
            </w:r>
            <w:r>
              <w:rPr>
                <w:rFonts w:ascii="Times New Roman" w:hAnsi="Times New Roman" w:eastAsia="等线" w:cs="Times New Roman"/>
                <w:b/>
                <w:bCs/>
                <w:sz w:val="22"/>
                <w:vertAlign w:val="superscript"/>
              </w:rPr>
              <w:t>2</w:t>
            </w:r>
          </w:p>
        </w:tc>
        <w:tc>
          <w:tcPr>
            <w:tcW w:w="86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The outlier study excluded</w:t>
            </w:r>
          </w:p>
        </w:tc>
        <w:tc>
          <w:tcPr>
            <w:tcW w:w="86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OR or MD and corresponding 95%CI (afterwards)</w:t>
            </w:r>
          </w:p>
        </w:tc>
        <w:tc>
          <w:tcPr>
            <w:tcW w:w="60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P for heterogeneity</w:t>
            </w:r>
          </w:p>
        </w:tc>
        <w:tc>
          <w:tcPr>
            <w:tcW w:w="18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sz w:val="22"/>
              </w:rPr>
              <w:t>I</w:t>
            </w:r>
            <w:r>
              <w:rPr>
                <w:rFonts w:ascii="Times New Roman" w:hAnsi="Times New Roman" w:eastAsia="等线" w:cs="Times New Roman"/>
                <w:b/>
                <w:bCs/>
                <w:sz w:val="22"/>
                <w:vertAlign w:val="superscript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</w:tc>
        <w:tc>
          <w:tcPr>
            <w:tcW w:w="7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5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2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8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8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60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8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</w:p>
        </w:tc>
        <w:tc>
          <w:tcPr>
            <w:tcW w:w="79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59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2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86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86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60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  <w:tc>
          <w:tcPr>
            <w:tcW w:w="18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Advanced age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3.81 (1.80, 5.83)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&lt; 0.00001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86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 xml:space="preserve">Chen et al. (2017)  </w:t>
            </w:r>
            <w:r>
              <w:rPr>
                <w:rFonts w:eastAsia="等线"/>
                <w:sz w:val="22"/>
              </w:rPr>
              <w:t xml:space="preserve">    </w:t>
            </w:r>
            <w:r>
              <w:rPr>
                <w:rFonts w:ascii="Times New Roman" w:hAnsi="Times New Roman" w:eastAsia="等线" w:cs="Times New Roman"/>
                <w:sz w:val="22"/>
              </w:rPr>
              <w:t>Priner et al. (2008)</w:t>
            </w:r>
          </w:p>
        </w:tc>
        <w:tc>
          <w:tcPr>
            <w:tcW w:w="8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2.62 (1.39, 3.85)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0.09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Preoperative levels of hemoglobin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-0.56 (-0.89, -0.22)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52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Kijima et al. (2020)</w:t>
            </w:r>
          </w:p>
        </w:tc>
        <w:tc>
          <w:tcPr>
            <w:tcW w:w="8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-0.53 (-0.72, -0.34)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0.3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Estimated blood loss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8.01 (-71.43, 87.46)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0.008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75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Kijima et al. (2020)</w:t>
            </w:r>
          </w:p>
        </w:tc>
        <w:tc>
          <w:tcPr>
            <w:tcW w:w="8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43.76 (11.30, 76.23)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0.81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Operation time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0.68 (-7.30, 8.66)</w:t>
            </w:r>
          </w:p>
        </w:tc>
        <w:tc>
          <w:tcPr>
            <w:tcW w:w="59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0.1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57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Peng et al. (2019)</w:t>
            </w:r>
          </w:p>
        </w:tc>
        <w:tc>
          <w:tcPr>
            <w:tcW w:w="8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-2.16 (-6.82, 2.50)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0.5</w:t>
            </w:r>
          </w:p>
        </w:tc>
        <w:tc>
          <w:tcPr>
            <w:tcW w:w="1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 w:val="22"/>
              </w:rPr>
              <w:t>Alcohol abuse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2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2"/>
              </w:rPr>
              <w:t>1.29 (0.42, 3.91)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0.0006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83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Cerejeira et al. (2012)</w:t>
            </w:r>
          </w:p>
        </w:tc>
        <w:tc>
          <w:tcPr>
            <w:tcW w:w="8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2.09 (1.23, 3.55)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0.37</w:t>
            </w:r>
          </w:p>
        </w:tc>
        <w:tc>
          <w:tcPr>
            <w:tcW w:w="180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eastAsia="等线" w:cs="Times New Roman"/>
                <w:sz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Times New Roman" w:hAnsi="Times New Roman" w:eastAsia="等线" w:cs="Times New Roman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mean difference effect estimate,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odd ratio,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confidence intervals,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inconsistency value,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P-Value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probability value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p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>
      <w:pPr>
        <w:rPr>
          <w:rStyle w:val="8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8"/>
          <w:rFonts w:ascii="Times New Roman" w:hAnsi="Times New Roman" w:cs="Times New Roman"/>
          <w:b/>
          <w:bCs/>
          <w:sz w:val="24"/>
          <w:szCs w:val="24"/>
        </w:rPr>
        <w:t xml:space="preserve">Supplementary table 4 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Reported predictors for postoperative delirium in patients undergoing </w:t>
      </w:r>
      <w:r>
        <w:rPr>
          <w:rFonts w:hint="eastAsia" w:ascii="Times New Roman" w:hAnsi="Times New Roman" w:cs="Times New Roman"/>
          <w:sz w:val="24"/>
          <w:szCs w:val="24"/>
        </w:rPr>
        <w:t>total</w:t>
      </w:r>
      <w:r>
        <w:rPr>
          <w:rFonts w:ascii="Times New Roman" w:hAnsi="Times New Roman" w:cs="Times New Roman"/>
          <w:sz w:val="24"/>
          <w:szCs w:val="24"/>
        </w:rPr>
        <w:t xml:space="preserve"> joint arthroplasty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4"/>
        <w:tblW w:w="474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5"/>
        <w:gridCol w:w="10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Study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Predictors for postoperative delirium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Fisher et al. (1995)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bookmarkStart w:id="1" w:name="OLE_LINK63"/>
            <w:bookmarkStart w:id="2" w:name="OLE_LINK64"/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Clock Score≤6 </w:t>
            </w:r>
            <w:bookmarkEnd w:id="1"/>
            <w:bookmarkEnd w:id="2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bookmarkStart w:id="3" w:name="_Hlk50823343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Freter et al. (2005)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Cognitive impairment, substance use </w:t>
            </w:r>
          </w:p>
        </w:tc>
      </w:tr>
      <w:bookmarkEnd w:id="3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bookmarkStart w:id="4" w:name="_Hlk50823365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Lowery et al. (2007)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Slower simple reaction time (SRT), digit vigilance (DV) reaction time, choice reaction time (CRT) </w:t>
            </w:r>
          </w:p>
        </w:tc>
      </w:tr>
      <w:bookmarkEnd w:id="4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Priner et al. (2008)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bookmarkStart w:id="5" w:name="_Hlk50823378"/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The short form of the Informant Questionnaire on Cognitive Decline in the Elderly (short IQCODE) score&gt;50 </w:t>
            </w:r>
            <w:bookmarkEnd w:id="5"/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Jankowski et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al. (2011)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bookmarkStart w:id="6" w:name="OLE_LINK65"/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Activities of daily living (ADL) scores, instrumental activities of daily living (IADL) scores, auditory verbal learning test (AVLT) scores, stroop color-word test scores, controlled word association test (COWAT) scores</w:t>
            </w:r>
            <w:bookmarkEnd w:id="6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Cerejeira et al. (2012)</w:t>
            </w:r>
          </w:p>
        </w:tc>
        <w:tc>
          <w:tcPr>
            <w:tcW w:w="403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Unbalanced inflammatory response, dysfunctional interaction between the cholinergic and immune systems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Flink et al. (2012)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 xml:space="preserve">Preexisting obstructive sleep apnea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bookmarkStart w:id="7" w:name="_Hlk50823405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Chung et al. (2015)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Postoperative day 3 BUN≥14.9 (mg/dl)</w:t>
            </w:r>
          </w:p>
        </w:tc>
      </w:tr>
      <w:bookmarkEnd w:id="7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Wang et al. (2017)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Hemiplegia, ambulation timing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bookmarkStart w:id="8" w:name="_Hlk50823430"/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Huang et al. (2017)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Race, parkinson</w:t>
            </w:r>
          </w:p>
        </w:tc>
      </w:tr>
      <w:bookmarkEnd w:id="8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Chen et al. (2017)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Equivalent fentanyl dose, preoperative oxygen partial pressure, preoperative serum total protein level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sz w:val="24"/>
                <w:szCs w:val="24"/>
              </w:rPr>
              <w:t>Peng et al. (2019)</w:t>
            </w:r>
          </w:p>
        </w:tc>
        <w:tc>
          <w:tcPr>
            <w:tcW w:w="40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4"/>
                <w:szCs w:val="24"/>
              </w:rPr>
              <w:t>Preoperative C-reactive protein/albumin ratio (CAR) level</w:t>
            </w:r>
          </w:p>
        </w:tc>
      </w:tr>
    </w:tbl>
    <w:p>
      <w:pPr>
        <w:rPr>
          <w:rFonts w:hint="eastAsia" w:ascii="Times New Roman" w:hAnsi="Times New Roman" w:cs="Times New Roman"/>
          <w:sz w:val="20"/>
          <w:szCs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dcppwAdvTT7329fd89.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JxgchqAdvTTe45e47d2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1MjEwNzYyMjUztjRX0lEKTi0uzszPAykwNK4FAIznci4tAAAA"/>
  </w:docVars>
  <w:rsids>
    <w:rsidRoot w:val="008B79DE"/>
    <w:rsid w:val="000446B0"/>
    <w:rsid w:val="00087952"/>
    <w:rsid w:val="00227303"/>
    <w:rsid w:val="002F7844"/>
    <w:rsid w:val="003D6917"/>
    <w:rsid w:val="00593076"/>
    <w:rsid w:val="0059483C"/>
    <w:rsid w:val="00607F97"/>
    <w:rsid w:val="00615617"/>
    <w:rsid w:val="006435DF"/>
    <w:rsid w:val="006A4F75"/>
    <w:rsid w:val="0073126D"/>
    <w:rsid w:val="00760410"/>
    <w:rsid w:val="007729BF"/>
    <w:rsid w:val="007905CB"/>
    <w:rsid w:val="007E24F5"/>
    <w:rsid w:val="00835470"/>
    <w:rsid w:val="008450E6"/>
    <w:rsid w:val="008708CC"/>
    <w:rsid w:val="00877A40"/>
    <w:rsid w:val="00881709"/>
    <w:rsid w:val="008A3C70"/>
    <w:rsid w:val="008A5F8A"/>
    <w:rsid w:val="008B1835"/>
    <w:rsid w:val="008B79DE"/>
    <w:rsid w:val="00935A8D"/>
    <w:rsid w:val="0094443A"/>
    <w:rsid w:val="0099589E"/>
    <w:rsid w:val="00A34AE5"/>
    <w:rsid w:val="00A55A35"/>
    <w:rsid w:val="00AC70CA"/>
    <w:rsid w:val="00B54B3A"/>
    <w:rsid w:val="00C16D01"/>
    <w:rsid w:val="00C701D0"/>
    <w:rsid w:val="00D152FB"/>
    <w:rsid w:val="00D90AA8"/>
    <w:rsid w:val="00DE37DA"/>
    <w:rsid w:val="00DE3FCE"/>
    <w:rsid w:val="00F4429C"/>
    <w:rsid w:val="00F5093E"/>
    <w:rsid w:val="00FE245C"/>
    <w:rsid w:val="09A11821"/>
    <w:rsid w:val="19BA1CE4"/>
    <w:rsid w:val="535D57F0"/>
    <w:rsid w:val="626D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style01"/>
    <w:basedOn w:val="5"/>
    <w:qFormat/>
    <w:uiPriority w:val="0"/>
    <w:rPr>
      <w:rFonts w:hint="default" w:ascii="PdcppwAdvTT7329fd89.I" w:hAnsi="PdcppwAdvTT7329fd89.I"/>
      <w:color w:val="000000"/>
      <w:sz w:val="14"/>
      <w:szCs w:val="14"/>
    </w:rPr>
  </w:style>
  <w:style w:type="character" w:customStyle="1" w:styleId="9">
    <w:name w:val="fontstyle21"/>
    <w:basedOn w:val="5"/>
    <w:qFormat/>
    <w:uiPriority w:val="0"/>
    <w:rPr>
      <w:rFonts w:hint="default" w:ascii="JxgchqAdvTTe45e47d2" w:hAnsi="JxgchqAdvTTe45e47d2"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580</Words>
  <Characters>3311</Characters>
  <Lines>27</Lines>
  <Paragraphs>7</Paragraphs>
  <TotalTime>4</TotalTime>
  <ScaleCrop>false</ScaleCrop>
  <LinksUpToDate>false</LinksUpToDate>
  <CharactersWithSpaces>3884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2020-05-21T08:41:00Z</dcterms:created>
  <dc:creator>XF ZHOU</dc:creator>
  <cp:lastModifiedBy>胖Mamba</cp:lastModifiedBy>
  <dcterms:modified xsi:type="dcterms:W3CDTF">2020-12-10T12:57:55Z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