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B84" w:rsidRDefault="00AA2B84" w:rsidP="00AA2B84">
      <w:pPr>
        <w:pStyle w:val="Heading-Main"/>
        <w:spacing w:line="480" w:lineRule="auto"/>
      </w:pPr>
      <w:r>
        <w:t>Appendix A. Supplementary data</w:t>
      </w:r>
    </w:p>
    <w:p w:rsidR="00AA2B84" w:rsidRDefault="00AA2B84" w:rsidP="00AA2B84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Supplementary data (i.e., probability of seismic risk on two adjacent dam sites) to this article can be found online at </w:t>
      </w:r>
      <w:hyperlink r:id="rId5" w:history="1">
        <w:r>
          <w:rPr>
            <w:rStyle w:val="Hyperlink"/>
            <w:rFonts w:cs="Times New Roman"/>
            <w:sz w:val="24"/>
            <w:szCs w:val="24"/>
          </w:rPr>
          <w:t>https://dx.doi.org/10.3969/j.issn.0253-3782.2010.03.006</w:t>
        </w:r>
      </w:hyperlink>
      <w:r>
        <w:rPr>
          <w:rFonts w:cs="Times New Roman"/>
          <w:sz w:val="24"/>
          <w:szCs w:val="24"/>
        </w:rPr>
        <w:t>.</w:t>
      </w:r>
    </w:p>
    <w:p w:rsidR="00AA2B84" w:rsidRDefault="00AA2B84" w:rsidP="00AA2B84">
      <w:pPr>
        <w:pStyle w:val="Heading-Main"/>
        <w:spacing w:line="480" w:lineRule="auto"/>
      </w:pPr>
      <w:r>
        <w:t>Appendix B. Dam failure patterns Assessment</w:t>
      </w:r>
    </w:p>
    <w:p w:rsidR="00AA2B84" w:rsidRDefault="00AA2B84" w:rsidP="00AA2B84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result in Table 7 was simply obtained via comparing the potential dam-break flood volume</w:t>
      </w:r>
      <w:r>
        <w:rPr>
          <w:rFonts w:eastAsia="Times New Roman" w:cs="Times New Roman"/>
          <w:position w:val="-12"/>
          <w:sz w:val="24"/>
          <w:szCs w:val="24"/>
          <w:lang w:eastAsia="en-US"/>
        </w:rPr>
        <w:object w:dxaOrig="87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.8pt;height:17.85pt" o:ole="">
            <v:imagedata r:id="rId6" o:title=""/>
          </v:shape>
          <o:OLEObject Type="Embed" ProgID="Equation.DSMT4" ShapeID="_x0000_i1025" DrawAspect="Content" ObjectID="_1723031775" r:id="rId7"/>
        </w:object>
      </w:r>
      <w:r>
        <w:rPr>
          <w:rFonts w:cs="Times New Roman"/>
          <w:sz w:val="24"/>
          <w:szCs w:val="24"/>
        </w:rPr>
        <w:t xml:space="preserve">, available detention zone </w:t>
      </w:r>
      <w:r>
        <w:rPr>
          <w:rFonts w:eastAsia="Times New Roman" w:cs="Times New Roman"/>
          <w:position w:val="-12"/>
          <w:sz w:val="24"/>
          <w:szCs w:val="24"/>
          <w:lang w:eastAsia="en-US"/>
        </w:rPr>
        <w:object w:dxaOrig="645" w:dyaOrig="360">
          <v:shape id="_x0000_i1026" type="#_x0000_t75" style="width:32.25pt;height:17.85pt" o:ole="">
            <v:imagedata r:id="rId8" o:title=""/>
          </v:shape>
          <o:OLEObject Type="Embed" ProgID="Equation.DSMT4" ShapeID="_x0000_i1026" DrawAspect="Content" ObjectID="_1723031776" r:id="rId9"/>
        </w:object>
      </w:r>
      <w:r>
        <w:rPr>
          <w:rFonts w:eastAsia="Times New Roman" w:cs="Times New Roman"/>
          <w:sz w:val="24"/>
          <w:szCs w:val="24"/>
          <w:lang w:eastAsia="en-US"/>
        </w:rPr>
        <w:t xml:space="preserve">, </w:t>
      </w:r>
      <w:r>
        <w:rPr>
          <w:rFonts w:cs="Times New Roman"/>
          <w:sz w:val="24"/>
          <w:szCs w:val="24"/>
        </w:rPr>
        <w:t>and total reservoir capacity</w:t>
      </w:r>
      <w:r>
        <w:rPr>
          <w:sz w:val="24"/>
          <w:szCs w:val="24"/>
        </w:rPr>
        <w:t xml:space="preserve"> </w:t>
      </w:r>
      <w:r>
        <w:rPr>
          <w:position w:val="-12"/>
          <w:sz w:val="24"/>
          <w:szCs w:val="24"/>
        </w:rPr>
        <w:object w:dxaOrig="420" w:dyaOrig="360">
          <v:shape id="_x0000_i1027" type="#_x0000_t75" style="width:20.75pt;height:17.85pt" o:ole="">
            <v:imagedata r:id="rId10" o:title=""/>
          </v:shape>
          <o:OLEObject Type="Embed" ProgID="Equation.DSMT4" ShapeID="_x0000_i1027" DrawAspect="Content" ObjectID="_1723031777" r:id="rId11"/>
        </w:object>
      </w:r>
      <w:r>
        <w:rPr>
          <w:rFonts w:cs="Times New Roman"/>
          <w:sz w:val="24"/>
          <w:szCs w:val="24"/>
        </w:rPr>
        <w:t>, with details as follows:</w:t>
      </w:r>
    </w:p>
    <w:p w:rsidR="00AA2B84" w:rsidRDefault="00AA2B84" w:rsidP="00AA2B84">
      <w:pPr>
        <w:pStyle w:val="ListParagraph"/>
        <w:numPr>
          <w:ilvl w:val="0"/>
          <w:numId w:val="1"/>
        </w:numPr>
        <w:spacing w:line="480" w:lineRule="auto"/>
        <w:ind w:firstLineChars="0"/>
        <w:rPr>
          <w:rFonts w:cs="Times New Roman"/>
          <w:sz w:val="24"/>
          <w:szCs w:val="24"/>
        </w:rPr>
      </w:pPr>
      <w:r>
        <w:rPr>
          <w:position w:val="-12"/>
          <w:sz w:val="24"/>
          <w:szCs w:val="24"/>
        </w:rPr>
        <w:object w:dxaOrig="1680" w:dyaOrig="360">
          <v:shape id="_x0000_i1028" type="#_x0000_t75" style="width:84.1pt;height:17.85pt" o:ole="">
            <v:imagedata r:id="rId12" o:title=""/>
          </v:shape>
          <o:OLEObject Type="Embed" ProgID="Equation.DSMT4" ShapeID="_x0000_i1028" DrawAspect="Content" ObjectID="_1723031778" r:id="rId13"/>
        </w:object>
      </w:r>
      <w:r>
        <w:rPr>
          <w:rFonts w:cs="Times New Roman"/>
          <w:sz w:val="24"/>
          <w:szCs w:val="24"/>
        </w:rPr>
        <w:t>, indicates that the unexpected flood can be captured in a detention zone, equivalent to “risk termination”,</w:t>
      </w:r>
      <w:r>
        <w:rPr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which is the most desirable situation; </w:t>
      </w:r>
    </w:p>
    <w:p w:rsidR="00AA2B84" w:rsidRDefault="00AA2B84" w:rsidP="00AA2B84">
      <w:pPr>
        <w:pStyle w:val="ListParagraph"/>
        <w:numPr>
          <w:ilvl w:val="0"/>
          <w:numId w:val="1"/>
        </w:numPr>
        <w:spacing w:line="480" w:lineRule="auto"/>
        <w:ind w:firstLineChars="0"/>
        <w:rPr>
          <w:rFonts w:cs="Times New Roman"/>
          <w:sz w:val="24"/>
          <w:szCs w:val="24"/>
        </w:rPr>
      </w:pPr>
      <w:r>
        <w:rPr>
          <w:position w:val="-12"/>
          <w:sz w:val="24"/>
          <w:szCs w:val="24"/>
        </w:rPr>
        <w:object w:dxaOrig="2460" w:dyaOrig="360">
          <v:shape id="_x0000_i1029" type="#_x0000_t75" style="width:123.25pt;height:17.85pt" o:ole="">
            <v:imagedata r:id="rId14" o:title=""/>
          </v:shape>
          <o:OLEObject Type="Embed" ProgID="Equation.DSMT4" ShapeID="_x0000_i1029" DrawAspect="Content" ObjectID="_1723031779" r:id="rId15"/>
        </w:object>
      </w:r>
      <w:r>
        <w:rPr>
          <w:rFonts w:cs="Times New Roman"/>
          <w:sz w:val="24"/>
          <w:szCs w:val="24"/>
        </w:rPr>
        <w:t xml:space="preserve">, illustrates that the reservoir could prevent mechanical breakup but significantly influence the downstream flood levee system; </w:t>
      </w:r>
    </w:p>
    <w:p w:rsidR="00AA2B84" w:rsidRDefault="00AA2B84" w:rsidP="00AA2B84">
      <w:pPr>
        <w:pStyle w:val="ListParagraph"/>
        <w:numPr>
          <w:ilvl w:val="0"/>
          <w:numId w:val="1"/>
        </w:numPr>
        <w:spacing w:line="480" w:lineRule="auto"/>
        <w:ind w:firstLineChars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otherwise, the reservoir operation hardly relieves tension that would result in secondary overtopping events. </w:t>
      </w:r>
    </w:p>
    <w:p w:rsidR="00AA2B84" w:rsidRDefault="00AA2B84" w:rsidP="00AA2B84">
      <w:pPr>
        <w:spacing w:line="480" w:lineRule="auto"/>
        <w:rPr>
          <w:rFonts w:cs="Times New Roman"/>
          <w:szCs w:val="21"/>
        </w:rPr>
      </w:pPr>
      <w:r>
        <w:rPr>
          <w:rFonts w:cs="Times New Roman"/>
          <w:sz w:val="24"/>
          <w:szCs w:val="24"/>
        </w:rPr>
        <w:t xml:space="preserve">Notably, we defined the critical boundary for “risk transmission” as </w:t>
      </w:r>
      <w:r>
        <w:rPr>
          <w:position w:val="-12"/>
          <w:sz w:val="24"/>
          <w:szCs w:val="24"/>
        </w:rPr>
        <w:object w:dxaOrig="585" w:dyaOrig="360">
          <v:shape id="_x0000_i1030" type="#_x0000_t75" style="width:29.4pt;height:17.85pt" o:ole="">
            <v:imagedata r:id="rId16" o:title=""/>
          </v:shape>
          <o:OLEObject Type="Embed" ProgID="Equation.DSMT4" ShapeID="_x0000_i1030" DrawAspect="Content" ObjectID="_1723031780" r:id="rId17"/>
        </w:object>
      </w:r>
      <w:r>
        <w:rPr>
          <w:rFonts w:cs="Times New Roman"/>
          <w:sz w:val="24"/>
          <w:szCs w:val="24"/>
        </w:rPr>
        <w:t>, which is a good compromise between simplicity and accuracy, assuming that the reservoir could maximally prepare detention capacity by executing the pre-releasing order before the breaching flood entered the interface.</w:t>
      </w:r>
      <w:r>
        <w:rPr>
          <w:rFonts w:cs="Times New Roman"/>
          <w:szCs w:val="21"/>
        </w:rPr>
        <w:t xml:space="preserve"> 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D6490B"/>
    <w:multiLevelType w:val="hybridMultilevel"/>
    <w:tmpl w:val="AAB45AE6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>
      <w:start w:val="1"/>
      <w:numFmt w:val="lowerLetter"/>
      <w:lvlText w:val="%2)"/>
      <w:lvlJc w:val="left"/>
      <w:pPr>
        <w:ind w:left="840" w:hanging="420"/>
      </w:pPr>
    </w:lvl>
    <w:lvl w:ilvl="2" w:tplc="FFFFFFFF">
      <w:start w:val="1"/>
      <w:numFmt w:val="lowerRoman"/>
      <w:lvlText w:val="%3."/>
      <w:lvlJc w:val="right"/>
      <w:pPr>
        <w:ind w:left="1260" w:hanging="420"/>
      </w:pPr>
    </w:lvl>
    <w:lvl w:ilvl="3" w:tplc="FFFFFFFF">
      <w:start w:val="1"/>
      <w:numFmt w:val="decimal"/>
      <w:lvlText w:val="%4."/>
      <w:lvlJc w:val="left"/>
      <w:pPr>
        <w:ind w:left="1680" w:hanging="420"/>
      </w:pPr>
    </w:lvl>
    <w:lvl w:ilvl="4" w:tplc="FFFFFFFF">
      <w:start w:val="1"/>
      <w:numFmt w:val="lowerLetter"/>
      <w:lvlText w:val="%5)"/>
      <w:lvlJc w:val="left"/>
      <w:pPr>
        <w:ind w:left="2100" w:hanging="420"/>
      </w:pPr>
    </w:lvl>
    <w:lvl w:ilvl="5" w:tplc="FFFFFFFF">
      <w:start w:val="1"/>
      <w:numFmt w:val="lowerRoman"/>
      <w:lvlText w:val="%6."/>
      <w:lvlJc w:val="right"/>
      <w:pPr>
        <w:ind w:left="2520" w:hanging="420"/>
      </w:pPr>
    </w:lvl>
    <w:lvl w:ilvl="6" w:tplc="FFFFFFFF">
      <w:start w:val="1"/>
      <w:numFmt w:val="decimal"/>
      <w:lvlText w:val="%7."/>
      <w:lvlJc w:val="left"/>
      <w:pPr>
        <w:ind w:left="2940" w:hanging="420"/>
      </w:pPr>
    </w:lvl>
    <w:lvl w:ilvl="7" w:tplc="FFFFFFFF">
      <w:start w:val="1"/>
      <w:numFmt w:val="lowerLetter"/>
      <w:lvlText w:val="%8)"/>
      <w:lvlJc w:val="left"/>
      <w:pPr>
        <w:ind w:left="3360" w:hanging="420"/>
      </w:pPr>
    </w:lvl>
    <w:lvl w:ilvl="8" w:tplc="FFFFFFFF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B84"/>
    <w:rsid w:val="00AA2B8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94EA2F-ED68-407C-AF7A-CA380DEAE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B84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unhideWhenUsed/>
    <w:rsid w:val="00AA2B8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A2B84"/>
    <w:pPr>
      <w:ind w:firstLineChars="200" w:firstLine="420"/>
    </w:pPr>
  </w:style>
  <w:style w:type="paragraph" w:customStyle="1" w:styleId="Heading-Main">
    <w:name w:val="Heading-Main"/>
    <w:basedOn w:val="Normal"/>
    <w:rsid w:val="00AA2B84"/>
    <w:pPr>
      <w:keepNext/>
      <w:widowControl/>
      <w:spacing w:before="240" w:after="120"/>
      <w:jc w:val="left"/>
      <w:outlineLvl w:val="0"/>
    </w:pPr>
    <w:rPr>
      <w:rFonts w:eastAsia="Times New Roman" w:cs="Times New Roman"/>
      <w:b/>
      <w:bCs/>
      <w:kern w:val="28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17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hyperlink" Target="https://dx.doi.org/10.3969/j.issn.0253-3782.2010.03.006" TargetMode="Externa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2022-08-26T09:39:00Z</dcterms:created>
  <dcterms:modified xsi:type="dcterms:W3CDTF">2022-08-26T09:40:00Z</dcterms:modified>
</cp:coreProperties>
</file>