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289B92" w14:textId="77777777" w:rsidR="00892664" w:rsidRDefault="00892664" w:rsidP="00892664">
      <w:pPr>
        <w:pStyle w:val="Heading1"/>
        <w:spacing w:line="480" w:lineRule="auto"/>
        <w:rPr>
          <w:b/>
          <w:bCs/>
          <w:color w:val="000000" w:themeColor="text1"/>
          <w:sz w:val="24"/>
          <w:szCs w:val="24"/>
        </w:rPr>
      </w:pPr>
      <w:r w:rsidRPr="00905953">
        <w:rPr>
          <w:b/>
          <w:bCs/>
          <w:color w:val="000000" w:themeColor="text1"/>
          <w:sz w:val="24"/>
          <w:szCs w:val="24"/>
        </w:rPr>
        <w:t xml:space="preserve">SUPPLEMENTARY MATERIALS </w:t>
      </w:r>
      <w:r>
        <w:rPr>
          <w:b/>
          <w:bCs/>
          <w:color w:val="000000" w:themeColor="text1"/>
          <w:sz w:val="24"/>
          <w:szCs w:val="24"/>
        </w:rPr>
        <w:t>– SUPPLEMENTARY METHOD</w:t>
      </w:r>
    </w:p>
    <w:p w14:paraId="42E4F9EB" w14:textId="77777777" w:rsidR="00892664" w:rsidRDefault="00892664" w:rsidP="00892664">
      <w:pPr>
        <w:pStyle w:val="Heading2"/>
        <w:spacing w:line="480" w:lineRule="auto"/>
        <w:rPr>
          <w:b/>
          <w:bCs/>
          <w:color w:val="000000" w:themeColor="text1"/>
          <w:sz w:val="22"/>
          <w:szCs w:val="22"/>
        </w:rPr>
      </w:pPr>
      <w:r w:rsidRPr="7F99AAA4">
        <w:rPr>
          <w:b/>
          <w:bCs/>
          <w:color w:val="000000" w:themeColor="text1"/>
          <w:sz w:val="22"/>
          <w:szCs w:val="22"/>
        </w:rPr>
        <w:t>Replicat</w:t>
      </w:r>
      <w:r>
        <w:rPr>
          <w:b/>
          <w:bCs/>
          <w:color w:val="000000" w:themeColor="text1"/>
          <w:sz w:val="22"/>
          <w:szCs w:val="22"/>
        </w:rPr>
        <w:t xml:space="preserve">ion Sample: Finnish Samples  </w:t>
      </w:r>
    </w:p>
    <w:p w14:paraId="655489F4" w14:textId="77777777" w:rsidR="00892664" w:rsidRDefault="00892664" w:rsidP="00892664">
      <w:pPr>
        <w:spacing w:line="480" w:lineRule="auto"/>
      </w:pPr>
      <w:r>
        <w:t xml:space="preserve">To replicate any significant interactions, we chose five Finnish sub-samples with </w:t>
      </w:r>
      <w:proofErr w:type="gramStart"/>
      <w:r>
        <w:t>genetic</w:t>
      </w:r>
      <w:proofErr w:type="gramEnd"/>
      <w:r>
        <w:t xml:space="preserve"> and cigarette use data available as a replication sample. These five sub-samples include: </w:t>
      </w:r>
      <w:proofErr w:type="spellStart"/>
      <w:r>
        <w:t>FinHealth</w:t>
      </w:r>
      <w:proofErr w:type="spellEnd"/>
      <w:r>
        <w:t xml:space="preserve"> 2017 study (</w:t>
      </w:r>
      <w:proofErr w:type="spellStart"/>
      <w:r>
        <w:t>FinHealth</w:t>
      </w:r>
      <w:proofErr w:type="spellEnd"/>
      <w:r>
        <w:t xml:space="preserve">) </w:t>
      </w:r>
      <w:r>
        <w:fldChar w:fldCharType="begin" w:fldLock="1"/>
      </w:r>
      <w:r>
        <w:instrText>ADDIN CSL_CITATION {"citationItems":[{"id":"ITEM-1","itemData":{"URL":"https://thl.fi/en/web/thlfi-en/research-and-development/research-and-projects/national-finhealth-study","accessed":{"date-parts":[["2022","3","16"]]},"id":"ITEM-1","issued":{"date-parts":[["0"]]},"title":"National FinHealth Study - THL","type":"webpage"},"uris":["http://www.mendeley.com/documents/?uuid=6ce14de7-ee18-3f0f-88f1-2f024ac2738d"]}],"mendeley":{"formattedCitation":"[37]","plainTextFormattedCitation":"[37]","previouslyFormattedCitation":"[37]"},"properties":{"noteIndex":0},"schema":"https://github.com/citation-style-language/schema/raw/master/csl-citation.json"}</w:instrText>
      </w:r>
      <w:r>
        <w:fldChar w:fldCharType="separate"/>
      </w:r>
      <w:r w:rsidRPr="00B97C3E">
        <w:rPr>
          <w:noProof/>
        </w:rPr>
        <w:t>[37]</w:t>
      </w:r>
      <w:r>
        <w:fldChar w:fldCharType="end"/>
      </w:r>
      <w:r>
        <w:t xml:space="preserve">, FINRISK </w:t>
      </w:r>
      <w:r>
        <w:fldChar w:fldCharType="begin" w:fldLock="1"/>
      </w:r>
      <w:r>
        <w:instrText>ADDIN CSL_CITATION {"citationItems":[{"id":"ITEM-1","itemData":{"URL":"https://thl.fi/en/web/thlfi-en/research-and-development/research-and-projects/the-national-finrisk-study","accessed":{"date-parts":[["2022","3","16"]]},"id":"ITEM-1","issued":{"date-parts":[["0"]]},"title":"The National FINRISK Study - THL","type":"webpage"},"uris":["http://www.mendeley.com/documents/?uuid=d4f8ae59-b654-3835-b85c-98095a9d125c"]}],"mendeley":{"formattedCitation":"[38]","plainTextFormattedCitation":"[38]","previouslyFormattedCitation":"[38]"},"properties":{"noteIndex":0},"schema":"https://github.com/citation-style-language/schema/raw/master/csl-citation.json"}</w:instrText>
      </w:r>
      <w:r>
        <w:fldChar w:fldCharType="separate"/>
      </w:r>
      <w:r w:rsidRPr="00B97C3E">
        <w:rPr>
          <w:noProof/>
        </w:rPr>
        <w:t>[38]</w:t>
      </w:r>
      <w:r>
        <w:fldChar w:fldCharType="end"/>
      </w:r>
      <w:r>
        <w:t xml:space="preserve">, Finnish Twin Cohort (FTC) </w:t>
      </w:r>
      <w:r>
        <w:fldChar w:fldCharType="begin" w:fldLock="1"/>
      </w:r>
      <w:r>
        <w:instrText>ADDIN CSL_CITATION {"citationItems":[{"id":"ITEM-1","itemData":{"DOI":"10.1017/THG.2019.106","ISSN":"1832-4274","PMID":"31796134","abstract":"The purpose of this review is to provide a detailed and updated description of the FinnTwin16 (FT16) study and its future directions. The Finnish Twin Cohort comprises three different cohorts: the Older Twin Cohort established in the 1970s and the FinnTwin12 and FT16 initiated in the 1990s. FT16 was initiated in 1991 to identify the genetic and environmental precursors of alcoholism, but later the scope of the project expanded to studying the determinants of various health-related behaviors and diseases in different stages of life. The main areas addressed are alcohol use and its consequences, smoking, physical activity, overall physical health, eating behaviors and eating disorders, weight development, obesity, life satisfaction and personality. To date, five waves of data collection have been completed and the sixth is now planned. Data from the FT16 cohort have contributed to several hundred studies and many substudies, with more detailed phenotyping and collection of omics data completed or underway. FT16 has also contributed to many national and international collaborations.","author":[{"dropping-particle":"","family":"Kaidesoja","given":"Milla","non-dropping-particle":"","parse-names":false,"suffix":""},{"dropping-particle":"","family":"Aaltonen","given":"Sari","non-dropping-particle":"","parse-names":false,"suffix":""},{"dropping-particle":"","family":"Bogl","given":"Leonie H.","non-dropping-particle":"","parse-names":false,"suffix":""},{"dropping-particle":"","family":"Heikkilä","given":"Kauko","non-dropping-particle":"","parse-names":false,"suffix":""},{"dropping-particle":"","family":"Kaartinen","given":"Sara","non-dropping-particle":"","parse-names":false,"suffix":""},{"dropping-particle":"","family":"Kujala","given":"Urho M.","non-dropping-particle":"","parse-names":false,"suffix":""},{"dropping-particle":"","family":"Kärkkäinen","given":"Ulla","non-dropping-particle":"","parse-names":false,"suffix":""},{"dropping-particle":"","family":"Masip","given":"Guiomar","non-dropping-particle":"","parse-names":false,"suffix":""},{"dropping-particle":"","family":"Mustelin","given":"Linda","non-dropping-particle":"","parse-names":false,"suffix":""},{"dropping-particle":"","family":"Palviainen","given":"Teemu","non-dropping-particle":"","parse-names":false,"suffix":""},{"dropping-particle":"","family":"Pietiläinen","given":"Kirsi H.","non-dropping-particle":"","parse-names":false,"suffix":""},{"dropping-particle":"","family":"Rottensteiner","given":"Mirva","non-dropping-particle":"","parse-names":false,"suffix":""},{"dropping-particle":"","family":"Sipilä","given":"Pyry N.","non-dropping-particle":"","parse-names":false,"suffix":""},{"dropping-particle":"","family":"Rose","given":"Richard J.","non-dropping-particle":"","parse-names":false,"suffix":""},{"dropping-particle":"","family":"Keski-Rahkonen","given":"Anna","non-dropping-particle":"","parse-names":false,"suffix":""},{"dropping-particle":"","family":"Kaprio","given":"Jaakko","non-dropping-particle":"","parse-names":false,"suffix":""}],"container-title":"Twin Research and Human Genetics","id":"ITEM-1","issue":"6","issued":{"date-parts":[["2019","12","1"]]},"page":"530-539","publisher":"Cambridge University Press","title":"FinnTwin16: A Longitudinal Study from Age 16 of a Population-Based Finnish Twin Cohort","type":"article-journal","volume":"22"},"uris":["http://www.mendeley.com/documents/?uuid=a5155dca-92da-3744-840a-5eccdf9664d1"]},{"id":"ITEM-2","itemData":{"DOI":"10.1017/THG.2019.54","ISSN":"1832-4274","PMID":"31462340","abstract":"The older Finnish Twin Cohort (FTC) was established in 1974. The baseline survey was in 1975, with two follow-up health surveys in 1981 and 1990. The fourth wave of assessments was done in three parts, with a questionnaire study of twins born during 1945–1957 in 2011–2012, while older twins were interviewed and screened for dementia in two time periods, between 1999 and 2007 for twins born before 1938 and between 2013 and 2017 for twins born in 1938–1944. The content of these wave 4 assessments is described and some initial results are described. In addition, we have invited twin-pairs, based on response to the cohortwide surveys, to participate in detailed in-person studies; these are described briefly together with key results. We also review other projects based on the older FTC and provide information on the biobanking of biosamples and related phenotypes.","author":[{"dropping-particle":"","family":"Kaprio","given":"Jaakko","non-dropping-particle":"","parse-names":false,"suffix":""},{"dropping-particle":"","family":"Bollepalli","given":"Sailalitha","non-dropping-particle":"","parse-names":false,"suffix":""},{"dropping-particle":"","family":"Buchwald","given":"Jadwiga","non-dropping-particle":"","parse-names":false,"suffix":""},{"dropping-particle":"","family":"Iso-Markku","given":"Paula","non-dropping-particle":"","parse-names":false,"suffix":""},{"dropping-particle":"","family":"Korhonen","given":"Tellervo","non-dropping-particle":"","parse-names":false,"suffix":""},{"dropping-particle":"","family":"Kovanen","given":"Vuokko","non-dropping-particle":"","parse-names":false,"suffix":""},{"dropping-particle":"","family":"Kujala","given":"Urho","non-dropping-particle":"","parse-names":false,"suffix":""},{"dropping-particle":"","family":"Laakkonen","given":"Eija K.","non-dropping-particle":"","parse-names":false,"suffix":""},{"dropping-particle":"","family":"Latvala","given":"Antti","non-dropping-particle":"","parse-names":false,"suffix":""},{"dropping-particle":"","family":"Leskinen","given":"Tuija","non-dropping-particle":"","parse-names":false,"suffix":""},{"dropping-particle":"","family":"Lindgren","given":"Noora","non-dropping-particle":"","parse-names":false,"suffix":""},{"dropping-particle":"","family":"Ollikainen","given":"Miina","non-dropping-particle":"","parse-names":false,"suffix":""},{"dropping-particle":"","family":"Piirtola","given":"Maarit","non-dropping-particle":"","parse-names":false,"suffix":""},{"dropping-particle":"","family":"Rantanen","given":"Taina","non-dropping-particle":"","parse-names":false,"suffix":""},{"dropping-particle":"","family":"Rinne","given":"Juha","non-dropping-particle":"","parse-names":false,"suffix":""},{"dropping-particle":"","family":"Rose","given":"Richard J.","non-dropping-particle":"","parse-names":false,"suffix":""},{"dropping-particle":"","family":"Sillanpää","given":"Elina","non-dropping-particle":"","parse-names":false,"suffix":""},{"dropping-particle":"","family":"Silventoinen","given":"Karri","non-dropping-particle":"","parse-names":false,"suffix":""},{"dropping-particle":"","family":"Sipilä","given":"Sarianna","non-dropping-particle":"","parse-names":false,"suffix":""},{"dropping-particle":"","family":"Viljanen","given":"Anne","non-dropping-particle":"","parse-names":false,"suffix":""},{"dropping-particle":"","family":"Vuoksimaa","given":"Eero","non-dropping-particle":"","parse-names":false,"suffix":""},{"dropping-particle":"","family":"Waller","given":"Katja","non-dropping-particle":"","parse-names":false,"suffix":""}],"container-title":"Twin Research and Human Genetics","id":"ITEM-2","issue":"4","issued":{"date-parts":[["2019","8","1"]]},"page":"240-254","publisher":"Cambridge University Press","title":"The Older Finnish Twin Cohort — 45 Years of Follow-up","type":"article-journal","volume":"22"},"uris":["http://www.mendeley.com/documents/?uuid=75ea5140-5eb9-36b7-9e6e-cf07486e6335"]}],"mendeley":{"formattedCitation":"[39,40]","plainTextFormattedCitation":"[39,40]","previouslyFormattedCitation":"[39,40]"},"properties":{"noteIndex":0},"schema":"https://github.com/citation-style-language/schema/raw/master/csl-citation.json"}</w:instrText>
      </w:r>
      <w:r>
        <w:fldChar w:fldCharType="separate"/>
      </w:r>
      <w:r w:rsidRPr="00B97C3E">
        <w:rPr>
          <w:noProof/>
        </w:rPr>
        <w:t>[39,40]</w:t>
      </w:r>
      <w:r>
        <w:fldChar w:fldCharType="end"/>
      </w:r>
      <w:r>
        <w:t xml:space="preserve">, </w:t>
      </w:r>
      <w:proofErr w:type="spellStart"/>
      <w:r w:rsidRPr="00823E48">
        <w:t>GeneRISK</w:t>
      </w:r>
      <w:proofErr w:type="spellEnd"/>
      <w:r>
        <w:t xml:space="preserve"> </w:t>
      </w:r>
      <w:r>
        <w:fldChar w:fldCharType="begin" w:fldLock="1"/>
      </w:r>
      <w:r>
        <w:instrText>ADDIN CSL_CITATION {"citationItems":[{"id":"ITEM-1","itemData":{"DOI":"10.1161/CIRCGEN.121.003459","ISSN":"2574-8300","PMID":"35130028","abstract":"The copyright holder for this preprint (which was not certified by peer review) is the author/funder, who has granted medRxiv a license to display the preprint in perpetuity. It is made available under a CC-BY-NC-ND 4.0 International license. Background. Algorithms including both traditional risk factors and polygenic risk scores (PRS) can significantly improve prediction of atherosclerotic cardiovascular disease (ASCVD). However, the clinical benefit of adding PRS to clinical risk evaluation remains unclear. Objectives. The study evaluated the attitudes of 7,342 individuals (64% women, mean age 56 yrs) upon receiving personal genome-enhanced ASCVD risk information, and prospectively assessed the impact on the participants' health behavior. Methods. The participant's 10-year risk for ASCVD was estimated using both a traditional clinical risk score and a PRS-enhanced score, and both scores were communicated directly to study participants with an interactive web-tool. Results. When reassessed after 1.5 years by a clinical visit and questionnaires, 20.8% of individuals at high (&gt;10%) ASCVD risk had seen a doctor, 12.4% reported weight loss, 14.2% of smokers had quit smoking, and 15.4% had signed up for health coaching online. Altogether, 42.6% of individuals at high risk had made some health behavioral change compared to 33.5% of persons at low/average risk such that a higher baseline risk predicted a favorable change (p&lt;0.001), with both clinical (p&lt;0.001) and genomic factors (p=0.003) contributing independently. Seeing a doctor and weight loss both resulted in clinically significant improvement of lipid profiles (lower LDL-cholesterol and triglycerides) and lower systolic blood pressure (p&lt;0.01). Conclusions. Web-based communication of personal ASCVD risk-data including polygenic risk to middle-aged persons can motivate positive changes in health behavior. It supports integration of genomic information into clinical risk calculators as a feasible approach to enhance disease prevention.","author":[{"dropping-particle":"","family":"Widén","given":"Elisabeth","non-dropping-particle":"","parse-names":false,"suffix":""},{"dropping-particle":"","family":"Junna","given":"Nella","non-dropping-particle":"","parse-names":false,"suffix":""},{"dropping-particle":"","family":"Ruotsalainen","given":"Sanni","non-dropping-particle":"","parse-names":false,"suffix":""},{"dropping-particle":"","family":"Surakka","given":"Ida","non-dropping-particle":"","parse-names":false,"suffix":""},{"dropping-particle":"","family":"Mars","given":"Nina","non-dropping-particle":"","parse-names":false,"suffix":""},{"dropping-particle":"","family":"Ripatti","given":"Pietari","non-dropping-particle":"","parse-names":false,"suffix":""},{"dropping-particle":"","family":"Partanen","given":"Juulia J.","non-dropping-particle":"","parse-names":false,"suffix":""},{"dropping-particle":"","family":"Aro","given":"Johanna","non-dropping-particle":"","parse-names":false,"suffix":""},{"dropping-particle":"","family":"Mustonen","given":"Pekka","non-dropping-particle":"","parse-names":false,"suffix":""},{"dropping-particle":"","family":"Tuomi","given":"Tiinamaija","non-dropping-particle":"","parse-names":false,"suffix":""},{"dropping-particle":"","family":"Palotie","given":"Aarno","non-dropping-particle":"","parse-names":false,"suffix":""},{"dropping-particle":"","family":"Salomaa","given":"Veikko","non-dropping-particle":"","parse-names":false,"suffix":""},{"dropping-particle":"","family":"Kaprio","given":"Jaakko","non-dropping-particle":"","parse-names":false,"suffix":""},{"dropping-particle":"","family":"Partanen","given":"Jukka","non-dropping-particle":"","parse-names":false,"suffix":""},{"dropping-particle":"","family":"Hotakainen","given":"Kristina","non-dropping-particle":"","parse-names":false,"suffix":""},{"dropping-particle":"","family":"Pöllänen","given":"Pasi","non-dropping-particle":"","parse-names":false,"suffix":""},{"dropping-particle":"","family":"Ripatti","given":"Samuli","non-dropping-particle":"","parse-names":false,"suffix":""}],"container-title":"Circulation. Genomic and precision medicine","id":"ITEM-1","issued":{"date-parts":[["2022","2","7"]]},"publisher":"Circ Genom Precis Med","title":"How Communicating Polygenic and Clinical Risk for Atherosclerotic Cardiovascular Disease Impacts Health Behavior: an Observational Follow-up Study","type":"article-journal"},"uris":["http://www.mendeley.com/documents/?uuid=c577a553-f775-3ab0-8bf1-caa6e2513241"]}],"mendeley":{"formattedCitation":"[41]","plainTextFormattedCitation":"[41]","previouslyFormattedCitation":"[41]"},"properties":{"noteIndex":0},"schema":"https://github.com/citation-style-language/schema/raw/master/csl-citation.json"}</w:instrText>
      </w:r>
      <w:r>
        <w:fldChar w:fldCharType="separate"/>
      </w:r>
      <w:r w:rsidRPr="00B97C3E">
        <w:rPr>
          <w:noProof/>
        </w:rPr>
        <w:t>[41]</w:t>
      </w:r>
      <w:r>
        <w:fldChar w:fldCharType="end"/>
      </w:r>
      <w:r>
        <w:t xml:space="preserve">, and the Health-2000-2011 (T2000-2011) </w:t>
      </w:r>
      <w:r>
        <w:fldChar w:fldCharType="begin" w:fldLock="1"/>
      </w:r>
      <w:r>
        <w:instrText>ADDIN CSL_CITATION {"citationItems":[{"id":"ITEM-1","itemData":{"URL":"https://thl.fi/en/web/thlfi-en/research-and-development/research-and-projects/health-2000-2011","accessed":{"date-parts":[["2022","3","16"]]},"id":"ITEM-1","issued":{"date-parts":[["0"]]},"title":"Health-2000-2011 - THL","type":"webpage"},"uris":["http://www.mendeley.com/documents/?uuid=8cff88d6-8b41-33e8-b568-aa3b53dd657f"]}],"mendeley":{"formattedCitation":"[42]","plainTextFormattedCitation":"[42]","previouslyFormattedCitation":"[42]"},"properties":{"noteIndex":0},"schema":"https://github.com/citation-style-language/schema/raw/master/csl-citation.json"}</w:instrText>
      </w:r>
      <w:r>
        <w:fldChar w:fldCharType="separate"/>
      </w:r>
      <w:r w:rsidRPr="00B97C3E">
        <w:rPr>
          <w:noProof/>
        </w:rPr>
        <w:t>[42]</w:t>
      </w:r>
      <w:r>
        <w:fldChar w:fldCharType="end"/>
      </w:r>
      <w:r>
        <w:t xml:space="preserve">. </w:t>
      </w:r>
      <w:proofErr w:type="spellStart"/>
      <w:r>
        <w:t>FinHealth</w:t>
      </w:r>
      <w:proofErr w:type="spellEnd"/>
      <w:r>
        <w:t xml:space="preserve"> is a national random population-based study of 10,000 Finnish residents in 2017 that collects both biological as well as self-reported health measures such as food intake frequency </w:t>
      </w:r>
      <w:r>
        <w:fldChar w:fldCharType="begin" w:fldLock="1"/>
      </w:r>
      <w:r>
        <w:instrText>ADDIN CSL_CITATION {"citationItems":[{"id":"ITEM-1","itemData":{"URL":"https://thl.fi/en/web/thlfi-en/research-and-development/research-and-projects/national-finhealth-study","accessed":{"date-parts":[["2022","3","16"]]},"id":"ITEM-1","issued":{"date-parts":[["0"]]},"title":"National FinHealth Study - THL","type":"webpage"},"uris":["http://www.mendeley.com/documents/?uuid=6ce14de7-ee18-3f0f-88f1-2f024ac2738d"]}],"mendeley":{"formattedCitation":"[37]","plainTextFormattedCitation":"[37]","previouslyFormattedCitation":"[37]"},"properties":{"noteIndex":0},"schema":"https://github.com/citation-style-language/schema/raw/master/csl-citation.json"}</w:instrText>
      </w:r>
      <w:r>
        <w:fldChar w:fldCharType="separate"/>
      </w:r>
      <w:r w:rsidRPr="00B97C3E">
        <w:rPr>
          <w:noProof/>
        </w:rPr>
        <w:t>[37]</w:t>
      </w:r>
      <w:r>
        <w:fldChar w:fldCharType="end"/>
      </w:r>
      <w:r>
        <w:t xml:space="preserve">. FINRISK is another Finnish population-based study that was done every fifth year on independent samples from 1972 to 2012 and focused on studying risk factors for chronic, non-communicable diseases </w:t>
      </w:r>
      <w:r>
        <w:fldChar w:fldCharType="begin" w:fldLock="1"/>
      </w:r>
      <w:r>
        <w:instrText>ADDIN CSL_CITATION {"citationItems":[{"id":"ITEM-1","itemData":{"URL":"https://thl.fi/en/web/thlfi-en/research-and-development/research-and-projects/the-national-finrisk-study","accessed":{"date-parts":[["2022","3","16"]]},"id":"ITEM-1","issued":{"date-parts":[["0"]]},"title":"The National FINRISK Study - THL","type":"webpage"},"uris":["http://www.mendeley.com/documents/?uuid=d4f8ae59-b654-3835-b85c-98095a9d125c"]}],"mendeley":{"formattedCitation":"[38]","plainTextFormattedCitation":"[38]","previouslyFormattedCitation":"[38]"},"properties":{"noteIndex":0},"schema":"https://github.com/citation-style-language/schema/raw/master/csl-citation.json"}</w:instrText>
      </w:r>
      <w:r>
        <w:fldChar w:fldCharType="separate"/>
      </w:r>
      <w:r w:rsidRPr="00B97C3E">
        <w:rPr>
          <w:noProof/>
        </w:rPr>
        <w:t>[38]</w:t>
      </w:r>
      <w:r>
        <w:fldChar w:fldCharType="end"/>
      </w:r>
      <w:r>
        <w:t xml:space="preserve">. On the other hand, the FTC study is comprised of three cohorts of twins: the Older Twin Cohort, FinnTwin12, and FinnTwin16. The Older Twin Cohort started in the mid-1970s, whereas the latter two started in the 1990s </w:t>
      </w:r>
      <w:r>
        <w:fldChar w:fldCharType="begin" w:fldLock="1"/>
      </w:r>
      <w:r>
        <w:instrText>ADDIN CSL_CITATION {"citationItems":[{"id":"ITEM-1","itemData":{"DOI":"10.1017/THG.2019.106","ISSN":"1832-4274","PMID":"31796134","abstract":"The purpose of this review is to provide a detailed and updated description of the FinnTwin16 (FT16) study and its future directions. The Finnish Twin Cohort comprises three different cohorts: the Older Twin Cohort established in the 1970s and the FinnTwin12 and FT16 initiated in the 1990s. FT16 was initiated in 1991 to identify the genetic and environmental precursors of alcoholism, but later the scope of the project expanded to studying the determinants of various health-related behaviors and diseases in different stages of life. The main areas addressed are alcohol use and its consequences, smoking, physical activity, overall physical health, eating behaviors and eating disorders, weight development, obesity, life satisfaction and personality. To date, five waves of data collection have been completed and the sixth is now planned. Data from the FT16 cohort have contributed to several hundred studies and many substudies, with more detailed phenotyping and collection of omics data completed or underway. FT16 has also contributed to many national and international collaborations.","author":[{"dropping-particle":"","family":"Kaidesoja","given":"Milla","non-dropping-particle":"","parse-names":false,"suffix":""},{"dropping-particle":"","family":"Aaltonen","given":"Sari","non-dropping-particle":"","parse-names":false,"suffix":""},{"dropping-particle":"","family":"Bogl","given":"Leonie H.","non-dropping-particle":"","parse-names":false,"suffix":""},{"dropping-particle":"","family":"Heikkilä","given":"Kauko","non-dropping-particle":"","parse-names":false,"suffix":""},{"dropping-particle":"","family":"Kaartinen","given":"Sara","non-dropping-particle":"","parse-names":false,"suffix":""},{"dropping-particle":"","family":"Kujala","given":"Urho M.","non-dropping-particle":"","parse-names":false,"suffix":""},{"dropping-particle":"","family":"Kärkkäinen","given":"Ulla","non-dropping-particle":"","parse-names":false,"suffix":""},{"dropping-particle":"","family":"Masip","given":"Guiomar","non-dropping-particle":"","parse-names":false,"suffix":""},{"dropping-particle":"","family":"Mustelin","given":"Linda","non-dropping-particle":"","parse-names":false,"suffix":""},{"dropping-particle":"","family":"Palviainen","given":"Teemu","non-dropping-particle":"","parse-names":false,"suffix":""},{"dropping-particle":"","family":"Pietiläinen","given":"Kirsi H.","non-dropping-particle":"","parse-names":false,"suffix":""},{"dropping-particle":"","family":"Rottensteiner","given":"Mirva","non-dropping-particle":"","parse-names":false,"suffix":""},{"dropping-particle":"","family":"Sipilä","given":"Pyry N.","non-dropping-particle":"","parse-names":false,"suffix":""},{"dropping-particle":"","family":"Rose","given":"Richard J.","non-dropping-particle":"","parse-names":false,"suffix":""},{"dropping-particle":"","family":"Keski-Rahkonen","given":"Anna","non-dropping-particle":"","parse-names":false,"suffix":""},{"dropping-particle":"","family":"Kaprio","given":"Jaakko","non-dropping-particle":"","parse-names":false,"suffix":""}],"container-title":"Twin Research and Human Genetics","id":"ITEM-1","issue":"6","issued":{"date-parts":[["2019","12","1"]]},"page":"530-539","publisher":"Cambridge University Press","title":"FinnTwin16: A Longitudinal Study from Age 16 of a Population-Based Finnish Twin Cohort","type":"article-journal","volume":"22"},"uris":["http://www.mendeley.com/documents/?uuid=a5155dca-92da-3744-840a-5eccdf9664d1"]},{"id":"ITEM-2","itemData":{"DOI":"10.1017/THG.2019.54","ISSN":"1832-4274","PMID":"31462340","abstract":"The older Finnish Twin Cohort (FTC) was established in 1974. The baseline survey was in 1975, with two follow-up health surveys in 1981 and 1990. The fourth wave of assessments was done in three parts, with a questionnaire study of twins born during 1945–1957 in 2011–2012, while older twins were interviewed and screened for dementia in two time periods, between 1999 and 2007 for twins born before 1938 and between 2013 and 2017 for twins born in 1938–1944. The content of these wave 4 assessments is described and some initial results are described. In addition, we have invited twin-pairs, based on response to the cohortwide surveys, to participate in detailed in-person studies; these are described briefly together with key results. We also review other projects based on the older FTC and provide information on the biobanking of biosamples and related phenotypes.","author":[{"dropping-particle":"","family":"Kaprio","given":"Jaakko","non-dropping-particle":"","parse-names":false,"suffix":""},{"dropping-particle":"","family":"Bollepalli","given":"Sailalitha","non-dropping-particle":"","parse-names":false,"suffix":""},{"dropping-particle":"","family":"Buchwald","given":"Jadwiga","non-dropping-particle":"","parse-names":false,"suffix":""},{"dropping-particle":"","family":"Iso-Markku","given":"Paula","non-dropping-particle":"","parse-names":false,"suffix":""},{"dropping-particle":"","family":"Korhonen","given":"Tellervo","non-dropping-particle":"","parse-names":false,"suffix":""},{"dropping-particle":"","family":"Kovanen","given":"Vuokko","non-dropping-particle":"","parse-names":false,"suffix":""},{"dropping-particle":"","family":"Kujala","given":"Urho","non-dropping-particle":"","parse-names":false,"suffix":""},{"dropping-particle":"","family":"Laakkonen","given":"Eija K.","non-dropping-particle":"","parse-names":false,"suffix":""},{"dropping-particle":"","family":"Latvala","given":"Antti","non-dropping-particle":"","parse-names":false,"suffix":""},{"dropping-particle":"","family":"Leskinen","given":"Tuija","non-dropping-particle":"","parse-names":false,"suffix":""},{"dropping-particle":"","family":"Lindgren","given":"Noora","non-dropping-particle":"","parse-names":false,"suffix":""},{"dropping-particle":"","family":"Ollikainen","given":"Miina","non-dropping-particle":"","parse-names":false,"suffix":""},{"dropping-particle":"","family":"Piirtola","given":"Maarit","non-dropping-particle":"","parse-names":false,"suffix":""},{"dropping-particle":"","family":"Rantanen","given":"Taina","non-dropping-particle":"","parse-names":false,"suffix":""},{"dropping-particle":"","family":"Rinne","given":"Juha","non-dropping-particle":"","parse-names":false,"suffix":""},{"dropping-particle":"","family":"Rose","given":"Richard J.","non-dropping-particle":"","parse-names":false,"suffix":""},{"dropping-particle":"","family":"Sillanpää","given":"Elina","non-dropping-particle":"","parse-names":false,"suffix":""},{"dropping-particle":"","family":"Silventoinen","given":"Karri","non-dropping-particle":"","parse-names":false,"suffix":""},{"dropping-particle":"","family":"Sipilä","given":"Sarianna","non-dropping-particle":"","parse-names":false,"suffix":""},{"dropping-particle":"","family":"Viljanen","given":"Anne","non-dropping-particle":"","parse-names":false,"suffix":""},{"dropping-particle":"","family":"Vuoksimaa","given":"Eero","non-dropping-particle":"","parse-names":false,"suffix":""},{"dropping-particle":"","family":"Waller","given":"Katja","non-dropping-particle":"","parse-names":false,"suffix":""}],"container-title":"Twin Research and Human Genetics","id":"ITEM-2","issue":"4","issued":{"date-parts":[["2019","8","1"]]},"page":"240-254","publisher":"Cambridge University Press","title":"The Older Finnish Twin Cohort — 45 Years of Follow-up","type":"article-journal","volume":"22"},"uris":["http://www.mendeley.com/documents/?uuid=75ea5140-5eb9-36b7-9e6e-cf07486e6335"]}],"mendeley":{"formattedCitation":"[39,40]","plainTextFormattedCitation":"[39,40]","previouslyFormattedCitation":"[39,40]"},"properties":{"noteIndex":0},"schema":"https://github.com/citation-style-language/schema/raw/master/csl-citation.json"}</w:instrText>
      </w:r>
      <w:r>
        <w:fldChar w:fldCharType="separate"/>
      </w:r>
      <w:r w:rsidRPr="00B97C3E">
        <w:rPr>
          <w:noProof/>
        </w:rPr>
        <w:t>[39,40]</w:t>
      </w:r>
      <w:r>
        <w:fldChar w:fldCharType="end"/>
      </w:r>
      <w:r>
        <w:t xml:space="preserve">. The </w:t>
      </w:r>
      <w:proofErr w:type="spellStart"/>
      <w:r>
        <w:t>GeneRISK</w:t>
      </w:r>
      <w:proofErr w:type="spellEnd"/>
      <w:r>
        <w:t xml:space="preserve"> study is a cardiovascular risk cohort study of 7,342 adults, mostly from the Helsinki metropolitan region and South-East Finland. Lastly, the T2000-2011 sample comprised 10,000 Finnish individuals over 18 years old in the year 2000. These individuals were invited to participate based on a random sampling from the Finnish population and were later followed up in 2011. Data included health assessments, questionnaires, and interviews </w:t>
      </w:r>
      <w:r>
        <w:fldChar w:fldCharType="begin" w:fldLock="1"/>
      </w:r>
      <w:r>
        <w:instrText>ADDIN CSL_CITATION {"citationItems":[{"id":"ITEM-1","itemData":{"URL":"https://thl.fi/en/web/thlfi-en/research-and-development/research-and-projects/health-2000-2011","accessed":{"date-parts":[["2022","3","16"]]},"id":"ITEM-1","issued":{"date-parts":[["0"]]},"title":"Health-2000-2011 - THL","type":"webpage"},"uris":["http://www.mendeley.com/documents/?uuid=8cff88d6-8b41-33e8-b568-aa3b53dd657f"]}],"mendeley":{"formattedCitation":"[42]","plainTextFormattedCitation":"[42]","previouslyFormattedCitation":"[42]"},"properties":{"noteIndex":0},"schema":"https://github.com/citation-style-language/schema/raw/master/csl-citation.json"}</w:instrText>
      </w:r>
      <w:r>
        <w:fldChar w:fldCharType="separate"/>
      </w:r>
      <w:r w:rsidRPr="00B97C3E">
        <w:rPr>
          <w:noProof/>
        </w:rPr>
        <w:t>[42]</w:t>
      </w:r>
      <w:r>
        <w:fldChar w:fldCharType="end"/>
      </w:r>
      <w:r>
        <w:t xml:space="preserve">. These datasets varied in sample size (ranging from around 994 smoking individuals in </w:t>
      </w:r>
      <w:proofErr w:type="spellStart"/>
      <w:r>
        <w:t>GeneRISK</w:t>
      </w:r>
      <w:proofErr w:type="spellEnd"/>
      <w:r>
        <w:t xml:space="preserve"> up to 26,751 in FINRISK) and the granularity of the cigarette use outcome (i.e., cigarettes per day versus binned cigarettes per day). All Finnish subsets except FTC used raw cigarettes per day. </w:t>
      </w:r>
    </w:p>
    <w:p w14:paraId="773D50D2" w14:textId="77777777" w:rsidR="00892664" w:rsidRPr="00567D12" w:rsidRDefault="00892664" w:rsidP="00892664">
      <w:pPr>
        <w:pStyle w:val="Heading2"/>
        <w:spacing w:line="480" w:lineRule="auto"/>
        <w:rPr>
          <w:b/>
          <w:bCs/>
          <w:color w:val="000000" w:themeColor="text1"/>
          <w:sz w:val="22"/>
          <w:szCs w:val="22"/>
        </w:rPr>
      </w:pPr>
      <w:r w:rsidRPr="00567D12">
        <w:rPr>
          <w:b/>
          <w:bCs/>
          <w:color w:val="000000" w:themeColor="text1"/>
          <w:sz w:val="22"/>
          <w:szCs w:val="22"/>
        </w:rPr>
        <w:lastRenderedPageBreak/>
        <w:t>Specificity Simulations for the rs16969968x</w:t>
      </w:r>
      <w:r>
        <w:rPr>
          <w:b/>
          <w:bCs/>
          <w:color w:val="000000" w:themeColor="text1"/>
          <w:sz w:val="22"/>
          <w:szCs w:val="22"/>
        </w:rPr>
        <w:t>G</w:t>
      </w:r>
      <w:r w:rsidRPr="00567D12">
        <w:rPr>
          <w:b/>
          <w:bCs/>
          <w:color w:val="000000" w:themeColor="text1"/>
          <w:sz w:val="22"/>
          <w:szCs w:val="22"/>
        </w:rPr>
        <w:t xml:space="preserve">ene Analyses </w:t>
      </w:r>
    </w:p>
    <w:p w14:paraId="065279CF" w14:textId="77777777" w:rsidR="00892664" w:rsidRPr="00AC5699" w:rsidRDefault="00892664" w:rsidP="00892664">
      <w:pPr>
        <w:spacing w:line="480" w:lineRule="auto"/>
        <w:rPr>
          <w:color w:val="000000" w:themeColor="text1"/>
        </w:rPr>
      </w:pPr>
      <w:r>
        <w:rPr>
          <w:color w:val="000000" w:themeColor="text1"/>
        </w:rPr>
        <w:t>F</w:t>
      </w:r>
      <w:r w:rsidRPr="00E1F3B0">
        <w:rPr>
          <w:color w:val="000000" w:themeColor="text1"/>
        </w:rPr>
        <w:t>or</w:t>
      </w:r>
      <w:r w:rsidRPr="7F99AAA4">
        <w:rPr>
          <w:color w:val="000000" w:themeColor="text1"/>
        </w:rPr>
        <w:t xml:space="preserve"> our significant </w:t>
      </w:r>
      <w:r w:rsidRPr="24AE1D84">
        <w:rPr>
          <w:color w:val="000000" w:themeColor="text1"/>
        </w:rPr>
        <w:t>interaction gene region</w:t>
      </w:r>
      <w:r w:rsidRPr="7F99AAA4">
        <w:rPr>
          <w:color w:val="000000" w:themeColor="text1"/>
        </w:rPr>
        <w:t xml:space="preserve">, we also ran specificity analyses to investigate type I error. We simulated </w:t>
      </w:r>
      <w:r>
        <w:rPr>
          <w:color w:val="000000" w:themeColor="text1"/>
        </w:rPr>
        <w:t xml:space="preserve">a random, normally distributed phenotype for </w:t>
      </w:r>
      <w:r w:rsidRPr="7F99AAA4">
        <w:rPr>
          <w:color w:val="000000" w:themeColor="text1"/>
        </w:rPr>
        <w:t>N=116,442 smokers</w:t>
      </w:r>
      <w:r>
        <w:rPr>
          <w:color w:val="000000" w:themeColor="text1"/>
        </w:rPr>
        <w:t xml:space="preserve">. We then ran a rs16969968xSNP analysis using real genotypes from the UKB using all common (MAF &gt; 1%) variants across the 22 autosomal chromosome pairs. We controlled for genetic ancestry, batch, center, and interactions between these covariates and rs16969968 and </w:t>
      </w:r>
      <w:proofErr w:type="spellStart"/>
      <w:r>
        <w:rPr>
          <w:color w:val="000000" w:themeColor="text1"/>
        </w:rPr>
        <w:t>SNP</w:t>
      </w:r>
      <w:r>
        <w:rPr>
          <w:color w:val="000000" w:themeColor="text1"/>
          <w:vertAlign w:val="subscript"/>
        </w:rPr>
        <w:t>j</w:t>
      </w:r>
      <w:proofErr w:type="spellEnd"/>
      <w:r>
        <w:rPr>
          <w:color w:val="000000" w:themeColor="text1"/>
          <w:vertAlign w:val="subscript"/>
        </w:rPr>
        <w:t xml:space="preserve"> </w:t>
      </w:r>
      <w:r>
        <w:rPr>
          <w:color w:val="000000" w:themeColor="text1"/>
        </w:rPr>
        <w:t xml:space="preserve">as done in the empirical analysis. </w:t>
      </w:r>
      <w:r w:rsidRPr="7F99AAA4">
        <w:rPr>
          <w:color w:val="000000" w:themeColor="text1"/>
        </w:rPr>
        <w:t xml:space="preserve">We then fed the SNP </w:t>
      </w:r>
      <w:proofErr w:type="spellStart"/>
      <w:r w:rsidRPr="7F99AAA4">
        <w:rPr>
          <w:color w:val="000000" w:themeColor="text1"/>
        </w:rPr>
        <w:t>rsID</w:t>
      </w:r>
      <w:proofErr w:type="spellEnd"/>
      <w:r w:rsidRPr="7F99AAA4">
        <w:rPr>
          <w:color w:val="000000" w:themeColor="text1"/>
        </w:rPr>
        <w:t xml:space="preserve">, sample size, and </w:t>
      </w:r>
      <w:r w:rsidRPr="7F99AAA4">
        <w:rPr>
          <w:i/>
          <w:iCs/>
          <w:color w:val="000000" w:themeColor="text1"/>
        </w:rPr>
        <w:t>p</w:t>
      </w:r>
      <w:r w:rsidRPr="7F99AAA4">
        <w:rPr>
          <w:color w:val="000000" w:themeColor="text1"/>
        </w:rPr>
        <w:t xml:space="preserve">-value for each estimated rs16969968xSNP interaction effect into MAGMA v.1.09 and aggregated the </w:t>
      </w:r>
      <w:r w:rsidRPr="7F99AAA4">
        <w:rPr>
          <w:i/>
          <w:iCs/>
          <w:color w:val="000000" w:themeColor="text1"/>
        </w:rPr>
        <w:t>p</w:t>
      </w:r>
      <w:r w:rsidRPr="7F99AAA4">
        <w:rPr>
          <w:color w:val="000000" w:themeColor="text1"/>
        </w:rPr>
        <w:t>-values using MAGMA’s SNP-wise mean and top models. We plotted the resulting rs16969968</w:t>
      </w:r>
      <w:r w:rsidRPr="41C11985">
        <w:rPr>
          <w:color w:val="000000" w:themeColor="text1"/>
        </w:rPr>
        <w:t>×</w:t>
      </w:r>
      <w:r w:rsidRPr="7F99AAA4">
        <w:rPr>
          <w:color w:val="000000" w:themeColor="text1"/>
        </w:rPr>
        <w:t xml:space="preserve">gene </w:t>
      </w:r>
      <w:r w:rsidRPr="7F99AAA4">
        <w:rPr>
          <w:i/>
          <w:iCs/>
          <w:color w:val="000000" w:themeColor="text1"/>
        </w:rPr>
        <w:t>p</w:t>
      </w:r>
      <w:r w:rsidRPr="7F99AAA4">
        <w:rPr>
          <w:color w:val="000000" w:themeColor="text1"/>
        </w:rPr>
        <w:t xml:space="preserve">-values and assessed how many genes, if any, incorrectly reached significance after adjusting for multiple testing correction. </w:t>
      </w:r>
    </w:p>
    <w:p w14:paraId="2517B4DF" w14:textId="77777777" w:rsidR="00892664" w:rsidRDefault="00892664" w:rsidP="00892664">
      <w:pPr>
        <w:pStyle w:val="Heading1"/>
        <w:spacing w:line="480" w:lineRule="auto"/>
        <w:rPr>
          <w:b/>
          <w:bCs/>
          <w:color w:val="000000" w:themeColor="text1"/>
          <w:sz w:val="24"/>
          <w:szCs w:val="24"/>
        </w:rPr>
      </w:pPr>
      <w:r w:rsidRPr="00905953">
        <w:rPr>
          <w:b/>
          <w:bCs/>
          <w:color w:val="000000" w:themeColor="text1"/>
          <w:sz w:val="24"/>
          <w:szCs w:val="24"/>
        </w:rPr>
        <w:t xml:space="preserve">SUPPLEMENTARY MATERIALS </w:t>
      </w:r>
      <w:r>
        <w:rPr>
          <w:b/>
          <w:bCs/>
          <w:color w:val="000000" w:themeColor="text1"/>
          <w:sz w:val="24"/>
          <w:szCs w:val="24"/>
        </w:rPr>
        <w:t>– SUPPLEMENTARY RESULTS</w:t>
      </w:r>
    </w:p>
    <w:p w14:paraId="19828B1B" w14:textId="77777777" w:rsidR="00892664" w:rsidRPr="00DA371C" w:rsidRDefault="00892664" w:rsidP="00892664">
      <w:pPr>
        <w:pStyle w:val="Heading2"/>
        <w:spacing w:line="480" w:lineRule="auto"/>
        <w:rPr>
          <w:b/>
          <w:bCs/>
          <w:color w:val="000000" w:themeColor="text1"/>
          <w:sz w:val="22"/>
          <w:szCs w:val="22"/>
        </w:rPr>
      </w:pPr>
      <w:r w:rsidRPr="00DA371C">
        <w:rPr>
          <w:b/>
          <w:bCs/>
          <w:color w:val="000000" w:themeColor="text1"/>
          <w:sz w:val="22"/>
          <w:szCs w:val="22"/>
        </w:rPr>
        <w:t xml:space="preserve">Specificity of the rs16969968 x Gene Analyses </w:t>
      </w:r>
    </w:p>
    <w:p w14:paraId="401F5836" w14:textId="77777777" w:rsidR="00892664" w:rsidRPr="00FE46BC" w:rsidRDefault="00892664" w:rsidP="00892664">
      <w:pPr>
        <w:spacing w:line="480" w:lineRule="auto"/>
        <w:rPr>
          <w:color w:val="000000" w:themeColor="text1"/>
        </w:rPr>
      </w:pPr>
      <w:r>
        <w:rPr>
          <w:color w:val="000000" w:themeColor="text1"/>
        </w:rPr>
        <w:t>By using a randomly generated phenotype, w</w:t>
      </w:r>
      <w:r w:rsidRPr="411049C9">
        <w:rPr>
          <w:color w:val="000000" w:themeColor="text1"/>
        </w:rPr>
        <w:t xml:space="preserve">e set the true interaction effect to 0 for all SNPs, then inputted the resulting </w:t>
      </w:r>
      <w:r w:rsidRPr="005C0A3F">
        <w:rPr>
          <w:i/>
          <w:iCs/>
          <w:color w:val="000000" w:themeColor="text1"/>
        </w:rPr>
        <w:t>p</w:t>
      </w:r>
      <w:r w:rsidRPr="411049C9">
        <w:rPr>
          <w:color w:val="000000" w:themeColor="text1"/>
        </w:rPr>
        <w:t xml:space="preserve">-values into MAGMA to investigate our pipeline’s type I error rate. Results from both the SNP-wise mean model (Fig. </w:t>
      </w:r>
      <w:r>
        <w:rPr>
          <w:color w:val="000000" w:themeColor="text1"/>
        </w:rPr>
        <w:t>S6</w:t>
      </w:r>
      <w:r w:rsidRPr="411049C9">
        <w:rPr>
          <w:color w:val="000000" w:themeColor="text1"/>
        </w:rPr>
        <w:t xml:space="preserve">A) and the SNP-wise top model (Fig. </w:t>
      </w:r>
      <w:r>
        <w:rPr>
          <w:color w:val="000000" w:themeColor="text1"/>
        </w:rPr>
        <w:t>S6</w:t>
      </w:r>
      <w:r w:rsidRPr="411049C9">
        <w:rPr>
          <w:color w:val="000000" w:themeColor="text1"/>
        </w:rPr>
        <w:t xml:space="preserve">B) analysis successfully controlled for type I error </w:t>
      </w:r>
      <w:r>
        <w:rPr>
          <w:color w:val="000000" w:themeColor="text1"/>
        </w:rPr>
        <w:t xml:space="preserve">and therefore show that our rs16969968xgene analyses were conservative </w:t>
      </w:r>
      <w:r w:rsidRPr="411049C9">
        <w:rPr>
          <w:color w:val="000000" w:themeColor="text1"/>
        </w:rPr>
        <w:t>(</w:t>
      </w:r>
      <w:r w:rsidRPr="411049C9">
        <w:rPr>
          <w:i/>
          <w:iCs/>
          <w:color w:val="000000" w:themeColor="text1"/>
        </w:rPr>
        <w:t>p</w:t>
      </w:r>
      <w:r w:rsidRPr="411049C9">
        <w:rPr>
          <w:color w:val="000000" w:themeColor="text1"/>
        </w:rPr>
        <w:t xml:space="preserve"> &lt; </w:t>
      </w:r>
      <w:r w:rsidRPr="00A85BE1">
        <w:rPr>
          <w:color w:val="000000" w:themeColor="text1"/>
        </w:rPr>
        <w:t>9.4</w:t>
      </w:r>
      <w:r>
        <w:rPr>
          <w:color w:val="000000" w:themeColor="text1"/>
        </w:rPr>
        <w:t>5x10</w:t>
      </w:r>
      <w:r w:rsidRPr="00A85BE1">
        <w:rPr>
          <w:color w:val="000000" w:themeColor="text1"/>
          <w:vertAlign w:val="superscript"/>
        </w:rPr>
        <w:t>-5</w:t>
      </w:r>
      <w:r w:rsidRPr="411049C9">
        <w:rPr>
          <w:color w:val="000000" w:themeColor="text1"/>
        </w:rPr>
        <w:t>, 0.05/</w:t>
      </w:r>
      <w:r>
        <w:rPr>
          <w:color w:val="000000" w:themeColor="text1"/>
        </w:rPr>
        <w:t>527</w:t>
      </w:r>
      <w:r w:rsidRPr="411049C9">
        <w:rPr>
          <w:color w:val="000000" w:themeColor="text1"/>
        </w:rPr>
        <w:t xml:space="preserve"> genes in chromosome 20)</w:t>
      </w:r>
    </w:p>
    <w:p w14:paraId="7EBD196B" w14:textId="77777777" w:rsidR="00B400E9" w:rsidRDefault="00B400E9"/>
    <w:sectPr w:rsidR="00B400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664"/>
    <w:rsid w:val="00002AE1"/>
    <w:rsid w:val="00022FB4"/>
    <w:rsid w:val="0003082B"/>
    <w:rsid w:val="00033E2E"/>
    <w:rsid w:val="00044C39"/>
    <w:rsid w:val="00047308"/>
    <w:rsid w:val="0009061D"/>
    <w:rsid w:val="000A2774"/>
    <w:rsid w:val="000D32B6"/>
    <w:rsid w:val="000E48FA"/>
    <w:rsid w:val="00107808"/>
    <w:rsid w:val="00115BE5"/>
    <w:rsid w:val="00123A5D"/>
    <w:rsid w:val="0017781A"/>
    <w:rsid w:val="00180759"/>
    <w:rsid w:val="001E7B46"/>
    <w:rsid w:val="001F2E13"/>
    <w:rsid w:val="00204EFC"/>
    <w:rsid w:val="00207673"/>
    <w:rsid w:val="00276052"/>
    <w:rsid w:val="00285DAF"/>
    <w:rsid w:val="002E7BC9"/>
    <w:rsid w:val="003121C5"/>
    <w:rsid w:val="003329D2"/>
    <w:rsid w:val="00347611"/>
    <w:rsid w:val="003803A5"/>
    <w:rsid w:val="003B2413"/>
    <w:rsid w:val="003E3377"/>
    <w:rsid w:val="003F6CBC"/>
    <w:rsid w:val="004249FB"/>
    <w:rsid w:val="00431769"/>
    <w:rsid w:val="00442C19"/>
    <w:rsid w:val="00444486"/>
    <w:rsid w:val="00447CF7"/>
    <w:rsid w:val="004512FF"/>
    <w:rsid w:val="004B59AD"/>
    <w:rsid w:val="004C012D"/>
    <w:rsid w:val="004C1FA8"/>
    <w:rsid w:val="004C6956"/>
    <w:rsid w:val="004E4854"/>
    <w:rsid w:val="004F2786"/>
    <w:rsid w:val="004F6832"/>
    <w:rsid w:val="0053036E"/>
    <w:rsid w:val="005346C3"/>
    <w:rsid w:val="00535131"/>
    <w:rsid w:val="00555839"/>
    <w:rsid w:val="00566D4D"/>
    <w:rsid w:val="00577CB9"/>
    <w:rsid w:val="005D64EF"/>
    <w:rsid w:val="005E57CE"/>
    <w:rsid w:val="005E7E36"/>
    <w:rsid w:val="005F6530"/>
    <w:rsid w:val="00626568"/>
    <w:rsid w:val="00632C1C"/>
    <w:rsid w:val="006462CE"/>
    <w:rsid w:val="00671F47"/>
    <w:rsid w:val="00694A8F"/>
    <w:rsid w:val="0071096A"/>
    <w:rsid w:val="00773482"/>
    <w:rsid w:val="00790676"/>
    <w:rsid w:val="007A267C"/>
    <w:rsid w:val="007D799C"/>
    <w:rsid w:val="007E02E1"/>
    <w:rsid w:val="007F4E5E"/>
    <w:rsid w:val="00803F55"/>
    <w:rsid w:val="00806923"/>
    <w:rsid w:val="00807B96"/>
    <w:rsid w:val="00820086"/>
    <w:rsid w:val="00826B8B"/>
    <w:rsid w:val="00841A2B"/>
    <w:rsid w:val="00852188"/>
    <w:rsid w:val="00864BE1"/>
    <w:rsid w:val="00875208"/>
    <w:rsid w:val="008753E4"/>
    <w:rsid w:val="00892664"/>
    <w:rsid w:val="008C341B"/>
    <w:rsid w:val="008C7721"/>
    <w:rsid w:val="008D3165"/>
    <w:rsid w:val="008E04D3"/>
    <w:rsid w:val="008E4710"/>
    <w:rsid w:val="00903C22"/>
    <w:rsid w:val="00905467"/>
    <w:rsid w:val="00906CC2"/>
    <w:rsid w:val="009278B6"/>
    <w:rsid w:val="00956270"/>
    <w:rsid w:val="00976312"/>
    <w:rsid w:val="0098008C"/>
    <w:rsid w:val="009B1A12"/>
    <w:rsid w:val="009E2B23"/>
    <w:rsid w:val="009E7C9A"/>
    <w:rsid w:val="00A256BE"/>
    <w:rsid w:val="00A63EE3"/>
    <w:rsid w:val="00A717E9"/>
    <w:rsid w:val="00AA5FDE"/>
    <w:rsid w:val="00B124CE"/>
    <w:rsid w:val="00B400E9"/>
    <w:rsid w:val="00B577E1"/>
    <w:rsid w:val="00BA6B0D"/>
    <w:rsid w:val="00BC4D5D"/>
    <w:rsid w:val="00BC74CD"/>
    <w:rsid w:val="00BE33CA"/>
    <w:rsid w:val="00BE7CDB"/>
    <w:rsid w:val="00C13BE4"/>
    <w:rsid w:val="00C92E33"/>
    <w:rsid w:val="00CA0DCD"/>
    <w:rsid w:val="00CA3E57"/>
    <w:rsid w:val="00CA75B6"/>
    <w:rsid w:val="00CB2128"/>
    <w:rsid w:val="00CE7B5A"/>
    <w:rsid w:val="00D225C9"/>
    <w:rsid w:val="00D228D8"/>
    <w:rsid w:val="00D52374"/>
    <w:rsid w:val="00D60770"/>
    <w:rsid w:val="00D61030"/>
    <w:rsid w:val="00D6425D"/>
    <w:rsid w:val="00D94107"/>
    <w:rsid w:val="00DB0BAD"/>
    <w:rsid w:val="00DB5D85"/>
    <w:rsid w:val="00DF364A"/>
    <w:rsid w:val="00E05CE7"/>
    <w:rsid w:val="00E074E0"/>
    <w:rsid w:val="00E07A5F"/>
    <w:rsid w:val="00E61A80"/>
    <w:rsid w:val="00E746CB"/>
    <w:rsid w:val="00E7545F"/>
    <w:rsid w:val="00E85A36"/>
    <w:rsid w:val="00E942A7"/>
    <w:rsid w:val="00EB0F64"/>
    <w:rsid w:val="00ED19F1"/>
    <w:rsid w:val="00EE6966"/>
    <w:rsid w:val="00EF1AC7"/>
    <w:rsid w:val="00F0340F"/>
    <w:rsid w:val="00F3598D"/>
    <w:rsid w:val="00F571AA"/>
    <w:rsid w:val="00F944C7"/>
    <w:rsid w:val="00FA311C"/>
    <w:rsid w:val="00FB439C"/>
    <w:rsid w:val="00FB5E7C"/>
    <w:rsid w:val="00FD72D1"/>
    <w:rsid w:val="00FE7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84173F"/>
  <w15:chartTrackingRefBased/>
  <w15:docId w15:val="{9BEBBDD2-F29B-FA47-923A-07373CE62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2664"/>
    <w:rPr>
      <w:rFonts w:ascii="Times New Roman" w:eastAsia="Times New Roman" w:hAnsi="Times New Roman" w:cs="Times New Roman"/>
    </w:rPr>
  </w:style>
  <w:style w:type="paragraph" w:styleId="Heading1">
    <w:name w:val="heading 1"/>
    <w:basedOn w:val="Normal"/>
    <w:next w:val="Normal"/>
    <w:link w:val="Heading1Char"/>
    <w:uiPriority w:val="9"/>
    <w:qFormat/>
    <w:rsid w:val="00892664"/>
    <w:pPr>
      <w:keepNext/>
      <w:keepLines/>
      <w:spacing w:before="400" w:after="120" w:line="276" w:lineRule="auto"/>
      <w:outlineLvl w:val="0"/>
    </w:pPr>
    <w:rPr>
      <w:rFonts w:ascii="Arial" w:eastAsia="Arial" w:hAnsi="Arial" w:cs="Arial"/>
      <w:sz w:val="40"/>
      <w:szCs w:val="40"/>
      <w:lang w:val="en"/>
    </w:rPr>
  </w:style>
  <w:style w:type="paragraph" w:styleId="Heading2">
    <w:name w:val="heading 2"/>
    <w:basedOn w:val="Normal"/>
    <w:next w:val="Normal"/>
    <w:link w:val="Heading2Char"/>
    <w:uiPriority w:val="9"/>
    <w:unhideWhenUsed/>
    <w:qFormat/>
    <w:rsid w:val="00892664"/>
    <w:pPr>
      <w:keepNext/>
      <w:keepLines/>
      <w:spacing w:before="360" w:after="120" w:line="276" w:lineRule="auto"/>
      <w:outlineLvl w:val="1"/>
    </w:pPr>
    <w:rPr>
      <w:rFonts w:ascii="Arial" w:eastAsia="Arial" w:hAnsi="Arial" w:cs="Arial"/>
      <w:sz w:val="32"/>
      <w:szCs w:val="3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2664"/>
    <w:rPr>
      <w:rFonts w:ascii="Arial" w:eastAsia="Arial" w:hAnsi="Arial" w:cs="Arial"/>
      <w:sz w:val="40"/>
      <w:szCs w:val="40"/>
      <w:lang w:val="en"/>
    </w:rPr>
  </w:style>
  <w:style w:type="character" w:customStyle="1" w:styleId="Heading2Char">
    <w:name w:val="Heading 2 Char"/>
    <w:basedOn w:val="DefaultParagraphFont"/>
    <w:link w:val="Heading2"/>
    <w:uiPriority w:val="9"/>
    <w:rsid w:val="00892664"/>
    <w:rPr>
      <w:rFonts w:ascii="Arial" w:eastAsia="Arial" w:hAnsi="Arial" w:cs="Arial"/>
      <w:sz w:val="32"/>
      <w:szCs w:val="32"/>
      <w:lang w:val="en"/>
    </w:rPr>
  </w:style>
  <w:style w:type="character" w:styleId="CommentReference">
    <w:name w:val="annotation reference"/>
    <w:basedOn w:val="DefaultParagraphFont"/>
    <w:uiPriority w:val="99"/>
    <w:semiHidden/>
    <w:unhideWhenUsed/>
    <w:rsid w:val="00892664"/>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4137</Words>
  <Characters>23586</Characters>
  <Application>Microsoft Office Word</Application>
  <DocSecurity>0</DocSecurity>
  <Lines>196</Lines>
  <Paragraphs>55</Paragraphs>
  <ScaleCrop>false</ScaleCrop>
  <Company/>
  <LinksUpToDate>false</LinksUpToDate>
  <CharactersWithSpaces>27668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Romero Villela</dc:creator>
  <cp:keywords/>
  <dc:description/>
  <cp:lastModifiedBy>Pamela Romero Villela</cp:lastModifiedBy>
  <cp:revision>1</cp:revision>
  <dcterms:created xsi:type="dcterms:W3CDTF">2022-08-17T02:14:00Z</dcterms:created>
  <dcterms:modified xsi:type="dcterms:W3CDTF">2022-08-17T02:16:00Z</dcterms:modified>
</cp:coreProperties>
</file>