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PlainTable1"/>
        <w:tblpPr w:leftFromText="141" w:rightFromText="141" w:vertAnchor="text" w:horzAnchor="margin" w:tblpY="890"/>
        <w:tblW w:w="5000" w:type="pct"/>
        <w:tblLook w:val="04A0" w:firstRow="1" w:lastRow="0" w:firstColumn="1" w:lastColumn="0" w:noHBand="0" w:noVBand="1"/>
      </w:tblPr>
      <w:tblGrid>
        <w:gridCol w:w="2738"/>
        <w:gridCol w:w="6890"/>
      </w:tblGrid>
      <w:tr w:rsidR="00B14BD3" w:rsidRPr="00CA7F75" w14:paraId="5C13375B" w14:textId="77777777" w:rsidTr="00CA7F75">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422" w:type="pct"/>
          </w:tcPr>
          <w:p w14:paraId="11611B5C" w14:textId="7E8AC48E" w:rsidR="00054EED" w:rsidRPr="004A47F0" w:rsidRDefault="00C50DB0" w:rsidP="004A47F0">
            <w:pPr>
              <w:spacing w:line="360" w:lineRule="auto"/>
              <w:rPr>
                <w:rFonts w:cstheme="minorHAnsi"/>
                <w:sz w:val="24"/>
                <w:szCs w:val="20"/>
              </w:rPr>
            </w:pPr>
            <w:r w:rsidRPr="004A47F0">
              <w:rPr>
                <w:rFonts w:cstheme="minorHAnsi"/>
                <w:sz w:val="24"/>
                <w:szCs w:val="20"/>
              </w:rPr>
              <w:t>Volume</w:t>
            </w:r>
          </w:p>
        </w:tc>
        <w:tc>
          <w:tcPr>
            <w:tcW w:w="3578" w:type="pct"/>
          </w:tcPr>
          <w:p w14:paraId="55634321" w14:textId="6EFB26B5" w:rsidR="00054EED" w:rsidRPr="004A47F0" w:rsidRDefault="004A47F0" w:rsidP="004A47F0">
            <w:pPr>
              <w:spacing w:line="360"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0"/>
                <w:lang w:val="en-US"/>
              </w:rPr>
            </w:pPr>
            <w:r>
              <w:rPr>
                <w:rFonts w:cstheme="minorHAnsi"/>
                <w:b w:val="0"/>
                <w:bCs w:val="0"/>
                <w:sz w:val="24"/>
                <w:szCs w:val="20"/>
              </w:rPr>
              <w:t>V</w:t>
            </w:r>
            <w:r w:rsidR="00C50DB0" w:rsidRPr="004A47F0">
              <w:rPr>
                <w:rFonts w:cstheme="minorHAnsi"/>
                <w:b w:val="0"/>
                <w:bCs w:val="0"/>
                <w:sz w:val="24"/>
                <w:szCs w:val="20"/>
              </w:rPr>
              <w:t>olume</w:t>
            </w:r>
            <w:r>
              <w:rPr>
                <w:rFonts w:cstheme="minorHAnsi"/>
                <w:b w:val="0"/>
                <w:bCs w:val="0"/>
                <w:sz w:val="24"/>
                <w:szCs w:val="20"/>
              </w:rPr>
              <w:t xml:space="preserve"> of the </w:t>
            </w:r>
            <w:proofErr w:type="spellStart"/>
            <w:r>
              <w:rPr>
                <w:rFonts w:cstheme="minorHAnsi"/>
                <w:b w:val="0"/>
                <w:bCs w:val="0"/>
                <w:sz w:val="24"/>
                <w:szCs w:val="20"/>
              </w:rPr>
              <w:t>tumor</w:t>
            </w:r>
            <w:proofErr w:type="spellEnd"/>
            <w:r>
              <w:rPr>
                <w:rFonts w:cstheme="minorHAnsi"/>
                <w:b w:val="0"/>
                <w:bCs w:val="0"/>
                <w:sz w:val="24"/>
                <w:szCs w:val="20"/>
              </w:rPr>
              <w:t xml:space="preserve"> mass</w:t>
            </w:r>
            <w:r w:rsidR="00C50DB0" w:rsidRPr="004A47F0">
              <w:rPr>
                <w:rFonts w:cstheme="minorHAnsi"/>
                <w:b w:val="0"/>
                <w:bCs w:val="0"/>
                <w:sz w:val="24"/>
                <w:szCs w:val="20"/>
              </w:rPr>
              <w:t xml:space="preserve"> (ml)</w:t>
            </w:r>
          </w:p>
        </w:tc>
      </w:tr>
      <w:tr w:rsidR="00C50DB0" w:rsidRPr="00CA7F75" w14:paraId="422C614D" w14:textId="77777777" w:rsidTr="00CA7F75">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422" w:type="pct"/>
          </w:tcPr>
          <w:p w14:paraId="683F8D40" w14:textId="3F286E7C" w:rsidR="00C50DB0" w:rsidRPr="004A47F0" w:rsidRDefault="00C50DB0" w:rsidP="004A47F0">
            <w:pPr>
              <w:spacing w:line="360" w:lineRule="auto"/>
              <w:rPr>
                <w:rFonts w:cstheme="minorHAnsi"/>
                <w:sz w:val="24"/>
                <w:szCs w:val="20"/>
              </w:rPr>
            </w:pPr>
            <w:r w:rsidRPr="004A47F0">
              <w:rPr>
                <w:rFonts w:cstheme="minorHAnsi"/>
                <w:sz w:val="24"/>
                <w:szCs w:val="20"/>
              </w:rPr>
              <w:t>Sphericity</w:t>
            </w:r>
          </w:p>
        </w:tc>
        <w:tc>
          <w:tcPr>
            <w:tcW w:w="3578" w:type="pct"/>
            <w:vAlign w:val="center"/>
          </w:tcPr>
          <w:p w14:paraId="691ABF5E" w14:textId="1EEB4C48" w:rsidR="00C50DB0" w:rsidRPr="004A47F0" w:rsidRDefault="00C50DB0" w:rsidP="004A47F0">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0"/>
                <w:lang w:val="en-US"/>
              </w:rPr>
            </w:pPr>
            <w:r w:rsidRPr="004A47F0">
              <w:rPr>
                <w:rFonts w:cstheme="minorHAnsi"/>
                <w:sz w:val="24"/>
                <w:szCs w:val="20"/>
              </w:rPr>
              <w:t>Sphericity (= 1-eccentricity) is estimated from the ratio between the volume of the ellipsoid that could describe tumor and the volume of the spheroid. Sphericity (or better, eccentricity) describes how much tumor spread varies in space (i.e. whether or not it prefers one direction over the other). The lower the eccentricity, the greater the probability that the tumor grows in the 3 directions (x-y-z), rather than favouring one.</w:t>
            </w:r>
          </w:p>
        </w:tc>
      </w:tr>
      <w:tr w:rsidR="00B14BD3" w:rsidRPr="00CA7F75" w14:paraId="7A575944" w14:textId="77777777" w:rsidTr="00CA7F75">
        <w:trPr>
          <w:trHeight w:val="113"/>
        </w:trPr>
        <w:tc>
          <w:tcPr>
            <w:cnfStyle w:val="001000000000" w:firstRow="0" w:lastRow="0" w:firstColumn="1" w:lastColumn="0" w:oddVBand="0" w:evenVBand="0" w:oddHBand="0" w:evenHBand="0" w:firstRowFirstColumn="0" w:firstRowLastColumn="0" w:lastRowFirstColumn="0" w:lastRowLastColumn="0"/>
            <w:tcW w:w="1422" w:type="pct"/>
          </w:tcPr>
          <w:p w14:paraId="3B9D8CE2" w14:textId="2D25CC70" w:rsidR="00054EED" w:rsidRPr="004A47F0" w:rsidRDefault="00C50DB0" w:rsidP="004A47F0">
            <w:pPr>
              <w:spacing w:line="360" w:lineRule="auto"/>
              <w:rPr>
                <w:rFonts w:cstheme="minorHAnsi"/>
                <w:sz w:val="24"/>
                <w:szCs w:val="20"/>
              </w:rPr>
            </w:pPr>
            <w:r w:rsidRPr="004A47F0">
              <w:rPr>
                <w:rFonts w:cstheme="minorHAnsi"/>
                <w:sz w:val="24"/>
                <w:szCs w:val="20"/>
              </w:rPr>
              <w:t>Skewness</w:t>
            </w:r>
          </w:p>
        </w:tc>
        <w:tc>
          <w:tcPr>
            <w:tcW w:w="3578" w:type="pct"/>
            <w:vAlign w:val="center"/>
          </w:tcPr>
          <w:p w14:paraId="26327FA3" w14:textId="3408EEA2" w:rsidR="00054EED" w:rsidRPr="004A47F0" w:rsidRDefault="00C50DB0" w:rsidP="004A47F0">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0"/>
                <w:lang w:val="en-US"/>
              </w:rPr>
            </w:pPr>
            <w:r w:rsidRPr="004A47F0">
              <w:rPr>
                <w:rFonts w:cstheme="minorHAnsi"/>
                <w:sz w:val="24"/>
                <w:szCs w:val="20"/>
              </w:rPr>
              <w:t>Skewness refers to the Gaussian asymmetry that defines the histogram of the gray levels of the voxels defining the lesion. Skewness means lesion density.</w:t>
            </w:r>
          </w:p>
        </w:tc>
      </w:tr>
      <w:tr w:rsidR="00B14BD3" w:rsidRPr="00CA7F75" w14:paraId="4A9FB152" w14:textId="77777777" w:rsidTr="00CA7F75">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422" w:type="pct"/>
          </w:tcPr>
          <w:p w14:paraId="303E3869" w14:textId="5A8ADC9D" w:rsidR="00054EED" w:rsidRPr="004A47F0" w:rsidRDefault="00C50DB0" w:rsidP="004A47F0">
            <w:pPr>
              <w:spacing w:line="360" w:lineRule="auto"/>
              <w:rPr>
                <w:rFonts w:cstheme="minorHAnsi"/>
                <w:sz w:val="24"/>
                <w:szCs w:val="20"/>
              </w:rPr>
            </w:pPr>
            <w:r w:rsidRPr="004A47F0">
              <w:rPr>
                <w:rFonts w:cstheme="minorHAnsi"/>
                <w:sz w:val="24"/>
                <w:szCs w:val="20"/>
              </w:rPr>
              <w:t>GLCM – Correlation</w:t>
            </w:r>
          </w:p>
        </w:tc>
        <w:tc>
          <w:tcPr>
            <w:tcW w:w="3578" w:type="pct"/>
            <w:vAlign w:val="center"/>
          </w:tcPr>
          <w:p w14:paraId="5E06EC2F" w14:textId="765908BD" w:rsidR="00054EED" w:rsidRPr="004A47F0" w:rsidRDefault="00C50DB0" w:rsidP="004A47F0">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0"/>
                <w:lang w:val="en-US"/>
              </w:rPr>
            </w:pPr>
            <w:r w:rsidRPr="004A47F0">
              <w:rPr>
                <w:rFonts w:cstheme="minorHAnsi"/>
                <w:sz w:val="24"/>
                <w:szCs w:val="20"/>
              </w:rPr>
              <w:t>The correlation function evaluates the amount of regularity and the fineness/coarseness of the tumor texture. A higher value correlates with a greater irregularity in the neoplastic mass composition.</w:t>
            </w:r>
          </w:p>
        </w:tc>
      </w:tr>
      <w:tr w:rsidR="00EC238F" w:rsidRPr="00CA7F75" w14:paraId="07A74EB3" w14:textId="77777777" w:rsidTr="00CA7F75">
        <w:trPr>
          <w:trHeight w:val="113"/>
        </w:trPr>
        <w:tc>
          <w:tcPr>
            <w:cnfStyle w:val="001000000000" w:firstRow="0" w:lastRow="0" w:firstColumn="1" w:lastColumn="0" w:oddVBand="0" w:evenVBand="0" w:oddHBand="0" w:evenHBand="0" w:firstRowFirstColumn="0" w:firstRowLastColumn="0" w:lastRowFirstColumn="0" w:lastRowLastColumn="0"/>
            <w:tcW w:w="1422" w:type="pct"/>
          </w:tcPr>
          <w:p w14:paraId="282CAA7F" w14:textId="4E81724F" w:rsidR="00EC238F" w:rsidRPr="004A47F0" w:rsidRDefault="00C50DB0" w:rsidP="004A47F0">
            <w:pPr>
              <w:spacing w:line="360" w:lineRule="auto"/>
              <w:rPr>
                <w:rFonts w:cstheme="minorHAnsi"/>
                <w:sz w:val="24"/>
                <w:szCs w:val="20"/>
              </w:rPr>
            </w:pPr>
            <w:r w:rsidRPr="004A47F0">
              <w:rPr>
                <w:rFonts w:cstheme="minorHAnsi"/>
                <w:sz w:val="24"/>
                <w:szCs w:val="20"/>
              </w:rPr>
              <w:t>GLCM – Log</w:t>
            </w:r>
            <w:r w:rsidR="00D44B27" w:rsidRPr="004A47F0">
              <w:rPr>
                <w:rFonts w:cstheme="minorHAnsi"/>
                <w:sz w:val="24"/>
                <w:szCs w:val="20"/>
              </w:rPr>
              <w:t xml:space="preserve"> </w:t>
            </w:r>
            <w:r w:rsidRPr="004A47F0">
              <w:rPr>
                <w:rFonts w:cstheme="minorHAnsi"/>
                <w:sz w:val="24"/>
                <w:szCs w:val="20"/>
              </w:rPr>
              <w:t>(Entropy)</w:t>
            </w:r>
          </w:p>
        </w:tc>
        <w:tc>
          <w:tcPr>
            <w:tcW w:w="3578" w:type="pct"/>
            <w:vAlign w:val="center"/>
          </w:tcPr>
          <w:p w14:paraId="549588A0" w14:textId="614D3EF8" w:rsidR="00EC238F" w:rsidRPr="004A47F0" w:rsidRDefault="00531FC9" w:rsidP="004A47F0">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0"/>
              </w:rPr>
            </w:pPr>
            <w:r w:rsidRPr="004A47F0">
              <w:rPr>
                <w:rFonts w:cstheme="minorHAnsi"/>
                <w:sz w:val="24"/>
                <w:szCs w:val="20"/>
              </w:rPr>
              <w:t>Entropy specifies the uncertainty/randomness in the image values. Entropy refers to tumor lesion heterogeneity</w:t>
            </w:r>
          </w:p>
        </w:tc>
      </w:tr>
      <w:tr w:rsidR="00B14BD3" w:rsidRPr="00CA7F75" w14:paraId="6C28CC93" w14:textId="77777777" w:rsidTr="00CA7F75">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422" w:type="pct"/>
          </w:tcPr>
          <w:p w14:paraId="6B62865B" w14:textId="6BDDF3B3" w:rsidR="00054EED" w:rsidRPr="004A47F0" w:rsidRDefault="00531FC9" w:rsidP="004A47F0">
            <w:pPr>
              <w:spacing w:line="360" w:lineRule="auto"/>
              <w:rPr>
                <w:rFonts w:cstheme="minorHAnsi"/>
                <w:sz w:val="24"/>
                <w:szCs w:val="20"/>
              </w:rPr>
            </w:pPr>
            <w:r w:rsidRPr="004A47F0">
              <w:rPr>
                <w:rFonts w:cstheme="minorHAnsi"/>
                <w:sz w:val="24"/>
                <w:szCs w:val="20"/>
              </w:rPr>
              <w:t>GLCM – Dissimilarity</w:t>
            </w:r>
          </w:p>
        </w:tc>
        <w:tc>
          <w:tcPr>
            <w:tcW w:w="3578" w:type="pct"/>
            <w:vAlign w:val="center"/>
          </w:tcPr>
          <w:p w14:paraId="3DC93CA8" w14:textId="2C18CA68" w:rsidR="00054EED" w:rsidRPr="004A47F0" w:rsidRDefault="00531FC9" w:rsidP="004A47F0">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0"/>
                <w:lang w:val="en-US"/>
              </w:rPr>
            </w:pPr>
            <w:r w:rsidRPr="004A47F0">
              <w:rPr>
                <w:rFonts w:cstheme="minorHAnsi"/>
                <w:sz w:val="24"/>
                <w:szCs w:val="20"/>
              </w:rPr>
              <w:t xml:space="preserve">Dissimilarity is another measure of heterogeneity that places higher weights on differing intensity </w:t>
            </w:r>
            <w:r w:rsidRPr="004A47F0">
              <w:rPr>
                <w:rFonts w:cstheme="minorHAnsi"/>
                <w:sz w:val="24"/>
                <w:szCs w:val="20"/>
                <w:lang w:val="en-US"/>
              </w:rPr>
              <w:t>grey-level</w:t>
            </w:r>
            <w:r w:rsidRPr="004A47F0">
              <w:rPr>
                <w:rFonts w:cstheme="minorHAnsi"/>
                <w:sz w:val="24"/>
                <w:szCs w:val="20"/>
              </w:rPr>
              <w:t xml:space="preserve"> pairs that deviate more from the mean</w:t>
            </w:r>
          </w:p>
        </w:tc>
      </w:tr>
      <w:tr w:rsidR="009455FB" w:rsidRPr="00CA7F75" w14:paraId="048000BE" w14:textId="77777777" w:rsidTr="00CA7F75">
        <w:trPr>
          <w:trHeight w:val="113"/>
        </w:trPr>
        <w:tc>
          <w:tcPr>
            <w:cnfStyle w:val="001000000000" w:firstRow="0" w:lastRow="0" w:firstColumn="1" w:lastColumn="0" w:oddVBand="0" w:evenVBand="0" w:oddHBand="0" w:evenHBand="0" w:firstRowFirstColumn="0" w:firstRowLastColumn="0" w:lastRowFirstColumn="0" w:lastRowLastColumn="0"/>
            <w:tcW w:w="1422" w:type="pct"/>
          </w:tcPr>
          <w:p w14:paraId="743D118B" w14:textId="66DD8672" w:rsidR="009455FB" w:rsidRPr="004A47F0" w:rsidRDefault="00531FC9" w:rsidP="004A47F0">
            <w:pPr>
              <w:spacing w:line="360" w:lineRule="auto"/>
              <w:rPr>
                <w:rFonts w:cstheme="minorHAnsi"/>
                <w:b w:val="0"/>
                <w:bCs w:val="0"/>
                <w:sz w:val="24"/>
                <w:szCs w:val="20"/>
              </w:rPr>
            </w:pPr>
            <w:r w:rsidRPr="004A47F0">
              <w:rPr>
                <w:rFonts w:cstheme="minorHAnsi"/>
                <w:sz w:val="24"/>
                <w:szCs w:val="20"/>
              </w:rPr>
              <w:t>GLRLM – Long-Run Low Gray-Level Emphasis</w:t>
            </w:r>
            <w:r w:rsidR="00102586" w:rsidRPr="004A47F0">
              <w:rPr>
                <w:rFonts w:cstheme="minorHAnsi"/>
                <w:sz w:val="24"/>
                <w:szCs w:val="20"/>
              </w:rPr>
              <w:t xml:space="preserve"> </w:t>
            </w:r>
            <w:r w:rsidRPr="004A47F0">
              <w:rPr>
                <w:rFonts w:cstheme="minorHAnsi"/>
                <w:sz w:val="24"/>
                <w:szCs w:val="20"/>
              </w:rPr>
              <w:t>(LRLGE)</w:t>
            </w:r>
          </w:p>
        </w:tc>
        <w:tc>
          <w:tcPr>
            <w:tcW w:w="3578" w:type="pct"/>
            <w:vAlign w:val="center"/>
          </w:tcPr>
          <w:p w14:paraId="65D7024C" w14:textId="53FFEBB0" w:rsidR="009455FB" w:rsidRPr="004A47F0" w:rsidRDefault="00531FC9" w:rsidP="004A47F0">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0"/>
              </w:rPr>
            </w:pPr>
            <w:r w:rsidRPr="004A47F0">
              <w:rPr>
                <w:rFonts w:cstheme="minorHAnsi"/>
                <w:sz w:val="24"/>
                <w:szCs w:val="20"/>
              </w:rPr>
              <w:t>Long-Run Low Gray-Level Emphasis measures the joint distribution of long run lengths with lower gray-level values.</w:t>
            </w:r>
          </w:p>
        </w:tc>
      </w:tr>
      <w:tr w:rsidR="00B14BD3" w:rsidRPr="00CA7F75" w14:paraId="56BEC1FD" w14:textId="77777777" w:rsidTr="00CA7F75">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422" w:type="pct"/>
          </w:tcPr>
          <w:p w14:paraId="3DA9386A" w14:textId="5DD8057D" w:rsidR="00054EED" w:rsidRPr="004A47F0" w:rsidRDefault="00531FC9" w:rsidP="004A47F0">
            <w:pPr>
              <w:spacing w:line="360" w:lineRule="auto"/>
              <w:rPr>
                <w:rFonts w:cstheme="minorHAnsi"/>
                <w:b w:val="0"/>
                <w:bCs w:val="0"/>
                <w:sz w:val="24"/>
                <w:szCs w:val="20"/>
              </w:rPr>
            </w:pPr>
            <w:r w:rsidRPr="004A47F0">
              <w:rPr>
                <w:rFonts w:cstheme="minorHAnsi"/>
                <w:sz w:val="24"/>
                <w:szCs w:val="20"/>
              </w:rPr>
              <w:t>Coarseness</w:t>
            </w:r>
          </w:p>
        </w:tc>
        <w:tc>
          <w:tcPr>
            <w:tcW w:w="3578" w:type="pct"/>
            <w:vAlign w:val="center"/>
          </w:tcPr>
          <w:p w14:paraId="1FE6079C" w14:textId="402F8E49" w:rsidR="00054EED" w:rsidRPr="004A47F0" w:rsidRDefault="00531FC9" w:rsidP="004A47F0">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0"/>
                <w:lang w:val="en-US"/>
              </w:rPr>
            </w:pPr>
            <w:r w:rsidRPr="004A47F0">
              <w:rPr>
                <w:rFonts w:cstheme="minorHAnsi"/>
                <w:sz w:val="24"/>
                <w:szCs w:val="20"/>
                <w:lang w:val="en-US"/>
              </w:rPr>
              <w:t xml:space="preserve">Coarseness is a measure of average difference between the center voxel and its </w:t>
            </w:r>
            <w:r w:rsidR="00343B55" w:rsidRPr="004A47F0">
              <w:rPr>
                <w:rFonts w:cstheme="minorHAnsi"/>
                <w:sz w:val="24"/>
                <w:szCs w:val="20"/>
                <w:lang w:val="en-US"/>
              </w:rPr>
              <w:t>neighborhood</w:t>
            </w:r>
            <w:r w:rsidRPr="004A47F0">
              <w:rPr>
                <w:rFonts w:cstheme="minorHAnsi"/>
                <w:sz w:val="24"/>
                <w:szCs w:val="20"/>
                <w:lang w:val="en-US"/>
              </w:rPr>
              <w:t xml:space="preserve"> and is an indication of the spatial rate of change. A higher value indicates a lower spatial change rate and a locally more uniform texture.</w:t>
            </w:r>
          </w:p>
        </w:tc>
      </w:tr>
    </w:tbl>
    <w:p w14:paraId="6F24EA56" w14:textId="33F1B8C5" w:rsidR="00C70FEB" w:rsidRPr="00CA7F75" w:rsidRDefault="00343B55">
      <w:pPr>
        <w:rPr>
          <w:rFonts w:cstheme="minorHAnsi"/>
          <w:b/>
          <w:bCs/>
        </w:rPr>
      </w:pPr>
      <w:bookmarkStart w:id="0" w:name="_GoBack"/>
      <w:r w:rsidRPr="00CA7F75">
        <w:rPr>
          <w:rFonts w:cstheme="minorHAnsi"/>
          <w:b/>
          <w:bCs/>
        </w:rPr>
        <w:t xml:space="preserve">Supplementary </w:t>
      </w:r>
      <w:r w:rsidR="00B14BD3" w:rsidRPr="00CA7F75">
        <w:rPr>
          <w:rFonts w:cstheme="minorHAnsi"/>
          <w:b/>
          <w:bCs/>
        </w:rPr>
        <w:t xml:space="preserve">Table 1. </w:t>
      </w:r>
      <w:r w:rsidR="00494E1D" w:rsidRPr="00CA7F75">
        <w:rPr>
          <w:rFonts w:cstheme="minorHAnsi"/>
          <w:b/>
          <w:bCs/>
        </w:rPr>
        <w:t>R</w:t>
      </w:r>
      <w:r w:rsidR="00B14BD3" w:rsidRPr="00CA7F75">
        <w:rPr>
          <w:rFonts w:cstheme="minorHAnsi"/>
          <w:b/>
          <w:bCs/>
        </w:rPr>
        <w:t>adiomic features</w:t>
      </w:r>
      <w:r w:rsidR="00494E1D" w:rsidRPr="00CA7F75">
        <w:rPr>
          <w:rFonts w:cstheme="minorHAnsi"/>
          <w:b/>
          <w:bCs/>
        </w:rPr>
        <w:t xml:space="preserve"> evaluated in the study</w:t>
      </w:r>
      <w:bookmarkEnd w:id="0"/>
    </w:p>
    <w:p w14:paraId="427C6D4C" w14:textId="2F782CFB" w:rsidR="00E6497E" w:rsidRDefault="00E6497E">
      <w:pPr>
        <w:rPr>
          <w:rFonts w:cstheme="minorHAnsi"/>
          <w:sz w:val="18"/>
          <w:szCs w:val="18"/>
          <w:lang w:val="en-US"/>
        </w:rPr>
      </w:pPr>
    </w:p>
    <w:p w14:paraId="306277BF" w14:textId="77777777" w:rsidR="00CA7F75" w:rsidRPr="00CA7F75" w:rsidRDefault="00CA7F75">
      <w:pPr>
        <w:rPr>
          <w:rFonts w:cstheme="minorHAnsi"/>
          <w:sz w:val="20"/>
          <w:szCs w:val="20"/>
          <w:lang w:val="en-US"/>
        </w:rPr>
      </w:pPr>
    </w:p>
    <w:p w14:paraId="72B4290C" w14:textId="2D3B9245" w:rsidR="00533F6C" w:rsidRPr="00CA7F75" w:rsidRDefault="00531FC9">
      <w:pPr>
        <w:rPr>
          <w:rFonts w:cstheme="minorHAnsi"/>
          <w:lang w:val="en-US"/>
        </w:rPr>
      </w:pPr>
      <w:r w:rsidRPr="00CA7F75">
        <w:rPr>
          <w:rFonts w:cstheme="minorHAnsi"/>
          <w:lang w:val="en-US"/>
        </w:rPr>
        <w:t>Abbreviations:</w:t>
      </w:r>
      <w:r w:rsidR="00E6497E" w:rsidRPr="00CA7F75">
        <w:rPr>
          <w:rFonts w:cstheme="minorHAnsi"/>
          <w:lang w:val="en-US"/>
        </w:rPr>
        <w:t xml:space="preserve"> ml, milliliters; GLCM, Gray Level Co-occurrence Matrix; GLRLM, Gray Level Run Length Matrix.</w:t>
      </w:r>
    </w:p>
    <w:sectPr w:rsidR="00533F6C" w:rsidRPr="00CA7F75" w:rsidSect="002E71E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283"/>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517"/>
    <w:rsid w:val="00023798"/>
    <w:rsid w:val="00054EED"/>
    <w:rsid w:val="000D6517"/>
    <w:rsid w:val="00102586"/>
    <w:rsid w:val="002E71E2"/>
    <w:rsid w:val="00343B55"/>
    <w:rsid w:val="00406B3C"/>
    <w:rsid w:val="00494E1D"/>
    <w:rsid w:val="004A47F0"/>
    <w:rsid w:val="00531FC9"/>
    <w:rsid w:val="00533F6C"/>
    <w:rsid w:val="008414BC"/>
    <w:rsid w:val="00864287"/>
    <w:rsid w:val="008F75FA"/>
    <w:rsid w:val="009455FB"/>
    <w:rsid w:val="00AC6F0D"/>
    <w:rsid w:val="00B14BD3"/>
    <w:rsid w:val="00C50DB0"/>
    <w:rsid w:val="00C70FEB"/>
    <w:rsid w:val="00CA7F75"/>
    <w:rsid w:val="00D44B27"/>
    <w:rsid w:val="00D639D1"/>
    <w:rsid w:val="00E6497E"/>
    <w:rsid w:val="00EC238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BB5C7"/>
  <w15:chartTrackingRefBased/>
  <w15:docId w15:val="{336DD3B2-1588-497D-897F-4F6559022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4EE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3">
    <w:name w:val="Plain Table 3"/>
    <w:basedOn w:val="TableNormal"/>
    <w:uiPriority w:val="43"/>
    <w:rsid w:val="00054EE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Spacing">
    <w:name w:val="No Spacing"/>
    <w:uiPriority w:val="99"/>
    <w:unhideWhenUsed/>
    <w:qFormat/>
    <w:rsid w:val="00054EED"/>
    <w:pPr>
      <w:spacing w:after="0" w:line="240" w:lineRule="auto"/>
    </w:pPr>
    <w:rPr>
      <w:rFonts w:ascii="Times New Roman" w:hAnsi="Times New Roman"/>
      <w:sz w:val="24"/>
      <w:lang w:val="en-US"/>
    </w:rPr>
  </w:style>
  <w:style w:type="table" w:styleId="PlainTable1">
    <w:name w:val="Plain Table 1"/>
    <w:basedOn w:val="TableNormal"/>
    <w:uiPriority w:val="41"/>
    <w:rsid w:val="00054EE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EC23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38F"/>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1256602">
      <w:bodyDiv w:val="1"/>
      <w:marLeft w:val="0"/>
      <w:marRight w:val="0"/>
      <w:marTop w:val="0"/>
      <w:marBottom w:val="0"/>
      <w:divBdr>
        <w:top w:val="none" w:sz="0" w:space="0" w:color="auto"/>
        <w:left w:val="none" w:sz="0" w:space="0" w:color="auto"/>
        <w:bottom w:val="none" w:sz="0" w:space="0" w:color="auto"/>
        <w:right w:val="none" w:sz="0" w:space="0" w:color="auto"/>
      </w:divBdr>
    </w:div>
    <w:div w:id="1060010105">
      <w:bodyDiv w:val="1"/>
      <w:marLeft w:val="0"/>
      <w:marRight w:val="0"/>
      <w:marTop w:val="0"/>
      <w:marBottom w:val="0"/>
      <w:divBdr>
        <w:top w:val="none" w:sz="0" w:space="0" w:color="auto"/>
        <w:left w:val="none" w:sz="0" w:space="0" w:color="auto"/>
        <w:bottom w:val="none" w:sz="0" w:space="0" w:color="auto"/>
        <w:right w:val="none" w:sz="0" w:space="0" w:color="auto"/>
      </w:divBdr>
    </w:div>
    <w:div w:id="125496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261</Words>
  <Characters>1494</Characters>
  <Application>Microsoft Office Word</Application>
  <DocSecurity>0</DocSecurity>
  <Lines>12</Lines>
  <Paragraphs>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Cucchiara</dc:creator>
  <cp:keywords/>
  <dc:description/>
  <cp:lastModifiedBy>Romano Danesi</cp:lastModifiedBy>
  <cp:revision>8</cp:revision>
  <dcterms:created xsi:type="dcterms:W3CDTF">2021-05-24T09:46:00Z</dcterms:created>
  <dcterms:modified xsi:type="dcterms:W3CDTF">2022-08-19T10:37:00Z</dcterms:modified>
</cp:coreProperties>
</file>