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218B" w14:textId="77777777" w:rsidR="004447A8" w:rsidRPr="0067360B" w:rsidRDefault="00232831" w:rsidP="004447A8">
      <w:pPr>
        <w:spacing w:line="36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  <w:r w:rsidRPr="0067360B">
        <w:rPr>
          <w:rFonts w:ascii="Arial" w:hAnsi="Arial" w:cs="Arial"/>
          <w:b/>
          <w:bCs/>
        </w:rPr>
        <w:t xml:space="preserve">Supplementary Information for: </w:t>
      </w:r>
      <w:r w:rsidR="004447A8" w:rsidRPr="0067360B">
        <w:rPr>
          <w:rFonts w:ascii="Arial" w:eastAsia="Calibri" w:hAnsi="Arial" w:cs="Arial"/>
          <w:b/>
          <w:bCs/>
          <w:color w:val="000000" w:themeColor="text1"/>
        </w:rPr>
        <w:t>Characterizing the landscape of viral expression in cancer by deep learning</w:t>
      </w:r>
    </w:p>
    <w:p w14:paraId="045C40D3" w14:textId="5DB6B034" w:rsidR="00232831" w:rsidRPr="0067360B" w:rsidRDefault="00232831">
      <w:pPr>
        <w:rPr>
          <w:rFonts w:ascii="Arial" w:hAnsi="Arial" w:cs="Arial"/>
          <w:b/>
          <w:bCs/>
        </w:rPr>
      </w:pPr>
    </w:p>
    <w:p w14:paraId="0079AE73" w14:textId="77777777" w:rsidR="00232831" w:rsidRPr="0067360B" w:rsidRDefault="00232831">
      <w:pPr>
        <w:rPr>
          <w:rFonts w:ascii="Arial" w:hAnsi="Arial" w:cs="Arial"/>
          <w:b/>
          <w:bCs/>
        </w:rPr>
      </w:pPr>
    </w:p>
    <w:p w14:paraId="20E43C20" w14:textId="680AE0BA" w:rsidR="00CB7C5C" w:rsidRPr="0067360B" w:rsidRDefault="00CB7C5C">
      <w:pPr>
        <w:rPr>
          <w:rFonts w:ascii="Arial" w:hAnsi="Arial" w:cs="Arial"/>
          <w:b/>
          <w:bCs/>
        </w:rPr>
      </w:pPr>
      <w:r w:rsidRPr="0067360B">
        <w:rPr>
          <w:rFonts w:ascii="Arial" w:hAnsi="Arial" w:cs="Arial"/>
          <w:b/>
          <w:bCs/>
        </w:rPr>
        <w:t>Supplementary Tables</w:t>
      </w:r>
    </w:p>
    <w:p w14:paraId="21AAEBC6" w14:textId="77777777" w:rsidR="00CB7C5C" w:rsidRPr="0067360B" w:rsidRDefault="00CB7C5C">
      <w:pPr>
        <w:rPr>
          <w:rFonts w:ascii="Arial" w:hAnsi="Arial" w:cs="Arial"/>
        </w:rPr>
      </w:pPr>
    </w:p>
    <w:p w14:paraId="1474A0F2" w14:textId="709F0688" w:rsidR="00EE70B4" w:rsidRPr="0067360B" w:rsidRDefault="00CB7C5C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FE4564" w:rsidRPr="0067360B">
        <w:rPr>
          <w:rFonts w:ascii="Arial" w:hAnsi="Arial" w:cs="Arial"/>
          <w:b/>
          <w:bCs/>
        </w:rPr>
        <w:t>1</w:t>
      </w:r>
      <w:r w:rsidR="00B36C60" w:rsidRPr="0067360B">
        <w:rPr>
          <w:rFonts w:ascii="Arial" w:hAnsi="Arial" w:cs="Arial"/>
          <w:b/>
          <w:bCs/>
        </w:rPr>
        <w:t>.</w:t>
      </w:r>
      <w:r w:rsidR="00FE4564" w:rsidRPr="0067360B">
        <w:rPr>
          <w:rFonts w:ascii="Arial" w:hAnsi="Arial" w:cs="Arial"/>
        </w:rPr>
        <w:t xml:space="preserve"> </w:t>
      </w:r>
      <w:r w:rsidR="007B186C" w:rsidRPr="0067360B">
        <w:rPr>
          <w:rFonts w:ascii="Arial" w:hAnsi="Arial" w:cs="Arial"/>
        </w:rPr>
        <w:t>A</w:t>
      </w:r>
      <w:r w:rsidR="00FE4564" w:rsidRPr="0067360B">
        <w:rPr>
          <w:rFonts w:ascii="Arial" w:hAnsi="Arial" w:cs="Arial"/>
        </w:rPr>
        <w:t>verage model scores assigned to different human viruses</w:t>
      </w:r>
      <w:r w:rsidR="00CC47B1" w:rsidRPr="0067360B">
        <w:rPr>
          <w:rFonts w:ascii="Arial" w:hAnsi="Arial" w:cs="Arial"/>
        </w:rPr>
        <w:t xml:space="preserve"> plotted in Figure 1d. </w:t>
      </w:r>
      <w:r w:rsidR="00250D5A" w:rsidRPr="0067360B">
        <w:rPr>
          <w:rFonts w:ascii="Arial" w:hAnsi="Arial" w:cs="Arial"/>
        </w:rPr>
        <w:t>M</w:t>
      </w:r>
      <w:r w:rsidR="00CC47B1" w:rsidRPr="0067360B">
        <w:rPr>
          <w:rFonts w:ascii="Arial" w:hAnsi="Arial" w:cs="Arial"/>
        </w:rPr>
        <w:t xml:space="preserve">odel scores were averaged across all 48 bp segments </w:t>
      </w:r>
      <w:r w:rsidR="00AC5CA8" w:rsidRPr="0067360B">
        <w:rPr>
          <w:rFonts w:ascii="Arial" w:hAnsi="Arial" w:cs="Arial"/>
        </w:rPr>
        <w:t>for</w:t>
      </w:r>
      <w:r w:rsidR="00CC47B1" w:rsidRPr="0067360B">
        <w:rPr>
          <w:rFonts w:ascii="Arial" w:hAnsi="Arial" w:cs="Arial"/>
        </w:rPr>
        <w:t xml:space="preserve"> each virus</w:t>
      </w:r>
      <w:r w:rsidR="00EE548C" w:rsidRPr="0067360B">
        <w:rPr>
          <w:rFonts w:ascii="Arial" w:hAnsi="Arial" w:cs="Arial"/>
        </w:rPr>
        <w:t xml:space="preserve">, </w:t>
      </w:r>
      <w:r w:rsidR="00CC47B1" w:rsidRPr="0067360B">
        <w:rPr>
          <w:rFonts w:ascii="Arial" w:hAnsi="Arial" w:cs="Arial"/>
        </w:rPr>
        <w:t xml:space="preserve">using </w:t>
      </w:r>
      <w:r w:rsidR="00CC47B1" w:rsidRPr="0067360B">
        <w:rPr>
          <w:rFonts w:ascii="Arial" w:eastAsia="Calibri" w:hAnsi="Arial" w:cs="Arial"/>
          <w:color w:val="000000" w:themeColor="text1"/>
        </w:rPr>
        <w:t>2bp window size</w:t>
      </w:r>
      <w:r w:rsidR="00EE548C" w:rsidRPr="0067360B">
        <w:rPr>
          <w:rFonts w:ascii="Arial" w:eastAsia="Calibri" w:hAnsi="Arial" w:cs="Arial"/>
          <w:color w:val="000000" w:themeColor="text1"/>
        </w:rPr>
        <w:t>.</w:t>
      </w:r>
    </w:p>
    <w:p w14:paraId="4FFEEF17" w14:textId="77777777" w:rsidR="00CB7C5C" w:rsidRPr="0067360B" w:rsidRDefault="00CB7C5C">
      <w:pPr>
        <w:rPr>
          <w:rFonts w:ascii="Arial" w:hAnsi="Arial" w:cs="Arial"/>
        </w:rPr>
      </w:pPr>
    </w:p>
    <w:p w14:paraId="32B39CBA" w14:textId="703E19AC" w:rsidR="004620E7" w:rsidRPr="0067360B" w:rsidRDefault="00CB7C5C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B36C60" w:rsidRPr="0067360B">
        <w:rPr>
          <w:rFonts w:ascii="Arial" w:hAnsi="Arial" w:cs="Arial"/>
          <w:b/>
          <w:bCs/>
        </w:rPr>
        <w:t>2</w:t>
      </w:r>
      <w:r w:rsidR="00F90252" w:rsidRPr="0067360B">
        <w:rPr>
          <w:rFonts w:ascii="Arial" w:hAnsi="Arial" w:cs="Arial"/>
          <w:b/>
          <w:bCs/>
        </w:rPr>
        <w:t>.</w:t>
      </w:r>
      <w:r w:rsidR="008574B5" w:rsidRPr="0067360B">
        <w:rPr>
          <w:rFonts w:ascii="Arial" w:hAnsi="Arial" w:cs="Arial"/>
        </w:rPr>
        <w:t xml:space="preserve"> </w:t>
      </w:r>
      <w:r w:rsidR="00C32B31" w:rsidRPr="0067360B">
        <w:rPr>
          <w:rFonts w:ascii="Arial" w:hAnsi="Arial" w:cs="Arial"/>
        </w:rPr>
        <w:t>TCGA sample</w:t>
      </w:r>
      <w:r w:rsidR="00C74C25" w:rsidRPr="0067360B">
        <w:rPr>
          <w:rFonts w:ascii="Arial" w:hAnsi="Arial" w:cs="Arial"/>
        </w:rPr>
        <w:t xml:space="preserve"> information of 7272 samples</w:t>
      </w:r>
      <w:r w:rsidR="00C32B31" w:rsidRPr="0067360B">
        <w:rPr>
          <w:rFonts w:ascii="Arial" w:hAnsi="Arial" w:cs="Arial"/>
        </w:rPr>
        <w:t xml:space="preserve"> from 14 cancer types used throughout this study</w:t>
      </w:r>
    </w:p>
    <w:p w14:paraId="34B33281" w14:textId="77777777" w:rsidR="00CB7C5C" w:rsidRPr="0067360B" w:rsidRDefault="00CB7C5C">
      <w:pPr>
        <w:rPr>
          <w:rFonts w:ascii="Arial" w:hAnsi="Arial" w:cs="Arial"/>
        </w:rPr>
      </w:pPr>
    </w:p>
    <w:p w14:paraId="0F1885FE" w14:textId="6F82D40D" w:rsidR="007052F0" w:rsidRPr="0067360B" w:rsidRDefault="00CB7C5C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7052F0" w:rsidRPr="0067360B">
        <w:rPr>
          <w:rFonts w:ascii="Arial" w:hAnsi="Arial" w:cs="Arial"/>
          <w:b/>
          <w:bCs/>
        </w:rPr>
        <w:t>3</w:t>
      </w:r>
      <w:r w:rsidR="00B36C60" w:rsidRPr="0067360B">
        <w:rPr>
          <w:rFonts w:ascii="Arial" w:hAnsi="Arial" w:cs="Arial"/>
          <w:b/>
          <w:bCs/>
        </w:rPr>
        <w:t>.</w:t>
      </w:r>
      <w:r w:rsidR="007052F0" w:rsidRPr="0067360B">
        <w:rPr>
          <w:rFonts w:ascii="Arial" w:hAnsi="Arial" w:cs="Arial"/>
        </w:rPr>
        <w:t xml:space="preserve"> </w:t>
      </w:r>
      <w:proofErr w:type="spellStart"/>
      <w:r w:rsidR="007052F0" w:rsidRPr="0067360B">
        <w:rPr>
          <w:rFonts w:ascii="Arial" w:hAnsi="Arial" w:cs="Arial"/>
        </w:rPr>
        <w:t>Ref</w:t>
      </w:r>
      <w:r w:rsidR="004E48FE" w:rsidRPr="0067360B">
        <w:rPr>
          <w:rFonts w:ascii="Arial" w:hAnsi="Arial" w:cs="Arial"/>
        </w:rPr>
        <w:t>Seq</w:t>
      </w:r>
      <w:proofErr w:type="spellEnd"/>
      <w:r w:rsidR="007052F0" w:rsidRPr="0067360B">
        <w:rPr>
          <w:rFonts w:ascii="Arial" w:hAnsi="Arial" w:cs="Arial"/>
        </w:rPr>
        <w:t xml:space="preserve"> viruses identified in </w:t>
      </w:r>
      <w:r w:rsidR="00C74C25" w:rsidRPr="0067360B">
        <w:rPr>
          <w:rFonts w:ascii="Arial" w:hAnsi="Arial" w:cs="Arial"/>
        </w:rPr>
        <w:t xml:space="preserve">7272 </w:t>
      </w:r>
      <w:r w:rsidR="007052F0" w:rsidRPr="0067360B">
        <w:rPr>
          <w:rFonts w:ascii="Arial" w:hAnsi="Arial" w:cs="Arial"/>
        </w:rPr>
        <w:t>TCGA samples from 14 cancer type</w:t>
      </w:r>
      <w:r w:rsidR="00116A16" w:rsidRPr="0067360B">
        <w:rPr>
          <w:rFonts w:ascii="Arial" w:hAnsi="Arial" w:cs="Arial"/>
        </w:rPr>
        <w:t>s</w:t>
      </w:r>
      <w:r w:rsidR="00C74C25" w:rsidRPr="0067360B">
        <w:rPr>
          <w:rFonts w:ascii="Arial" w:hAnsi="Arial" w:cs="Arial"/>
        </w:rPr>
        <w:t>, together with tumor mutation burden (TMB), chromosome level copy number alterations (CNA) overall survival time and death (</w:t>
      </w:r>
      <w:r w:rsidR="00050A7F" w:rsidRPr="0067360B">
        <w:rPr>
          <w:rFonts w:ascii="Arial" w:hAnsi="Arial" w:cs="Arial"/>
        </w:rPr>
        <w:t>0=</w:t>
      </w:r>
      <w:r w:rsidR="00C74C25" w:rsidRPr="0067360B">
        <w:rPr>
          <w:rFonts w:ascii="Arial" w:hAnsi="Arial" w:cs="Arial"/>
        </w:rPr>
        <w:t xml:space="preserve">survival, </w:t>
      </w:r>
      <w:r w:rsidR="00050A7F" w:rsidRPr="0067360B">
        <w:rPr>
          <w:rFonts w:ascii="Arial" w:hAnsi="Arial" w:cs="Arial"/>
        </w:rPr>
        <w:t>1=</w:t>
      </w:r>
      <w:r w:rsidR="00C74C25" w:rsidRPr="0067360B">
        <w:rPr>
          <w:rFonts w:ascii="Arial" w:hAnsi="Arial" w:cs="Arial"/>
        </w:rPr>
        <w:t xml:space="preserve">death) for each TCGA sample considered in this study. </w:t>
      </w:r>
    </w:p>
    <w:p w14:paraId="4B22F19F" w14:textId="77777777" w:rsidR="00CB7C5C" w:rsidRPr="0067360B" w:rsidRDefault="00CB7C5C">
      <w:pPr>
        <w:rPr>
          <w:rFonts w:ascii="Arial" w:hAnsi="Arial" w:cs="Arial"/>
        </w:rPr>
      </w:pPr>
    </w:p>
    <w:p w14:paraId="41C0D804" w14:textId="5CC81F0D" w:rsidR="00CC01E3" w:rsidRPr="0067360B" w:rsidRDefault="00CB7C5C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CC01E3" w:rsidRPr="0067360B">
        <w:rPr>
          <w:rFonts w:ascii="Arial" w:hAnsi="Arial" w:cs="Arial"/>
          <w:b/>
          <w:bCs/>
        </w:rPr>
        <w:t>4</w:t>
      </w:r>
      <w:r w:rsidR="00B36C60" w:rsidRPr="0067360B">
        <w:rPr>
          <w:rFonts w:ascii="Arial" w:hAnsi="Arial" w:cs="Arial"/>
          <w:b/>
          <w:bCs/>
        </w:rPr>
        <w:t>.</w:t>
      </w:r>
      <w:r w:rsidR="00CC01E3" w:rsidRPr="0067360B">
        <w:rPr>
          <w:rFonts w:ascii="Arial" w:hAnsi="Arial" w:cs="Arial"/>
        </w:rPr>
        <w:t xml:space="preserve"> Human endogenous viruses identified in</w:t>
      </w:r>
      <w:r w:rsidR="006D4AE4" w:rsidRPr="0067360B">
        <w:rPr>
          <w:rFonts w:ascii="Arial" w:hAnsi="Arial" w:cs="Arial"/>
        </w:rPr>
        <w:t xml:space="preserve"> 7272</w:t>
      </w:r>
      <w:r w:rsidR="00CC01E3" w:rsidRPr="0067360B">
        <w:rPr>
          <w:rFonts w:ascii="Arial" w:hAnsi="Arial" w:cs="Arial"/>
        </w:rPr>
        <w:t xml:space="preserve"> TCGA samples from 14 cancer type</w:t>
      </w:r>
      <w:r w:rsidR="004E48FE" w:rsidRPr="0067360B">
        <w:rPr>
          <w:rFonts w:ascii="Arial" w:hAnsi="Arial" w:cs="Arial"/>
        </w:rPr>
        <w:t>s</w:t>
      </w:r>
      <w:r w:rsidR="006D4AE4" w:rsidRPr="0067360B">
        <w:rPr>
          <w:rFonts w:ascii="Arial" w:hAnsi="Arial" w:cs="Arial"/>
        </w:rPr>
        <w:t xml:space="preserve">. The ERV identifier can be mapped </w:t>
      </w:r>
      <w:r w:rsidR="001D1808" w:rsidRPr="0067360B">
        <w:rPr>
          <w:rFonts w:ascii="Arial" w:hAnsi="Arial" w:cs="Arial"/>
        </w:rPr>
        <w:t xml:space="preserve">via Supplementary Table 5 </w:t>
      </w:r>
      <w:r w:rsidR="006D4AE4" w:rsidRPr="0067360B">
        <w:rPr>
          <w:rFonts w:ascii="Arial" w:hAnsi="Arial" w:cs="Arial"/>
        </w:rPr>
        <w:t xml:space="preserve">to </w:t>
      </w:r>
      <w:r w:rsidR="001D1808" w:rsidRPr="0067360B">
        <w:rPr>
          <w:rFonts w:ascii="Arial" w:hAnsi="Arial" w:cs="Arial"/>
        </w:rPr>
        <w:t xml:space="preserve">the </w:t>
      </w:r>
      <w:r w:rsidR="006D4AE4" w:rsidRPr="0067360B">
        <w:rPr>
          <w:rFonts w:ascii="Arial" w:hAnsi="Arial" w:cs="Arial"/>
        </w:rPr>
        <w:t xml:space="preserve">hg19 genomic </w:t>
      </w:r>
      <w:r w:rsidR="001D1808" w:rsidRPr="0067360B">
        <w:rPr>
          <w:rFonts w:ascii="Arial" w:hAnsi="Arial" w:cs="Arial"/>
        </w:rPr>
        <w:t>interval that contains the ERV</w:t>
      </w:r>
      <w:r w:rsidR="006D4AE4" w:rsidRPr="0067360B">
        <w:rPr>
          <w:rFonts w:ascii="Arial" w:hAnsi="Arial" w:cs="Arial"/>
        </w:rPr>
        <w:t xml:space="preserve">. </w:t>
      </w:r>
    </w:p>
    <w:p w14:paraId="6ED3A346" w14:textId="77777777" w:rsidR="00CB7C5C" w:rsidRPr="0067360B" w:rsidRDefault="00CB7C5C">
      <w:pPr>
        <w:rPr>
          <w:rFonts w:ascii="Arial" w:hAnsi="Arial" w:cs="Arial"/>
        </w:rPr>
      </w:pPr>
    </w:p>
    <w:p w14:paraId="60D7DE85" w14:textId="48D125BB" w:rsidR="00E842EB" w:rsidRPr="0067360B" w:rsidRDefault="00CB7C5C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E842EB" w:rsidRPr="0067360B">
        <w:rPr>
          <w:rFonts w:ascii="Arial" w:hAnsi="Arial" w:cs="Arial"/>
          <w:b/>
          <w:bCs/>
        </w:rPr>
        <w:t>5</w:t>
      </w:r>
      <w:r w:rsidR="00B36C60" w:rsidRPr="0067360B">
        <w:rPr>
          <w:rFonts w:ascii="Arial" w:hAnsi="Arial" w:cs="Arial"/>
          <w:b/>
          <w:bCs/>
        </w:rPr>
        <w:t>.</w:t>
      </w:r>
      <w:r w:rsidR="00395C60" w:rsidRPr="0067360B">
        <w:rPr>
          <w:rFonts w:ascii="Arial" w:hAnsi="Arial" w:cs="Arial"/>
        </w:rPr>
        <w:t xml:space="preserve"> Intact</w:t>
      </w:r>
      <w:r w:rsidR="009D1093" w:rsidRPr="0067360B">
        <w:rPr>
          <w:rFonts w:ascii="Arial" w:hAnsi="Arial" w:cs="Arial"/>
        </w:rPr>
        <w:t xml:space="preserve"> retroviral genes, chromosomal location</w:t>
      </w:r>
      <w:r w:rsidR="001D1808" w:rsidRPr="0067360B">
        <w:rPr>
          <w:rFonts w:ascii="Arial" w:hAnsi="Arial" w:cs="Arial"/>
        </w:rPr>
        <w:t xml:space="preserve"> (hg19 assembly)</w:t>
      </w:r>
      <w:r w:rsidR="009D1093" w:rsidRPr="0067360B">
        <w:rPr>
          <w:rFonts w:ascii="Arial" w:hAnsi="Arial" w:cs="Arial"/>
        </w:rPr>
        <w:t xml:space="preserve"> and human gene and </w:t>
      </w:r>
      <w:r w:rsidR="004E48FE" w:rsidRPr="0067360B">
        <w:rPr>
          <w:rFonts w:ascii="Arial" w:hAnsi="Arial" w:cs="Arial"/>
        </w:rPr>
        <w:t xml:space="preserve">distance </w:t>
      </w:r>
      <w:r w:rsidR="00743F3A" w:rsidRPr="0067360B">
        <w:rPr>
          <w:rFonts w:ascii="Arial" w:hAnsi="Arial" w:cs="Arial"/>
        </w:rPr>
        <w:t>(measured as minimum between the number of bp from the start and end of each gene</w:t>
      </w:r>
      <w:r w:rsidR="00D16D2F" w:rsidRPr="0067360B">
        <w:rPr>
          <w:rFonts w:ascii="Arial" w:hAnsi="Arial" w:cs="Arial"/>
        </w:rPr>
        <w:t xml:space="preserve">, where intronic HERVs </w:t>
      </w:r>
      <w:r w:rsidR="00037A50" w:rsidRPr="0067360B">
        <w:rPr>
          <w:rFonts w:ascii="Arial" w:hAnsi="Arial" w:cs="Arial"/>
        </w:rPr>
        <w:t xml:space="preserve">are </w:t>
      </w:r>
      <w:r w:rsidR="00D16D2F" w:rsidRPr="0067360B">
        <w:rPr>
          <w:rFonts w:ascii="Arial" w:hAnsi="Arial" w:cs="Arial"/>
        </w:rPr>
        <w:t>not distinguished</w:t>
      </w:r>
      <w:r w:rsidR="00743F3A" w:rsidRPr="0067360B">
        <w:rPr>
          <w:rFonts w:ascii="Arial" w:hAnsi="Arial" w:cs="Arial"/>
        </w:rPr>
        <w:t xml:space="preserve">) </w:t>
      </w:r>
      <w:r w:rsidR="004E48FE" w:rsidRPr="0067360B">
        <w:rPr>
          <w:rFonts w:ascii="Arial" w:hAnsi="Arial" w:cs="Arial"/>
        </w:rPr>
        <w:t>of each</w:t>
      </w:r>
      <w:r w:rsidR="009D1093" w:rsidRPr="0067360B">
        <w:rPr>
          <w:rFonts w:ascii="Arial" w:hAnsi="Arial" w:cs="Arial"/>
        </w:rPr>
        <w:t xml:space="preserve"> HERV</w:t>
      </w:r>
      <w:r w:rsidR="004E48FE" w:rsidRPr="0067360B">
        <w:rPr>
          <w:rFonts w:ascii="Arial" w:hAnsi="Arial" w:cs="Arial"/>
        </w:rPr>
        <w:t xml:space="preserve"> to the nearest gene</w:t>
      </w:r>
      <w:r w:rsidR="009D1093" w:rsidRPr="0067360B">
        <w:rPr>
          <w:rFonts w:ascii="Arial" w:hAnsi="Arial" w:cs="Arial"/>
        </w:rPr>
        <w:t xml:space="preserve"> identified in TCGA tumor samples</w:t>
      </w:r>
      <w:r w:rsidR="00D16D2F" w:rsidRPr="0067360B">
        <w:rPr>
          <w:rFonts w:ascii="Arial" w:hAnsi="Arial" w:cs="Arial"/>
        </w:rPr>
        <w:t>. The distance from the nearest SNP (</w:t>
      </w:r>
      <w:proofErr w:type="spellStart"/>
      <w:r w:rsidR="00D16D2F" w:rsidRPr="0067360B">
        <w:rPr>
          <w:rFonts w:ascii="Arial" w:hAnsi="Arial" w:cs="Arial"/>
          <w:color w:val="000000"/>
        </w:rPr>
        <w:t>dist_from_SNP</w:t>
      </w:r>
      <w:proofErr w:type="spellEnd"/>
      <w:r w:rsidR="00D16D2F" w:rsidRPr="0067360B">
        <w:rPr>
          <w:rFonts w:ascii="Arial" w:hAnsi="Arial" w:cs="Arial"/>
          <w:color w:val="000000"/>
        </w:rPr>
        <w:t>) and the phenotype associated with the nearest SNP (SNP distance) are provided, and -1 values are assigned if no disease associated SNP was found located near a HERV</w:t>
      </w:r>
      <w:r w:rsidR="00721E36" w:rsidRPr="0067360B">
        <w:rPr>
          <w:rFonts w:ascii="Arial" w:hAnsi="Arial" w:cs="Arial"/>
          <w:color w:val="000000"/>
        </w:rPr>
        <w:t>.</w:t>
      </w:r>
    </w:p>
    <w:p w14:paraId="416ED6B6" w14:textId="77777777" w:rsidR="00CB7C5C" w:rsidRPr="0067360B" w:rsidRDefault="00CB7C5C">
      <w:pPr>
        <w:rPr>
          <w:rFonts w:ascii="Arial" w:hAnsi="Arial" w:cs="Arial"/>
        </w:rPr>
      </w:pPr>
    </w:p>
    <w:p w14:paraId="26653253" w14:textId="4667A7DC" w:rsidR="00A41E67" w:rsidRPr="0067360B" w:rsidRDefault="00CB7C5C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964137" w:rsidRPr="0067360B">
        <w:rPr>
          <w:rFonts w:ascii="Arial" w:hAnsi="Arial" w:cs="Arial"/>
          <w:b/>
          <w:bCs/>
        </w:rPr>
        <w:t>6</w:t>
      </w:r>
      <w:r w:rsidR="00B36C60" w:rsidRPr="0067360B">
        <w:rPr>
          <w:rFonts w:ascii="Arial" w:hAnsi="Arial" w:cs="Arial"/>
          <w:b/>
          <w:bCs/>
        </w:rPr>
        <w:t>.</w:t>
      </w:r>
      <w:r w:rsidR="00592398" w:rsidRPr="0067360B">
        <w:rPr>
          <w:rFonts w:ascii="Arial" w:hAnsi="Arial" w:cs="Arial"/>
        </w:rPr>
        <w:t xml:space="preserve"> Associations between HERV presence and tumor mutation burden or chromosomal aneuploidy across the 14 cancer types from TCGA</w:t>
      </w:r>
      <w:r w:rsidR="00164137" w:rsidRPr="0067360B">
        <w:rPr>
          <w:rFonts w:ascii="Arial" w:hAnsi="Arial" w:cs="Arial"/>
        </w:rPr>
        <w:t xml:space="preserve">. The values correspond to one sided Wilcoxon rank-sum p-values. </w:t>
      </w:r>
      <w:proofErr w:type="spellStart"/>
      <w:r w:rsidR="00164137" w:rsidRPr="0067360B">
        <w:rPr>
          <w:rFonts w:ascii="Arial" w:hAnsi="Arial" w:cs="Arial"/>
        </w:rPr>
        <w:t>TMB_greater</w:t>
      </w:r>
      <w:proofErr w:type="spellEnd"/>
      <w:r w:rsidR="00164137" w:rsidRPr="0067360B">
        <w:rPr>
          <w:rFonts w:ascii="Arial" w:hAnsi="Arial" w:cs="Arial"/>
        </w:rPr>
        <w:t xml:space="preserve"> and </w:t>
      </w:r>
      <w:proofErr w:type="spellStart"/>
      <w:r w:rsidR="00164137" w:rsidRPr="0067360B">
        <w:rPr>
          <w:rFonts w:ascii="Arial" w:hAnsi="Arial" w:cs="Arial"/>
        </w:rPr>
        <w:t>TCNA_greater</w:t>
      </w:r>
      <w:proofErr w:type="spellEnd"/>
      <w:r w:rsidR="00164137" w:rsidRPr="0067360B">
        <w:rPr>
          <w:rFonts w:ascii="Arial" w:hAnsi="Arial" w:cs="Arial"/>
        </w:rPr>
        <w:t xml:space="preserve"> test whether the TMB or CNA is greater in the presence of each HERV, and </w:t>
      </w:r>
      <w:proofErr w:type="spellStart"/>
      <w:r w:rsidR="00164137" w:rsidRPr="0067360B">
        <w:rPr>
          <w:rFonts w:ascii="Arial" w:hAnsi="Arial" w:cs="Arial"/>
        </w:rPr>
        <w:t>TMB_less</w:t>
      </w:r>
      <w:proofErr w:type="spellEnd"/>
      <w:r w:rsidR="00164137" w:rsidRPr="0067360B">
        <w:rPr>
          <w:rFonts w:ascii="Arial" w:hAnsi="Arial" w:cs="Arial"/>
        </w:rPr>
        <w:t xml:space="preserve"> and </w:t>
      </w:r>
      <w:proofErr w:type="spellStart"/>
      <w:r w:rsidR="00164137" w:rsidRPr="0067360B">
        <w:rPr>
          <w:rFonts w:ascii="Arial" w:hAnsi="Arial" w:cs="Arial"/>
        </w:rPr>
        <w:t>TCNA_les</w:t>
      </w:r>
      <w:r w:rsidR="001D1808" w:rsidRPr="0067360B">
        <w:rPr>
          <w:rFonts w:ascii="Arial" w:hAnsi="Arial" w:cs="Arial"/>
        </w:rPr>
        <w:t>s</w:t>
      </w:r>
      <w:proofErr w:type="spellEnd"/>
      <w:r w:rsidR="00164137" w:rsidRPr="0067360B">
        <w:rPr>
          <w:rFonts w:ascii="Arial" w:hAnsi="Arial" w:cs="Arial"/>
        </w:rPr>
        <w:t xml:space="preserve"> test whether the TMB or CNA is lower in the presence of each HERV.</w:t>
      </w:r>
    </w:p>
    <w:p w14:paraId="314F1860" w14:textId="4266F40A" w:rsidR="00713C30" w:rsidRPr="0067360B" w:rsidRDefault="00713C30">
      <w:pPr>
        <w:rPr>
          <w:rFonts w:ascii="Arial" w:hAnsi="Arial" w:cs="Arial"/>
        </w:rPr>
      </w:pPr>
    </w:p>
    <w:p w14:paraId="4265128B" w14:textId="5BE7FF3A" w:rsidR="00713C30" w:rsidRPr="0067360B" w:rsidRDefault="00713C30" w:rsidP="00713C30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>Supplementary Table 7.</w:t>
      </w:r>
      <w:r w:rsidRPr="0067360B">
        <w:rPr>
          <w:rFonts w:ascii="Arial" w:hAnsi="Arial" w:cs="Arial"/>
        </w:rPr>
        <w:t xml:space="preserve"> Hyper-geometric enrichment p-values evaluating enrichment between </w:t>
      </w:r>
      <w:r w:rsidR="00571266" w:rsidRPr="0067360B">
        <w:rPr>
          <w:rFonts w:ascii="Arial" w:hAnsi="Arial" w:cs="Arial"/>
        </w:rPr>
        <w:t xml:space="preserve">somatic mutations in </w:t>
      </w:r>
      <w:r w:rsidRPr="0067360B">
        <w:rPr>
          <w:rFonts w:ascii="Arial" w:hAnsi="Arial" w:cs="Arial"/>
        </w:rPr>
        <w:t xml:space="preserve">10 frequently mutated cancer driver genes, and </w:t>
      </w:r>
      <w:r w:rsidR="00FD5E18" w:rsidRPr="0067360B">
        <w:rPr>
          <w:rFonts w:ascii="Arial" w:hAnsi="Arial" w:cs="Arial"/>
        </w:rPr>
        <w:t xml:space="preserve">the expression of </w:t>
      </w:r>
      <w:r w:rsidRPr="0067360B">
        <w:rPr>
          <w:rFonts w:ascii="Arial" w:hAnsi="Arial" w:cs="Arial"/>
        </w:rPr>
        <w:t xml:space="preserve">36 </w:t>
      </w:r>
      <w:r w:rsidR="00EA4EEC" w:rsidRPr="0067360B">
        <w:rPr>
          <w:rFonts w:ascii="Arial" w:hAnsi="Arial" w:cs="Arial"/>
        </w:rPr>
        <w:t xml:space="preserve">HERVs that </w:t>
      </w:r>
      <w:r w:rsidR="00A804A0" w:rsidRPr="0067360B">
        <w:rPr>
          <w:rFonts w:ascii="Arial" w:hAnsi="Arial" w:cs="Arial"/>
        </w:rPr>
        <w:t>were found frequently</w:t>
      </w:r>
      <w:r w:rsidR="00EA4EEC" w:rsidRPr="0067360B">
        <w:rPr>
          <w:rFonts w:ascii="Arial" w:hAnsi="Arial" w:cs="Arial"/>
        </w:rPr>
        <w:t xml:space="preserve"> expressed in cancer tissues. </w:t>
      </w:r>
    </w:p>
    <w:p w14:paraId="493DCA60" w14:textId="77777777" w:rsidR="00CB7C5C" w:rsidRPr="0067360B" w:rsidRDefault="00CB7C5C">
      <w:pPr>
        <w:rPr>
          <w:rFonts w:ascii="Arial" w:hAnsi="Arial" w:cs="Arial"/>
        </w:rPr>
      </w:pPr>
    </w:p>
    <w:p w14:paraId="6B7E0465" w14:textId="097F3D88" w:rsidR="00C26EC8" w:rsidRPr="0067360B" w:rsidRDefault="00CB7C5C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F71769" w:rsidRPr="0067360B">
        <w:rPr>
          <w:rFonts w:ascii="Arial" w:hAnsi="Arial" w:cs="Arial"/>
          <w:b/>
          <w:bCs/>
        </w:rPr>
        <w:t>8</w:t>
      </w:r>
      <w:r w:rsidR="00B36C60" w:rsidRPr="0067360B">
        <w:rPr>
          <w:rFonts w:ascii="Arial" w:hAnsi="Arial" w:cs="Arial"/>
          <w:b/>
          <w:bCs/>
        </w:rPr>
        <w:t>.</w:t>
      </w:r>
      <w:r w:rsidR="00A41E67" w:rsidRPr="0067360B">
        <w:rPr>
          <w:rFonts w:ascii="Arial" w:hAnsi="Arial" w:cs="Arial"/>
        </w:rPr>
        <w:t xml:space="preserve"> </w:t>
      </w:r>
      <w:r w:rsidR="00FB6D5C" w:rsidRPr="0067360B">
        <w:rPr>
          <w:rFonts w:ascii="Arial" w:hAnsi="Arial" w:cs="Arial"/>
        </w:rPr>
        <w:t>S</w:t>
      </w:r>
      <w:r w:rsidR="00A41E67" w:rsidRPr="0067360B">
        <w:rPr>
          <w:rFonts w:ascii="Arial" w:hAnsi="Arial" w:cs="Arial"/>
        </w:rPr>
        <w:t xml:space="preserve">omatic mutations in </w:t>
      </w:r>
      <w:r w:rsidR="00FB6D5C" w:rsidRPr="0067360B">
        <w:rPr>
          <w:rFonts w:ascii="Arial" w:hAnsi="Arial" w:cs="Arial"/>
        </w:rPr>
        <w:t>frequently mutated</w:t>
      </w:r>
      <w:r w:rsidR="00A41E67" w:rsidRPr="0067360B">
        <w:rPr>
          <w:rFonts w:ascii="Arial" w:hAnsi="Arial" w:cs="Arial"/>
        </w:rPr>
        <w:t xml:space="preserve"> cancer driver genes</w:t>
      </w:r>
      <w:r w:rsidR="00FB6D5C" w:rsidRPr="0067360B">
        <w:rPr>
          <w:rFonts w:ascii="Arial" w:hAnsi="Arial" w:cs="Arial"/>
        </w:rPr>
        <w:t xml:space="preserve"> for cancer types in which HERV expression was associated with poor survival, and HERVs identified in TCGA samples within these cancer types.</w:t>
      </w:r>
    </w:p>
    <w:p w14:paraId="01E671B2" w14:textId="77777777" w:rsidR="00CB7C5C" w:rsidRPr="0067360B" w:rsidRDefault="00CB7C5C">
      <w:pPr>
        <w:rPr>
          <w:rFonts w:ascii="Arial" w:hAnsi="Arial" w:cs="Arial"/>
        </w:rPr>
      </w:pPr>
    </w:p>
    <w:p w14:paraId="37601AD1" w14:textId="3D0DAB24" w:rsidR="00116A16" w:rsidRPr="0067360B" w:rsidRDefault="00CB7C5C" w:rsidP="00116A16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lastRenderedPageBreak/>
        <w:t xml:space="preserve">Supplementary Table </w:t>
      </w:r>
      <w:r w:rsidR="00F71769" w:rsidRPr="0067360B">
        <w:rPr>
          <w:rFonts w:ascii="Arial" w:hAnsi="Arial" w:cs="Arial"/>
          <w:b/>
          <w:bCs/>
        </w:rPr>
        <w:t>9</w:t>
      </w:r>
      <w:r w:rsidR="00B36C60" w:rsidRPr="0067360B">
        <w:rPr>
          <w:rFonts w:ascii="Arial" w:hAnsi="Arial" w:cs="Arial"/>
          <w:b/>
          <w:bCs/>
        </w:rPr>
        <w:t>.</w:t>
      </w:r>
      <w:r w:rsidR="008E6759" w:rsidRPr="0067360B">
        <w:rPr>
          <w:rFonts w:ascii="Arial" w:hAnsi="Arial" w:cs="Arial"/>
        </w:rPr>
        <w:t xml:space="preserve"> Divergent unexpected viruses found</w:t>
      </w:r>
      <w:r w:rsidR="00CF6AAA" w:rsidRPr="0067360B">
        <w:rPr>
          <w:rFonts w:ascii="Arial" w:hAnsi="Arial" w:cs="Arial"/>
        </w:rPr>
        <w:t xml:space="preserve"> expressed</w:t>
      </w:r>
      <w:r w:rsidR="008E6759" w:rsidRPr="0067360B">
        <w:rPr>
          <w:rFonts w:ascii="Arial" w:hAnsi="Arial" w:cs="Arial"/>
        </w:rPr>
        <w:t xml:space="preserve"> in </w:t>
      </w:r>
      <w:r w:rsidR="00116A16" w:rsidRPr="0067360B">
        <w:rPr>
          <w:rFonts w:ascii="Arial" w:hAnsi="Arial" w:cs="Arial"/>
        </w:rPr>
        <w:t xml:space="preserve">7272 samples from </w:t>
      </w:r>
      <w:r w:rsidR="008E6759" w:rsidRPr="0067360B">
        <w:rPr>
          <w:rFonts w:ascii="Arial" w:hAnsi="Arial" w:cs="Arial"/>
        </w:rPr>
        <w:t>14 cancer types from TCGA</w:t>
      </w:r>
      <w:r w:rsidR="00116A16" w:rsidRPr="0067360B">
        <w:rPr>
          <w:rFonts w:ascii="Arial" w:hAnsi="Arial" w:cs="Arial"/>
        </w:rPr>
        <w:t xml:space="preserve"> used throughout this study</w:t>
      </w:r>
      <w:r w:rsidR="00D061FF" w:rsidRPr="0067360B">
        <w:rPr>
          <w:rFonts w:ascii="Arial" w:hAnsi="Arial" w:cs="Arial"/>
        </w:rPr>
        <w:t>.</w:t>
      </w:r>
    </w:p>
    <w:p w14:paraId="71F2150D" w14:textId="7CF1A2DB" w:rsidR="00592398" w:rsidRPr="0067360B" w:rsidRDefault="00592398">
      <w:pPr>
        <w:rPr>
          <w:rFonts w:ascii="Arial" w:hAnsi="Arial" w:cs="Arial"/>
        </w:rPr>
      </w:pPr>
    </w:p>
    <w:p w14:paraId="0602DD55" w14:textId="77777777" w:rsidR="00CB7C5C" w:rsidRPr="0067360B" w:rsidRDefault="00CB7C5C">
      <w:pPr>
        <w:rPr>
          <w:rFonts w:ascii="Arial" w:hAnsi="Arial" w:cs="Arial"/>
        </w:rPr>
      </w:pPr>
    </w:p>
    <w:p w14:paraId="49608B39" w14:textId="36729E59" w:rsidR="00802ACA" w:rsidRPr="0067360B" w:rsidRDefault="00CB7C5C" w:rsidP="00802ACA">
      <w:pPr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Table </w:t>
      </w:r>
      <w:r w:rsidR="00F71769" w:rsidRPr="0067360B">
        <w:rPr>
          <w:rFonts w:ascii="Arial" w:hAnsi="Arial" w:cs="Arial"/>
          <w:b/>
          <w:bCs/>
        </w:rPr>
        <w:t>10</w:t>
      </w:r>
      <w:r w:rsidR="00B36C60" w:rsidRPr="0067360B">
        <w:rPr>
          <w:rFonts w:ascii="Arial" w:hAnsi="Arial" w:cs="Arial"/>
          <w:b/>
          <w:bCs/>
        </w:rPr>
        <w:t>.</w:t>
      </w:r>
      <w:r w:rsidR="00802ACA" w:rsidRPr="0067360B">
        <w:rPr>
          <w:rFonts w:ascii="Arial" w:hAnsi="Arial" w:cs="Arial"/>
        </w:rPr>
        <w:t xml:space="preserve"> The </w:t>
      </w:r>
      <w:r w:rsidR="00802ACA" w:rsidRPr="0067360B">
        <w:rPr>
          <w:rStyle w:val="normaltextrun"/>
          <w:rFonts w:ascii="Arial" w:hAnsi="Arial" w:cs="Arial"/>
        </w:rPr>
        <w:t xml:space="preserve">IIV31 proteins identified in endometrial cancer </w:t>
      </w:r>
      <w:r w:rsidR="001D1808" w:rsidRPr="0067360B">
        <w:rPr>
          <w:rStyle w:val="normaltextrun"/>
          <w:rFonts w:ascii="Arial" w:hAnsi="Arial" w:cs="Arial"/>
        </w:rPr>
        <w:t xml:space="preserve">(UCEC) </w:t>
      </w:r>
      <w:r w:rsidR="00802ACA" w:rsidRPr="0067360B">
        <w:rPr>
          <w:rStyle w:val="normaltextrun"/>
          <w:rFonts w:ascii="Arial" w:hAnsi="Arial" w:cs="Arial"/>
        </w:rPr>
        <w:t>samples with the tumor mutation burden and chromosomal aneuploidy scores</w:t>
      </w:r>
      <w:r w:rsidR="004330EF" w:rsidRPr="0067360B">
        <w:rPr>
          <w:rStyle w:val="normaltextrun"/>
          <w:rFonts w:ascii="Arial" w:hAnsi="Arial" w:cs="Arial"/>
        </w:rPr>
        <w:t>.</w:t>
      </w:r>
      <w:r w:rsidR="00D061FF" w:rsidRPr="0067360B">
        <w:rPr>
          <w:rStyle w:val="normaltextrun"/>
          <w:rFonts w:ascii="Arial" w:hAnsi="Arial" w:cs="Arial"/>
        </w:rPr>
        <w:t xml:space="preserve"> -1 values are assigned to samples with RNA sequencing data that did not have mutation or copy number information to evaluate the TMB or CNA.</w:t>
      </w:r>
    </w:p>
    <w:p w14:paraId="4EA199BA" w14:textId="15C61543" w:rsidR="00802ACA" w:rsidRPr="0067360B" w:rsidRDefault="00802ACA" w:rsidP="00802ACA">
      <w:pPr>
        <w:tabs>
          <w:tab w:val="left" w:pos="3071"/>
        </w:tabs>
        <w:rPr>
          <w:rFonts w:ascii="Arial" w:hAnsi="Arial" w:cs="Arial"/>
        </w:rPr>
      </w:pPr>
    </w:p>
    <w:p w14:paraId="6B2A6B8D" w14:textId="556CF39C" w:rsidR="00B36C60" w:rsidRPr="0067360B" w:rsidRDefault="00B36C60" w:rsidP="00802ACA">
      <w:pPr>
        <w:tabs>
          <w:tab w:val="left" w:pos="3071"/>
        </w:tabs>
        <w:rPr>
          <w:rFonts w:ascii="Arial" w:hAnsi="Arial" w:cs="Arial"/>
        </w:rPr>
      </w:pPr>
    </w:p>
    <w:p w14:paraId="4FCA9D62" w14:textId="1EC132CA" w:rsidR="00B36C60" w:rsidRPr="0067360B" w:rsidRDefault="00B36C60" w:rsidP="00B36C60">
      <w:pPr>
        <w:rPr>
          <w:rFonts w:ascii="Arial" w:hAnsi="Arial" w:cs="Arial"/>
          <w:b/>
          <w:bCs/>
        </w:rPr>
      </w:pPr>
      <w:r w:rsidRPr="0067360B">
        <w:rPr>
          <w:rFonts w:ascii="Arial" w:hAnsi="Arial" w:cs="Arial"/>
          <w:b/>
          <w:bCs/>
        </w:rPr>
        <w:t>Supplementary Figure</w:t>
      </w:r>
      <w:r w:rsidR="0082491B" w:rsidRPr="0067360B">
        <w:rPr>
          <w:rFonts w:ascii="Arial" w:hAnsi="Arial" w:cs="Arial"/>
          <w:b/>
          <w:bCs/>
        </w:rPr>
        <w:t>s</w:t>
      </w:r>
    </w:p>
    <w:p w14:paraId="1EF215AE" w14:textId="7E612AEC" w:rsidR="00B36C60" w:rsidRPr="0067360B" w:rsidRDefault="00A23A83" w:rsidP="00B36C60">
      <w:pPr>
        <w:rPr>
          <w:rFonts w:ascii="Arial" w:hAnsi="Arial" w:cs="Arial"/>
          <w:b/>
          <w:bCs/>
        </w:rPr>
      </w:pPr>
      <w:r w:rsidRPr="0067360B">
        <w:rPr>
          <w:rFonts w:ascii="Arial" w:hAnsi="Arial" w:cs="Arial"/>
          <w:b/>
          <w:bCs/>
          <w:noProof/>
        </w:rPr>
        <w:drawing>
          <wp:inline distT="0" distB="0" distL="0" distR="0" wp14:anchorId="70B89884" wp14:editId="6DB31EF3">
            <wp:extent cx="3649548" cy="38745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857" cy="38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7EF3C" w14:textId="0610B881" w:rsidR="000567A9" w:rsidRPr="0067360B" w:rsidRDefault="000567A9" w:rsidP="004654CE">
      <w:pPr>
        <w:jc w:val="both"/>
        <w:rPr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>Supplementary Figure 1.</w:t>
      </w:r>
      <w:r w:rsidRPr="0067360B">
        <w:rPr>
          <w:rFonts w:ascii="Arial" w:hAnsi="Arial" w:cs="Arial"/>
        </w:rPr>
        <w:t xml:space="preserve"> The p</w:t>
      </w:r>
      <w:r w:rsidR="000215F8" w:rsidRPr="0067360B">
        <w:rPr>
          <w:rFonts w:ascii="Arial" w:hAnsi="Arial" w:cs="Arial"/>
        </w:rPr>
        <w:t xml:space="preserve">roportions </w:t>
      </w:r>
      <w:r w:rsidRPr="0067360B">
        <w:rPr>
          <w:rFonts w:ascii="Arial" w:hAnsi="Arial" w:cs="Arial"/>
        </w:rPr>
        <w:t>of TCGA samples that are identified as virus</w:t>
      </w:r>
      <w:r w:rsidR="00892C0A" w:rsidRPr="0067360B">
        <w:rPr>
          <w:rFonts w:ascii="Arial" w:hAnsi="Arial" w:cs="Arial"/>
        </w:rPr>
        <w:t>-</w:t>
      </w:r>
      <w:r w:rsidRPr="0067360B">
        <w:rPr>
          <w:rFonts w:ascii="Arial" w:hAnsi="Arial" w:cs="Arial"/>
        </w:rPr>
        <w:t xml:space="preserve">positive by </w:t>
      </w:r>
      <w:proofErr w:type="spellStart"/>
      <w:r w:rsidRPr="0067360B">
        <w:rPr>
          <w:rFonts w:ascii="Arial" w:hAnsi="Arial" w:cs="Arial"/>
        </w:rPr>
        <w:t>viRNAtrap</w:t>
      </w:r>
      <w:proofErr w:type="spellEnd"/>
      <w:r w:rsidRPr="0067360B">
        <w:rPr>
          <w:rFonts w:ascii="Arial" w:hAnsi="Arial" w:cs="Arial"/>
        </w:rPr>
        <w:t xml:space="preserve"> that </w:t>
      </w:r>
      <w:r w:rsidR="0030496D" w:rsidRPr="0067360B">
        <w:rPr>
          <w:rFonts w:ascii="Arial" w:hAnsi="Arial" w:cs="Arial"/>
        </w:rPr>
        <w:t>were</w:t>
      </w:r>
      <w:r w:rsidRPr="0067360B">
        <w:rPr>
          <w:rFonts w:ascii="Arial" w:hAnsi="Arial" w:cs="Arial"/>
        </w:rPr>
        <w:t xml:space="preserve"> </w:t>
      </w:r>
      <w:r w:rsidR="000215F8" w:rsidRPr="0067360B">
        <w:rPr>
          <w:rFonts w:ascii="Arial" w:hAnsi="Arial" w:cs="Arial"/>
        </w:rPr>
        <w:t xml:space="preserve">also </w:t>
      </w:r>
      <w:r w:rsidRPr="0067360B">
        <w:rPr>
          <w:rFonts w:ascii="Arial" w:hAnsi="Arial" w:cs="Arial"/>
        </w:rPr>
        <w:t>verified</w:t>
      </w:r>
      <w:r w:rsidR="00892C0A" w:rsidRPr="0067360B">
        <w:rPr>
          <w:rFonts w:ascii="Arial" w:hAnsi="Arial" w:cs="Arial"/>
        </w:rPr>
        <w:t xml:space="preserve"> as virus-positive</w:t>
      </w:r>
      <w:r w:rsidRPr="0067360B">
        <w:rPr>
          <w:rFonts w:ascii="Arial" w:hAnsi="Arial" w:cs="Arial"/>
        </w:rPr>
        <w:t xml:space="preserve"> </w:t>
      </w:r>
      <w:r w:rsidR="006A4537" w:rsidRPr="0067360B">
        <w:rPr>
          <w:rFonts w:ascii="Arial" w:hAnsi="Arial" w:cs="Arial"/>
        </w:rPr>
        <w:t>through</w:t>
      </w:r>
      <w:r w:rsidRPr="0067360B">
        <w:rPr>
          <w:rFonts w:ascii="Arial" w:hAnsi="Arial" w:cs="Arial"/>
        </w:rPr>
        <w:t xml:space="preserve"> </w:t>
      </w:r>
      <w:r w:rsidR="006A4537" w:rsidRPr="0067360B">
        <w:rPr>
          <w:rFonts w:ascii="Arial" w:hAnsi="Arial" w:cs="Arial"/>
        </w:rPr>
        <w:t>TCGA clinical information</w:t>
      </w:r>
      <w:r w:rsidR="00A23A83" w:rsidRPr="0067360B">
        <w:rPr>
          <w:rFonts w:ascii="Arial" w:hAnsi="Arial" w:cs="Arial"/>
        </w:rPr>
        <w:t>. From left to right: HR-HPV</w:t>
      </w:r>
      <w:r w:rsidR="000215F8" w:rsidRPr="0067360B">
        <w:rPr>
          <w:rFonts w:ascii="Arial" w:hAnsi="Arial" w:cs="Arial"/>
        </w:rPr>
        <w:t>-</w:t>
      </w:r>
      <w:r w:rsidR="00A23A83" w:rsidRPr="0067360B">
        <w:rPr>
          <w:rFonts w:ascii="Arial" w:hAnsi="Arial" w:cs="Arial"/>
        </w:rPr>
        <w:t>positive in CESC, HR-HPV</w:t>
      </w:r>
      <w:r w:rsidR="000215F8" w:rsidRPr="0067360B">
        <w:rPr>
          <w:rFonts w:ascii="Arial" w:hAnsi="Arial" w:cs="Arial"/>
        </w:rPr>
        <w:t>-</w:t>
      </w:r>
      <w:r w:rsidR="00A23A83" w:rsidRPr="0067360B">
        <w:rPr>
          <w:rFonts w:ascii="Arial" w:hAnsi="Arial" w:cs="Arial"/>
        </w:rPr>
        <w:t>positive in HNSC, HBV</w:t>
      </w:r>
      <w:r w:rsidR="000215F8" w:rsidRPr="0067360B">
        <w:rPr>
          <w:rFonts w:ascii="Arial" w:hAnsi="Arial" w:cs="Arial"/>
        </w:rPr>
        <w:t>-</w:t>
      </w:r>
      <w:r w:rsidR="00A23A83" w:rsidRPr="0067360B">
        <w:rPr>
          <w:rFonts w:ascii="Arial" w:hAnsi="Arial" w:cs="Arial"/>
        </w:rPr>
        <w:t>positive in LIHC and HCV</w:t>
      </w:r>
      <w:r w:rsidR="000215F8" w:rsidRPr="0067360B">
        <w:rPr>
          <w:rFonts w:ascii="Arial" w:hAnsi="Arial" w:cs="Arial"/>
        </w:rPr>
        <w:t>-</w:t>
      </w:r>
      <w:r w:rsidR="00A23A83" w:rsidRPr="0067360B">
        <w:rPr>
          <w:rFonts w:ascii="Arial" w:hAnsi="Arial" w:cs="Arial"/>
        </w:rPr>
        <w:t xml:space="preserve">positive in </w:t>
      </w:r>
      <w:r w:rsidR="006917A2" w:rsidRPr="0067360B">
        <w:rPr>
          <w:rFonts w:ascii="Arial" w:hAnsi="Arial" w:cs="Arial"/>
        </w:rPr>
        <w:t>LIHC</w:t>
      </w:r>
      <w:r w:rsidR="00A23A83" w:rsidRPr="0067360B">
        <w:rPr>
          <w:rFonts w:ascii="Arial" w:hAnsi="Arial" w:cs="Arial"/>
        </w:rPr>
        <w:t>.</w:t>
      </w:r>
      <w:r w:rsidR="00047FFB" w:rsidRPr="0067360B">
        <w:rPr>
          <w:rFonts w:ascii="Arial" w:hAnsi="Arial" w:cs="Arial"/>
        </w:rPr>
        <w:t xml:space="preserve"> </w:t>
      </w:r>
      <w:r w:rsidR="000215F8" w:rsidRPr="0067360B">
        <w:rPr>
          <w:rFonts w:ascii="Arial" w:hAnsi="Arial" w:cs="Arial"/>
        </w:rPr>
        <w:t>HR-HPV: high-risk human papilloma virus; HBV: hepatitis B virus</w:t>
      </w:r>
      <w:r w:rsidR="00CD4A04" w:rsidRPr="0067360B">
        <w:rPr>
          <w:rFonts w:ascii="Arial" w:hAnsi="Arial" w:cs="Arial"/>
        </w:rPr>
        <w:t>; HCV: hepatitis C virus.</w:t>
      </w:r>
    </w:p>
    <w:p w14:paraId="49CFFC03" w14:textId="77777777" w:rsidR="000567A9" w:rsidRPr="0067360B" w:rsidRDefault="000567A9" w:rsidP="00B36C60">
      <w:pPr>
        <w:rPr>
          <w:rFonts w:ascii="Arial" w:hAnsi="Arial" w:cs="Arial"/>
          <w:b/>
          <w:bCs/>
        </w:rPr>
      </w:pPr>
    </w:p>
    <w:p w14:paraId="472E3468" w14:textId="05247472" w:rsidR="0095100C" w:rsidRPr="0067360B" w:rsidRDefault="00AE2343" w:rsidP="00B36C60">
      <w:pPr>
        <w:rPr>
          <w:rFonts w:ascii="Arial" w:hAnsi="Arial" w:cs="Arial"/>
          <w:b/>
          <w:bCs/>
        </w:rPr>
      </w:pPr>
      <w:r w:rsidRPr="0067360B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293F92D" wp14:editId="4CF2695A">
            <wp:extent cx="5943600" cy="69805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8947" w14:textId="656CDFEF" w:rsidR="00B36C60" w:rsidRPr="0067360B" w:rsidRDefault="00B36C60" w:rsidP="00B36C60">
      <w:pPr>
        <w:rPr>
          <w:rStyle w:val="normaltextrun"/>
          <w:rFonts w:ascii="Arial" w:hAnsi="Arial" w:cs="Arial"/>
        </w:rPr>
      </w:pPr>
      <w:r w:rsidRPr="0067360B">
        <w:rPr>
          <w:rFonts w:ascii="Arial" w:hAnsi="Arial" w:cs="Arial"/>
          <w:b/>
          <w:bCs/>
        </w:rPr>
        <w:t xml:space="preserve">Supplementary Figure </w:t>
      </w:r>
      <w:r w:rsidR="000567A9" w:rsidRPr="0067360B">
        <w:rPr>
          <w:rFonts w:ascii="Arial" w:hAnsi="Arial" w:cs="Arial"/>
          <w:b/>
          <w:bCs/>
        </w:rPr>
        <w:t>2</w:t>
      </w:r>
      <w:r w:rsidR="00B41C63" w:rsidRPr="0067360B">
        <w:rPr>
          <w:rFonts w:ascii="Arial" w:hAnsi="Arial" w:cs="Arial"/>
          <w:b/>
          <w:bCs/>
        </w:rPr>
        <w:t>.</w:t>
      </w:r>
      <w:r w:rsidR="00616C73" w:rsidRPr="0067360B">
        <w:rPr>
          <w:rFonts w:ascii="Arial" w:hAnsi="Arial" w:cs="Arial"/>
        </w:rPr>
        <w:t xml:space="preserve"> Clinical and genomic correlates of </w:t>
      </w:r>
      <w:r w:rsidR="00616C73" w:rsidRPr="0067360B">
        <w:rPr>
          <w:rStyle w:val="normaltextrun"/>
          <w:rFonts w:ascii="Arial" w:hAnsi="Arial" w:cs="Arial"/>
          <w:i/>
          <w:iCs/>
        </w:rPr>
        <w:t>Armadillidium vulgare</w:t>
      </w:r>
      <w:r w:rsidR="00616C73" w:rsidRPr="0067360B">
        <w:rPr>
          <w:rStyle w:val="normaltextrun"/>
          <w:rFonts w:ascii="Arial" w:hAnsi="Arial" w:cs="Arial"/>
        </w:rPr>
        <w:t xml:space="preserve"> iridescent virus (IIV31) expression in endometrial cancers. </w:t>
      </w:r>
    </w:p>
    <w:p w14:paraId="1B3D60BC" w14:textId="545D15DC" w:rsidR="00616C73" w:rsidRPr="0067360B" w:rsidRDefault="00616C73" w:rsidP="00B36C60">
      <w:pPr>
        <w:rPr>
          <w:rStyle w:val="normaltextrun"/>
          <w:rFonts w:ascii="Arial" w:hAnsi="Arial" w:cs="Arial"/>
        </w:rPr>
      </w:pPr>
      <w:r w:rsidRPr="0067360B">
        <w:rPr>
          <w:rStyle w:val="normaltextrun"/>
          <w:rFonts w:ascii="Arial" w:hAnsi="Arial" w:cs="Arial"/>
        </w:rPr>
        <w:t xml:space="preserve">(a) Heatmaps showing IIV31 proteins expressed in different tumors, microsatellite instability, chromosomal </w:t>
      </w:r>
      <w:r w:rsidR="000601C8" w:rsidRPr="0067360B">
        <w:rPr>
          <w:rStyle w:val="normaltextrun"/>
          <w:rFonts w:ascii="Arial" w:hAnsi="Arial" w:cs="Arial"/>
        </w:rPr>
        <w:t>aneuploidy,</w:t>
      </w:r>
      <w:r w:rsidRPr="0067360B">
        <w:rPr>
          <w:rStyle w:val="normaltextrun"/>
          <w:rFonts w:ascii="Arial" w:hAnsi="Arial" w:cs="Arial"/>
        </w:rPr>
        <w:t xml:space="preserve"> and tumor mutation burden</w:t>
      </w:r>
      <w:r w:rsidR="009845C1" w:rsidRPr="0067360B">
        <w:rPr>
          <w:rStyle w:val="normaltextrun"/>
          <w:rFonts w:ascii="Arial" w:hAnsi="Arial" w:cs="Arial"/>
        </w:rPr>
        <w:t xml:space="preserve"> (TMB)</w:t>
      </w:r>
      <w:r w:rsidRPr="0067360B">
        <w:rPr>
          <w:rStyle w:val="normaltextrun"/>
          <w:rFonts w:ascii="Arial" w:hAnsi="Arial" w:cs="Arial"/>
        </w:rPr>
        <w:t xml:space="preserve"> across endometrial cancer samples. </w:t>
      </w:r>
    </w:p>
    <w:p w14:paraId="30E0F544" w14:textId="7570E55B" w:rsidR="00B36C60" w:rsidRPr="0067360B" w:rsidRDefault="00616C73" w:rsidP="00B36C60">
      <w:pPr>
        <w:rPr>
          <w:rFonts w:ascii="Arial" w:hAnsi="Arial" w:cs="Arial"/>
        </w:rPr>
      </w:pPr>
      <w:r w:rsidRPr="0067360B">
        <w:rPr>
          <w:rFonts w:ascii="Arial" w:hAnsi="Arial" w:cs="Arial"/>
        </w:rPr>
        <w:t xml:space="preserve">(b) </w:t>
      </w:r>
      <w:r w:rsidR="008131DD" w:rsidRPr="0067360B">
        <w:rPr>
          <w:rFonts w:ascii="Arial" w:hAnsi="Arial" w:cs="Arial"/>
        </w:rPr>
        <w:t>Kaplan</w:t>
      </w:r>
      <w:r w:rsidR="009845C1" w:rsidRPr="0067360B">
        <w:rPr>
          <w:rFonts w:ascii="Arial" w:hAnsi="Arial" w:cs="Arial"/>
        </w:rPr>
        <w:t>-</w:t>
      </w:r>
      <w:r w:rsidR="008131DD" w:rsidRPr="0067360B">
        <w:rPr>
          <w:rFonts w:ascii="Arial" w:hAnsi="Arial" w:cs="Arial"/>
        </w:rPr>
        <w:t xml:space="preserve">Meier survival curves comparing survival based on presence (blue) or absence (red) of different </w:t>
      </w:r>
      <w:r w:rsidR="008131DD" w:rsidRPr="0067360B">
        <w:rPr>
          <w:rStyle w:val="normaltextrun"/>
          <w:rFonts w:ascii="Arial" w:hAnsi="Arial" w:cs="Arial"/>
        </w:rPr>
        <w:t xml:space="preserve">IIV31 proteins in endometrial cancer samples. </w:t>
      </w:r>
    </w:p>
    <w:sectPr w:rsidR="00B36C60" w:rsidRPr="00673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E5E89"/>
    <w:multiLevelType w:val="hybridMultilevel"/>
    <w:tmpl w:val="29C82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38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5F"/>
    <w:rsid w:val="000215F8"/>
    <w:rsid w:val="00037A50"/>
    <w:rsid w:val="00047FFB"/>
    <w:rsid w:val="00050A7F"/>
    <w:rsid w:val="000567A9"/>
    <w:rsid w:val="000601C8"/>
    <w:rsid w:val="00064B13"/>
    <w:rsid w:val="000A36E3"/>
    <w:rsid w:val="00107D61"/>
    <w:rsid w:val="00116A16"/>
    <w:rsid w:val="00164137"/>
    <w:rsid w:val="001D1808"/>
    <w:rsid w:val="00232831"/>
    <w:rsid w:val="00250D5A"/>
    <w:rsid w:val="00255C3E"/>
    <w:rsid w:val="0030496D"/>
    <w:rsid w:val="00317A3F"/>
    <w:rsid w:val="003450D4"/>
    <w:rsid w:val="00395C60"/>
    <w:rsid w:val="003D5D9D"/>
    <w:rsid w:val="003E671B"/>
    <w:rsid w:val="00406470"/>
    <w:rsid w:val="004330EF"/>
    <w:rsid w:val="004447A8"/>
    <w:rsid w:val="00446E57"/>
    <w:rsid w:val="004620E7"/>
    <w:rsid w:val="004654CE"/>
    <w:rsid w:val="004E48FE"/>
    <w:rsid w:val="005543B8"/>
    <w:rsid w:val="00556A3A"/>
    <w:rsid w:val="005705A8"/>
    <w:rsid w:val="00571266"/>
    <w:rsid w:val="00592398"/>
    <w:rsid w:val="005E2365"/>
    <w:rsid w:val="005E6C7A"/>
    <w:rsid w:val="00616C73"/>
    <w:rsid w:val="0067360B"/>
    <w:rsid w:val="006917A2"/>
    <w:rsid w:val="006A4537"/>
    <w:rsid w:val="006B144E"/>
    <w:rsid w:val="006D16F8"/>
    <w:rsid w:val="006D4AE4"/>
    <w:rsid w:val="006D4DFC"/>
    <w:rsid w:val="006D4FDB"/>
    <w:rsid w:val="006E6B5D"/>
    <w:rsid w:val="007052F0"/>
    <w:rsid w:val="00713C30"/>
    <w:rsid w:val="00721E36"/>
    <w:rsid w:val="00743F3A"/>
    <w:rsid w:val="007742A0"/>
    <w:rsid w:val="007B186C"/>
    <w:rsid w:val="007F04C8"/>
    <w:rsid w:val="00802ACA"/>
    <w:rsid w:val="008131DD"/>
    <w:rsid w:val="0082491B"/>
    <w:rsid w:val="00854656"/>
    <w:rsid w:val="008574B5"/>
    <w:rsid w:val="008607E4"/>
    <w:rsid w:val="00892C0A"/>
    <w:rsid w:val="008E6759"/>
    <w:rsid w:val="0095100C"/>
    <w:rsid w:val="00964137"/>
    <w:rsid w:val="009845C1"/>
    <w:rsid w:val="009950D4"/>
    <w:rsid w:val="009A7EA8"/>
    <w:rsid w:val="009D1093"/>
    <w:rsid w:val="00A23A83"/>
    <w:rsid w:val="00A33505"/>
    <w:rsid w:val="00A41E67"/>
    <w:rsid w:val="00A804A0"/>
    <w:rsid w:val="00AC5CA8"/>
    <w:rsid w:val="00AC72FB"/>
    <w:rsid w:val="00AE2343"/>
    <w:rsid w:val="00B36C60"/>
    <w:rsid w:val="00B4098D"/>
    <w:rsid w:val="00B41C63"/>
    <w:rsid w:val="00B857C9"/>
    <w:rsid w:val="00B93A9A"/>
    <w:rsid w:val="00BD3D7A"/>
    <w:rsid w:val="00C26EC8"/>
    <w:rsid w:val="00C32B31"/>
    <w:rsid w:val="00C351BD"/>
    <w:rsid w:val="00C54BA9"/>
    <w:rsid w:val="00C74C25"/>
    <w:rsid w:val="00CB7C5C"/>
    <w:rsid w:val="00CC01E3"/>
    <w:rsid w:val="00CC47B1"/>
    <w:rsid w:val="00CD4A04"/>
    <w:rsid w:val="00CD76CA"/>
    <w:rsid w:val="00CF1215"/>
    <w:rsid w:val="00CF6AAA"/>
    <w:rsid w:val="00D061FF"/>
    <w:rsid w:val="00D16D2F"/>
    <w:rsid w:val="00D2494A"/>
    <w:rsid w:val="00D539E0"/>
    <w:rsid w:val="00D70F90"/>
    <w:rsid w:val="00D76256"/>
    <w:rsid w:val="00E2195F"/>
    <w:rsid w:val="00E54E2C"/>
    <w:rsid w:val="00E65AF9"/>
    <w:rsid w:val="00E842EB"/>
    <w:rsid w:val="00EA132B"/>
    <w:rsid w:val="00EA4EEC"/>
    <w:rsid w:val="00EE548C"/>
    <w:rsid w:val="00EE70B4"/>
    <w:rsid w:val="00F061C0"/>
    <w:rsid w:val="00F71769"/>
    <w:rsid w:val="00F90252"/>
    <w:rsid w:val="00FB6D5C"/>
    <w:rsid w:val="00FD5E18"/>
    <w:rsid w:val="00FE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7290E"/>
  <w15:chartTrackingRefBased/>
  <w15:docId w15:val="{565D6CD2-7912-BF44-AB1C-92B3F449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802ACA"/>
  </w:style>
  <w:style w:type="paragraph" w:styleId="ListParagraph">
    <w:name w:val="List Paragraph"/>
    <w:basedOn w:val="Normal"/>
    <w:uiPriority w:val="34"/>
    <w:qFormat/>
    <w:rsid w:val="00616C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45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5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5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5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5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Noam Auslander</dc:creator>
  <cp:keywords/>
  <dc:description/>
  <cp:lastModifiedBy>Noam Auslander</cp:lastModifiedBy>
  <cp:revision>14</cp:revision>
  <dcterms:created xsi:type="dcterms:W3CDTF">2022-05-04T12:44:00Z</dcterms:created>
  <dcterms:modified xsi:type="dcterms:W3CDTF">2022-05-10T14:34:00Z</dcterms:modified>
</cp:coreProperties>
</file>