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061A" w:rsidRPr="00BA7A9B" w:rsidRDefault="003029BD" w:rsidP="00D7061A">
      <w:pPr>
        <w:spacing w:after="0" w:line="240" w:lineRule="auto"/>
        <w:rPr>
          <w:rFonts w:ascii="Arial" w:eastAsia="Times New Roman" w:hAnsi="Arial" w:cs="Arial"/>
          <w:b/>
          <w:bCs/>
          <w:color w:val="000000"/>
          <w:szCs w:val="20"/>
        </w:rPr>
      </w:pPr>
      <w:r>
        <w:rPr>
          <w:rFonts w:ascii="Arial" w:eastAsia="Times New Roman" w:hAnsi="Arial" w:cs="Arial"/>
          <w:b/>
          <w:bCs/>
          <w:color w:val="000000"/>
          <w:szCs w:val="20"/>
        </w:rPr>
        <w:t xml:space="preserve">Appendix </w:t>
      </w:r>
      <w:r w:rsidR="00D7061A" w:rsidRPr="00BA7A9B">
        <w:rPr>
          <w:rFonts w:ascii="Arial" w:eastAsia="Times New Roman" w:hAnsi="Arial" w:cs="Arial"/>
          <w:b/>
          <w:bCs/>
          <w:color w:val="000000"/>
          <w:szCs w:val="20"/>
        </w:rPr>
        <w:t>4</w:t>
      </w:r>
      <w:bookmarkStart w:id="0" w:name="_GoBack"/>
      <w:bookmarkEnd w:id="0"/>
    </w:p>
    <w:p w:rsidR="00D7061A" w:rsidRPr="00BA7A9B" w:rsidRDefault="00D7061A" w:rsidP="00D7061A">
      <w:pPr>
        <w:spacing w:after="0" w:line="240" w:lineRule="auto"/>
        <w:rPr>
          <w:rFonts w:ascii="Arial" w:eastAsia="Times New Roman" w:hAnsi="Arial" w:cs="Arial"/>
          <w:b/>
          <w:bCs/>
          <w:color w:val="000000"/>
          <w:szCs w:val="20"/>
        </w:rPr>
      </w:pPr>
    </w:p>
    <w:p w:rsidR="00D7061A" w:rsidRPr="00BA7A9B" w:rsidRDefault="00D7061A" w:rsidP="00D7061A">
      <w:pPr>
        <w:spacing w:after="0" w:line="240" w:lineRule="auto"/>
        <w:rPr>
          <w:rFonts w:ascii="Arial" w:eastAsia="Times New Roman" w:hAnsi="Arial" w:cs="Arial"/>
          <w:b/>
          <w:bCs/>
          <w:color w:val="000000"/>
          <w:szCs w:val="20"/>
        </w:rPr>
      </w:pPr>
      <w:r w:rsidRPr="00BA7A9B">
        <w:rPr>
          <w:rFonts w:ascii="Arial" w:eastAsia="Times New Roman" w:hAnsi="Arial" w:cs="Arial"/>
          <w:b/>
          <w:bCs/>
          <w:color w:val="000000"/>
          <w:szCs w:val="20"/>
        </w:rPr>
        <w:t>Description of Systematic Review Studies</w:t>
      </w:r>
    </w:p>
    <w:p w:rsidR="00D7061A" w:rsidRPr="00BA7A9B" w:rsidRDefault="00D7061A" w:rsidP="00D7061A">
      <w:pPr>
        <w:spacing w:after="0" w:line="240" w:lineRule="auto"/>
        <w:rPr>
          <w:rFonts w:ascii="Arial" w:hAnsi="Arial" w:cs="Arial"/>
          <w:sz w:val="24"/>
        </w:rPr>
      </w:pPr>
    </w:p>
    <w:tbl>
      <w:tblPr>
        <w:tblStyle w:val="TableGrid"/>
        <w:tblW w:w="14580" w:type="dxa"/>
        <w:tblInd w:w="-725" w:type="dxa"/>
        <w:tblLook w:val="04A0" w:firstRow="1" w:lastRow="0" w:firstColumn="1" w:lastColumn="0" w:noHBand="0" w:noVBand="1"/>
      </w:tblPr>
      <w:tblGrid>
        <w:gridCol w:w="2520"/>
        <w:gridCol w:w="2790"/>
        <w:gridCol w:w="1890"/>
        <w:gridCol w:w="7380"/>
      </w:tblGrid>
      <w:tr w:rsidR="00D7061A" w:rsidRPr="00BA7A9B" w:rsidTr="00647EB7">
        <w:tc>
          <w:tcPr>
            <w:tcW w:w="2520" w:type="dxa"/>
          </w:tcPr>
          <w:p w:rsidR="00D7061A" w:rsidRPr="00BA7A9B" w:rsidRDefault="00D7061A" w:rsidP="00647EB7">
            <w:pPr>
              <w:jc w:val="both"/>
              <w:rPr>
                <w:rFonts w:ascii="Arial" w:eastAsia="Times New Roman" w:hAnsi="Arial" w:cs="Arial"/>
                <w:b/>
                <w:sz w:val="20"/>
                <w:szCs w:val="20"/>
                <w:lang w:val="en-GB"/>
              </w:rPr>
            </w:pPr>
            <w:r w:rsidRPr="00BA7A9B">
              <w:rPr>
                <w:rFonts w:ascii="Arial" w:eastAsia="Times New Roman" w:hAnsi="Arial" w:cs="Arial"/>
                <w:b/>
                <w:sz w:val="20"/>
                <w:szCs w:val="20"/>
                <w:lang w:val="en-GB"/>
              </w:rPr>
              <w:t>Authors Name</w:t>
            </w:r>
          </w:p>
        </w:tc>
        <w:tc>
          <w:tcPr>
            <w:tcW w:w="2790" w:type="dxa"/>
          </w:tcPr>
          <w:p w:rsidR="00D7061A" w:rsidRPr="00BA7A9B" w:rsidRDefault="00D7061A" w:rsidP="00647EB7">
            <w:pPr>
              <w:jc w:val="both"/>
              <w:rPr>
                <w:rFonts w:ascii="Arial" w:eastAsia="Times New Roman" w:hAnsi="Arial" w:cs="Arial"/>
                <w:b/>
                <w:sz w:val="20"/>
                <w:szCs w:val="20"/>
                <w:lang w:val="en-GB"/>
              </w:rPr>
            </w:pPr>
            <w:r w:rsidRPr="00BA7A9B">
              <w:rPr>
                <w:rFonts w:ascii="Arial" w:eastAsia="Times New Roman" w:hAnsi="Arial" w:cs="Arial"/>
                <w:b/>
                <w:sz w:val="20"/>
                <w:szCs w:val="20"/>
                <w:lang w:val="en-GB"/>
              </w:rPr>
              <w:t>Number of Studies analysed</w:t>
            </w:r>
          </w:p>
        </w:tc>
        <w:tc>
          <w:tcPr>
            <w:tcW w:w="1890" w:type="dxa"/>
          </w:tcPr>
          <w:p w:rsidR="00D7061A" w:rsidRPr="00BA7A9B" w:rsidRDefault="00D7061A" w:rsidP="00647EB7">
            <w:pPr>
              <w:jc w:val="both"/>
              <w:rPr>
                <w:rFonts w:ascii="Arial" w:eastAsia="Times New Roman" w:hAnsi="Arial" w:cs="Arial"/>
                <w:b/>
                <w:sz w:val="20"/>
                <w:szCs w:val="20"/>
                <w:lang w:val="en-GB"/>
              </w:rPr>
            </w:pPr>
            <w:r w:rsidRPr="00BA7A9B">
              <w:rPr>
                <w:rFonts w:ascii="Arial" w:eastAsia="Times New Roman" w:hAnsi="Arial" w:cs="Arial"/>
                <w:b/>
                <w:sz w:val="20"/>
                <w:szCs w:val="20"/>
                <w:lang w:val="en-GB"/>
              </w:rPr>
              <w:t>Analysed studies time-period</w:t>
            </w:r>
          </w:p>
        </w:tc>
        <w:tc>
          <w:tcPr>
            <w:tcW w:w="7380" w:type="dxa"/>
          </w:tcPr>
          <w:p w:rsidR="00D7061A" w:rsidRPr="00BA7A9B" w:rsidRDefault="00D7061A" w:rsidP="00647EB7">
            <w:pPr>
              <w:jc w:val="both"/>
              <w:rPr>
                <w:rFonts w:ascii="Arial" w:eastAsia="Times New Roman" w:hAnsi="Arial" w:cs="Arial"/>
                <w:b/>
                <w:sz w:val="20"/>
                <w:szCs w:val="20"/>
                <w:lang w:val="en-GB"/>
              </w:rPr>
            </w:pPr>
            <w:r w:rsidRPr="00BA7A9B">
              <w:rPr>
                <w:rFonts w:ascii="Arial" w:eastAsia="Times New Roman" w:hAnsi="Arial" w:cs="Arial"/>
                <w:b/>
                <w:sz w:val="20"/>
                <w:szCs w:val="20"/>
                <w:lang w:val="en-GB"/>
              </w:rPr>
              <w:t>Key findings and limitations</w:t>
            </w:r>
          </w:p>
        </w:tc>
      </w:tr>
      <w:tr w:rsidR="00D7061A" w:rsidRPr="00BA7A9B" w:rsidTr="00647EB7">
        <w:trPr>
          <w:trHeight w:val="1565"/>
        </w:trPr>
        <w:tc>
          <w:tcPr>
            <w:tcW w:w="2520" w:type="dxa"/>
          </w:tcPr>
          <w:p w:rsidR="00D7061A" w:rsidRPr="00BA7A9B" w:rsidRDefault="00D7061A" w:rsidP="00647EB7">
            <w:pPr>
              <w:jc w:val="both"/>
              <w:rPr>
                <w:rFonts w:ascii="Arial" w:eastAsia="Times New Roman" w:hAnsi="Arial" w:cs="Arial"/>
                <w:b/>
                <w:sz w:val="20"/>
                <w:szCs w:val="20"/>
                <w:lang w:val="en-US"/>
              </w:rPr>
            </w:pPr>
            <w:proofErr w:type="spellStart"/>
            <w:r w:rsidRPr="00BA7A9B">
              <w:rPr>
                <w:rFonts w:ascii="Arial" w:hAnsi="Arial" w:cs="Arial"/>
                <w:b/>
                <w:sz w:val="20"/>
                <w:szCs w:val="20"/>
              </w:rPr>
              <w:t>Ethgen</w:t>
            </w:r>
            <w:proofErr w:type="spellEnd"/>
            <w:r w:rsidRPr="00BA7A9B">
              <w:rPr>
                <w:rFonts w:ascii="Arial" w:hAnsi="Arial" w:cs="Arial"/>
                <w:b/>
                <w:sz w:val="20"/>
                <w:szCs w:val="20"/>
              </w:rPr>
              <w:t xml:space="preserve"> et al (2004)</w:t>
            </w:r>
            <w:r w:rsidRPr="00BA7A9B">
              <w:rPr>
                <w:rFonts w:ascii="Arial" w:hAnsi="Arial" w:cs="Arial"/>
                <w:b/>
                <w:sz w:val="20"/>
                <w:szCs w:val="20"/>
              </w:rPr>
              <w:fldChar w:fldCharType="begin"/>
            </w:r>
            <w:r w:rsidRPr="00BA7A9B">
              <w:rPr>
                <w:rFonts w:ascii="Arial" w:hAnsi="Arial" w:cs="Arial"/>
                <w:b/>
                <w:sz w:val="20"/>
                <w:szCs w:val="20"/>
              </w:rPr>
              <w:instrText xml:space="preserve"> ADDIN ZOTERO_ITEM CSL_CITATION {"citationID":"9TvOVzV1","properties":{"formattedCitation":"[57]","plainCitation":"[57]","noteIndex":0},"citationItems":[{"id":582,"uris":["http://zotero.org/users/local/jmBtsOsM/items/ASTJTWLB"],"itemData":{"id":582,"type":"article-journal","abstract":"BACKGROUND: Total hip and total knee arthroplasties are well accepted as reliable and suitable surgical procedures to return patients to function. Health-related quality-of-life instruments have been used to document outcomes in order to optimize the allocation of resources. The objective of this study was to review the literature regarding the outcomes of total hip and knee arthroplasties as evaluated by health-related quality-of-life instruments.\nMETHODS: The Medline and EMBASE medical literature databases were searched, from January 1980 to June 2003, to identify relevant studies. Studies were eligible for review if they met the following criteria: (1). the language was English or French, (2). at least one well-validated and self-reported health-related quality of life instrument was used, and (3). a prospective cohort study design was used.\nRESULTS: Of the seventy-four studies selected for the review, thirty-two investigated both total hip and total knee arthroplasties, twenty-six focused on total hip arthroplasty, and sixteen focused on total knee arthroplasty exclusively. The most common diagnosis was osteoarthritis. The duration of follow-up ranged from seven days to seven years, with the majority of studies describing results at six to twelve months. The Short Form-36 and the Western Ontario and McMaster University Osteoarthritis Index, the most frequently used instruments, were employed in forty and twenty-eight studies, respectively. Seventeen studies used a utility index. Overall, total hip and total knee arthroplasties were found to be quite effective in terms of improvement in health-related quality-of-life dimensions, with the occasional exception of the social dimension. Age was not found to be an obstacle to effective surgery, and men seemed to benefit more from the intervention than did women. When improvement was found to be modest, the role of comorbidities was highlighted. Total hip arthroplasty appears to return patients to function to a greater extent than do knee procedures, and primary surgery offers greater improvement than does revision. Patients who had poorer preoperative health-related quality of life were more likely to experience greater improvement.\nCONCLUSIONS: Health-related quality-of-life data are valuable, can provide relevant health-status information to health professionals, and should be used as a rationale for the implementation of the most adequate standard of care. Additional knowledge and scientific dissemination of surgery outcomes should help to ensure better management of patients undergoing total hip or total knee arthroplasty and to optimize the use of these procedures.","container-title":"The Journal of Bone and Joint Surgery. American Volume","DOI":"10.2106/00004623-200405000-00012","ISSN":"0021-9355","issue":"5","journalAbbreviation":"J Bone Joint Surg Am","language":"eng","note":"PMID: 15118039","page":"963-974","source":"PubMed","title":"Health-related quality of life in total hip and total knee arthroplasty. A qualitative and systematic review of the literature","volume":"86","author":[{"family":"Ethgen","given":"Olivier"},{"family":"Bruyère","given":"Olivier"},{"family":"Richy","given":"Florent"},{"family":"Dardennes","given":"Charles"},{"family":"Reginster","given":"Jean-Yves"}],"issued":{"date-parts":[["2004",5]]}}}],"schema":"https://github.com/citation-style-language/schema/raw/master/csl-citation.json"} </w:instrText>
            </w:r>
            <w:r w:rsidRPr="00BA7A9B">
              <w:rPr>
                <w:rFonts w:ascii="Arial" w:hAnsi="Arial" w:cs="Arial"/>
                <w:b/>
                <w:sz w:val="20"/>
                <w:szCs w:val="20"/>
              </w:rPr>
              <w:fldChar w:fldCharType="separate"/>
            </w:r>
            <w:r w:rsidRPr="00BA7A9B">
              <w:rPr>
                <w:rFonts w:ascii="Arial" w:hAnsi="Arial" w:cs="Arial"/>
                <w:sz w:val="20"/>
              </w:rPr>
              <w:t>[57]</w:t>
            </w:r>
            <w:r w:rsidRPr="00BA7A9B">
              <w:rPr>
                <w:rFonts w:ascii="Arial" w:hAnsi="Arial" w:cs="Arial"/>
                <w:b/>
                <w:sz w:val="20"/>
                <w:szCs w:val="20"/>
              </w:rPr>
              <w:fldChar w:fldCharType="end"/>
            </w:r>
          </w:p>
        </w:tc>
        <w:tc>
          <w:tcPr>
            <w:tcW w:w="2790" w:type="dxa"/>
          </w:tcPr>
          <w:p w:rsidR="00D7061A" w:rsidRPr="00BA7A9B" w:rsidRDefault="00D7061A" w:rsidP="00647EB7">
            <w:pPr>
              <w:jc w:val="both"/>
              <w:rPr>
                <w:rFonts w:ascii="Arial" w:eastAsia="Times New Roman" w:hAnsi="Arial" w:cs="Arial"/>
                <w:sz w:val="20"/>
                <w:szCs w:val="20"/>
                <w:lang w:val="en-US"/>
              </w:rPr>
            </w:pPr>
            <w:r w:rsidRPr="00BA7A9B">
              <w:rPr>
                <w:rFonts w:ascii="Arial" w:eastAsia="Times New Roman" w:hAnsi="Arial" w:cs="Arial"/>
                <w:sz w:val="20"/>
                <w:szCs w:val="20"/>
                <w:lang w:val="en-US"/>
              </w:rPr>
              <w:t>74</w:t>
            </w:r>
          </w:p>
          <w:p w:rsidR="00D7061A" w:rsidRPr="00BA7A9B" w:rsidRDefault="00D7061A" w:rsidP="00647EB7">
            <w:pPr>
              <w:jc w:val="both"/>
              <w:rPr>
                <w:rFonts w:ascii="Arial" w:eastAsia="Times New Roman" w:hAnsi="Arial" w:cs="Arial"/>
                <w:sz w:val="20"/>
                <w:szCs w:val="20"/>
                <w:lang w:val="en-US"/>
              </w:rPr>
            </w:pPr>
            <w:r w:rsidRPr="00BA7A9B">
              <w:rPr>
                <w:rFonts w:ascii="Arial" w:eastAsia="Times New Roman" w:hAnsi="Arial" w:cs="Arial"/>
                <w:sz w:val="20"/>
                <w:szCs w:val="20"/>
                <w:lang w:val="en-US"/>
              </w:rPr>
              <w:t>(Only Total Knee Replacement (TKR)-16,</w:t>
            </w:r>
          </w:p>
          <w:p w:rsidR="00D7061A" w:rsidRPr="00BA7A9B" w:rsidRDefault="00D7061A" w:rsidP="00647EB7">
            <w:pPr>
              <w:jc w:val="both"/>
              <w:rPr>
                <w:rFonts w:ascii="Arial" w:eastAsia="Times New Roman" w:hAnsi="Arial" w:cs="Arial"/>
                <w:sz w:val="20"/>
                <w:szCs w:val="20"/>
                <w:lang w:val="en-US"/>
              </w:rPr>
            </w:pPr>
            <w:r w:rsidRPr="00BA7A9B">
              <w:rPr>
                <w:rFonts w:ascii="Arial" w:eastAsia="Times New Roman" w:hAnsi="Arial" w:cs="Arial"/>
                <w:sz w:val="20"/>
                <w:szCs w:val="20"/>
                <w:lang w:val="en-US"/>
              </w:rPr>
              <w:t xml:space="preserve">TKA and Total Hip Replacement (THR)-32, </w:t>
            </w:r>
          </w:p>
          <w:p w:rsidR="00D7061A" w:rsidRPr="00BA7A9B" w:rsidRDefault="00D7061A" w:rsidP="00647EB7">
            <w:pPr>
              <w:jc w:val="both"/>
              <w:rPr>
                <w:rFonts w:ascii="Arial" w:eastAsia="Times New Roman" w:hAnsi="Arial" w:cs="Arial"/>
                <w:sz w:val="20"/>
                <w:szCs w:val="20"/>
                <w:lang w:val="en-US"/>
              </w:rPr>
            </w:pPr>
            <w:r w:rsidRPr="00BA7A9B">
              <w:rPr>
                <w:rFonts w:ascii="Arial" w:eastAsia="Times New Roman" w:hAnsi="Arial" w:cs="Arial"/>
                <w:sz w:val="20"/>
                <w:szCs w:val="20"/>
                <w:lang w:val="en-US"/>
              </w:rPr>
              <w:t>Only THR-26)</w:t>
            </w:r>
          </w:p>
          <w:p w:rsidR="00D7061A" w:rsidRPr="00BA7A9B" w:rsidRDefault="00D7061A" w:rsidP="00647EB7">
            <w:pPr>
              <w:jc w:val="both"/>
              <w:rPr>
                <w:rFonts w:ascii="Arial" w:eastAsia="Times New Roman" w:hAnsi="Arial" w:cs="Arial"/>
                <w:sz w:val="20"/>
                <w:szCs w:val="20"/>
                <w:lang w:val="en-GB"/>
              </w:rPr>
            </w:pPr>
          </w:p>
        </w:tc>
        <w:tc>
          <w:tcPr>
            <w:tcW w:w="1890" w:type="dxa"/>
          </w:tcPr>
          <w:p w:rsidR="00D7061A" w:rsidRPr="00BA7A9B" w:rsidRDefault="00D7061A" w:rsidP="00647EB7">
            <w:pPr>
              <w:jc w:val="both"/>
              <w:rPr>
                <w:rFonts w:ascii="Arial" w:eastAsia="Times New Roman" w:hAnsi="Arial" w:cs="Arial"/>
                <w:sz w:val="20"/>
                <w:szCs w:val="20"/>
                <w:lang w:val="en-GB"/>
              </w:rPr>
            </w:pPr>
            <w:r w:rsidRPr="00BA7A9B">
              <w:rPr>
                <w:rFonts w:ascii="Arial" w:hAnsi="Arial" w:cs="Arial"/>
                <w:sz w:val="20"/>
                <w:szCs w:val="20"/>
              </w:rPr>
              <w:t>Jan1980-June 2003</w:t>
            </w:r>
          </w:p>
        </w:tc>
        <w:tc>
          <w:tcPr>
            <w:tcW w:w="7380" w:type="dxa"/>
          </w:tcPr>
          <w:p w:rsidR="00D7061A" w:rsidRPr="00BA7A9B" w:rsidRDefault="00D7061A" w:rsidP="00647EB7">
            <w:pPr>
              <w:rPr>
                <w:rFonts w:ascii="Arial" w:hAnsi="Arial" w:cs="Arial"/>
                <w:sz w:val="20"/>
                <w:szCs w:val="20"/>
              </w:rPr>
            </w:pPr>
            <w:r w:rsidRPr="00BA7A9B">
              <w:rPr>
                <w:rFonts w:ascii="Arial" w:eastAsia="Times New Roman" w:hAnsi="Arial" w:cs="Arial"/>
                <w:b/>
                <w:sz w:val="20"/>
                <w:szCs w:val="20"/>
                <w:lang w:val="en-GB"/>
              </w:rPr>
              <w:t>Key Findings:</w:t>
            </w:r>
            <w:r w:rsidRPr="00BA7A9B">
              <w:rPr>
                <w:rFonts w:ascii="Arial" w:hAnsi="Arial" w:cs="Arial"/>
                <w:sz w:val="20"/>
                <w:szCs w:val="20"/>
              </w:rPr>
              <w:t xml:space="preserve"> Improvement in quality of life after TKR was greater in those with poorer pre-operative quality of life (</w:t>
            </w:r>
            <w:proofErr w:type="spellStart"/>
            <w:r w:rsidRPr="00BA7A9B">
              <w:rPr>
                <w:rFonts w:ascii="Arial" w:hAnsi="Arial" w:cs="Arial"/>
                <w:sz w:val="20"/>
                <w:szCs w:val="20"/>
              </w:rPr>
              <w:t>QoL</w:t>
            </w:r>
            <w:proofErr w:type="spellEnd"/>
            <w:r w:rsidRPr="00BA7A9B">
              <w:rPr>
                <w:rFonts w:ascii="Arial" w:hAnsi="Arial" w:cs="Arial"/>
                <w:sz w:val="20"/>
                <w:szCs w:val="20"/>
              </w:rPr>
              <w:t xml:space="preserve">). Men benefitted from the procedure more than women. Age was not a hindrance to surgery. Co-morbidities played a role in the improvement in </w:t>
            </w:r>
            <w:proofErr w:type="spellStart"/>
            <w:r w:rsidRPr="00BA7A9B">
              <w:rPr>
                <w:rFonts w:ascii="Arial" w:hAnsi="Arial" w:cs="Arial"/>
                <w:sz w:val="20"/>
                <w:szCs w:val="20"/>
              </w:rPr>
              <w:t>QoL</w:t>
            </w:r>
            <w:proofErr w:type="spellEnd"/>
          </w:p>
          <w:p w:rsidR="00D7061A" w:rsidRPr="00BA7A9B" w:rsidRDefault="00D7061A" w:rsidP="00647EB7">
            <w:pPr>
              <w:rPr>
                <w:rFonts w:ascii="Arial" w:hAnsi="Arial" w:cs="Arial"/>
                <w:b/>
                <w:sz w:val="20"/>
                <w:szCs w:val="20"/>
              </w:rPr>
            </w:pPr>
            <w:r w:rsidRPr="00BA7A9B">
              <w:rPr>
                <w:rFonts w:ascii="Arial" w:hAnsi="Arial" w:cs="Arial"/>
                <w:b/>
                <w:sz w:val="20"/>
                <w:szCs w:val="20"/>
              </w:rPr>
              <w:t>Limitations:</w:t>
            </w:r>
            <w:r w:rsidRPr="00BA7A9B">
              <w:rPr>
                <w:rFonts w:ascii="Arial" w:hAnsi="Arial" w:cs="Arial"/>
                <w:sz w:val="20"/>
                <w:szCs w:val="20"/>
              </w:rPr>
              <w:t xml:space="preserve"> Results cannot be generalized since data was obtained from surgeon or hospital -based cohorts. Most of the studies were observational studies. Meta-analysis was not conducted.</w:t>
            </w:r>
          </w:p>
        </w:tc>
      </w:tr>
      <w:tr w:rsidR="00D7061A" w:rsidRPr="00BA7A9B" w:rsidTr="00647EB7">
        <w:tc>
          <w:tcPr>
            <w:tcW w:w="2520" w:type="dxa"/>
          </w:tcPr>
          <w:p w:rsidR="00D7061A" w:rsidRPr="00BA7A9B" w:rsidRDefault="00D7061A" w:rsidP="00647EB7">
            <w:pPr>
              <w:rPr>
                <w:rFonts w:ascii="Arial" w:hAnsi="Arial" w:cs="Arial"/>
                <w:b/>
                <w:sz w:val="20"/>
                <w:szCs w:val="20"/>
              </w:rPr>
            </w:pPr>
            <w:r w:rsidRPr="00BA7A9B">
              <w:rPr>
                <w:rFonts w:ascii="Arial" w:hAnsi="Arial" w:cs="Arial"/>
                <w:b/>
                <w:sz w:val="20"/>
                <w:szCs w:val="20"/>
              </w:rPr>
              <w:t>Browne et al (2013)</w:t>
            </w:r>
            <w:r w:rsidRPr="00BA7A9B">
              <w:rPr>
                <w:rFonts w:ascii="Arial" w:hAnsi="Arial" w:cs="Arial"/>
                <w:b/>
                <w:sz w:val="20"/>
                <w:szCs w:val="20"/>
              </w:rPr>
              <w:fldChar w:fldCharType="begin"/>
            </w:r>
            <w:r w:rsidRPr="00BA7A9B">
              <w:rPr>
                <w:rFonts w:ascii="Arial" w:hAnsi="Arial" w:cs="Arial"/>
                <w:b/>
                <w:sz w:val="20"/>
                <w:szCs w:val="20"/>
              </w:rPr>
              <w:instrText xml:space="preserve"> ADDIN ZOTERO_ITEM CSL_CITATION {"citationID":"HNaZkjB0","properties":{"formattedCitation":"[58]","plainCitation":"[58]","noteIndex":0},"citationItems":[{"id":586,"uris":["http://zotero.org/users/local/jmBtsOsM/items/VH3HTIGJ"],"itemData":{"id":586,"type":"article-journal","abstract":"It is unclear if there is a clinically important improvement in the six to 12-month recovery period after hip and knee replacement. This is an obvious gap in the evidence required by patients undergoing these procedures. It is also an issue for the English PROMs (Patient-Reported Outcome Measures) Programme which uses 6-month outcome data to compare the results of hospitals that perform hip and knee replacements.","container-title":"Health and Quality of Life Outcomes","DOI":"10.1186/1477-7525-11-128","ISSN":"1477-7525","issue":"1","journalAbbreviation":"Health and Quality of Life Outcomes","page":"128","source":"BioMed Central","title":"What is the optimal time point to assess patient-reported recovery after hip and knee replacement? a systematic review and analysis of routinely reported outcome data from the English patient-reported outcome measures programme","title-short":"What is the optimal time point to assess patient-reported recovery after hip and knee replacement?","volume":"11","author":[{"family":"Browne","given":"John Patrick"},{"family":"Bastaki","given":"Hamad"},{"family":"Dawson","given":"Jill"}],"issued":{"date-parts":[["2013",7,30]]}}}],"schema":"https://github.com/citation-style-language/schema/raw/master/csl-citation.json"} </w:instrText>
            </w:r>
            <w:r w:rsidRPr="00BA7A9B">
              <w:rPr>
                <w:rFonts w:ascii="Arial" w:hAnsi="Arial" w:cs="Arial"/>
                <w:b/>
                <w:sz w:val="20"/>
                <w:szCs w:val="20"/>
              </w:rPr>
              <w:fldChar w:fldCharType="separate"/>
            </w:r>
            <w:r w:rsidRPr="00BA7A9B">
              <w:rPr>
                <w:rFonts w:ascii="Arial" w:hAnsi="Arial" w:cs="Arial"/>
                <w:sz w:val="20"/>
              </w:rPr>
              <w:t>[58]</w:t>
            </w:r>
            <w:r w:rsidRPr="00BA7A9B">
              <w:rPr>
                <w:rFonts w:ascii="Arial" w:hAnsi="Arial" w:cs="Arial"/>
                <w:b/>
                <w:sz w:val="20"/>
                <w:szCs w:val="20"/>
              </w:rPr>
              <w:fldChar w:fldCharType="end"/>
            </w:r>
          </w:p>
        </w:tc>
        <w:tc>
          <w:tcPr>
            <w:tcW w:w="2790" w:type="dxa"/>
          </w:tcPr>
          <w:p w:rsidR="00D7061A" w:rsidRPr="00BA7A9B" w:rsidRDefault="00D7061A" w:rsidP="00647EB7">
            <w:pPr>
              <w:jc w:val="both"/>
              <w:rPr>
                <w:rFonts w:ascii="Arial" w:eastAsia="Times New Roman" w:hAnsi="Arial" w:cs="Arial"/>
                <w:sz w:val="20"/>
                <w:szCs w:val="20"/>
                <w:lang w:val="en-GB"/>
              </w:rPr>
            </w:pPr>
            <w:r w:rsidRPr="00BA7A9B">
              <w:rPr>
                <w:rFonts w:ascii="Arial" w:eastAsia="Times New Roman" w:hAnsi="Arial" w:cs="Arial"/>
                <w:sz w:val="20"/>
                <w:szCs w:val="20"/>
                <w:lang w:val="en-GB"/>
              </w:rPr>
              <w:t>23</w:t>
            </w:r>
          </w:p>
          <w:p w:rsidR="00D7061A" w:rsidRPr="00BA7A9B" w:rsidRDefault="00D7061A" w:rsidP="00647EB7">
            <w:pPr>
              <w:jc w:val="both"/>
              <w:rPr>
                <w:rFonts w:ascii="Arial" w:eastAsia="Times New Roman" w:hAnsi="Arial" w:cs="Arial"/>
                <w:sz w:val="20"/>
                <w:szCs w:val="20"/>
                <w:lang w:val="en-GB"/>
              </w:rPr>
            </w:pPr>
            <w:r w:rsidRPr="00BA7A9B">
              <w:rPr>
                <w:rFonts w:ascii="Arial" w:eastAsia="Times New Roman" w:hAnsi="Arial" w:cs="Arial"/>
                <w:sz w:val="20"/>
                <w:szCs w:val="20"/>
                <w:lang w:val="en-GB"/>
              </w:rPr>
              <w:t>(Only TKR-13</w:t>
            </w:r>
          </w:p>
          <w:p w:rsidR="00D7061A" w:rsidRPr="00BA7A9B" w:rsidRDefault="00D7061A" w:rsidP="00647EB7">
            <w:pPr>
              <w:jc w:val="both"/>
              <w:rPr>
                <w:rFonts w:ascii="Arial" w:eastAsia="Times New Roman" w:hAnsi="Arial" w:cs="Arial"/>
                <w:sz w:val="20"/>
                <w:szCs w:val="20"/>
                <w:lang w:val="en-GB"/>
              </w:rPr>
            </w:pPr>
            <w:r w:rsidRPr="00BA7A9B">
              <w:rPr>
                <w:rFonts w:ascii="Arial" w:eastAsia="Times New Roman" w:hAnsi="Arial" w:cs="Arial"/>
                <w:sz w:val="20"/>
                <w:szCs w:val="20"/>
                <w:lang w:val="en-GB"/>
              </w:rPr>
              <w:t>and only THR-10)</w:t>
            </w:r>
          </w:p>
        </w:tc>
        <w:tc>
          <w:tcPr>
            <w:tcW w:w="1890" w:type="dxa"/>
          </w:tcPr>
          <w:p w:rsidR="00D7061A" w:rsidRPr="00BA7A9B" w:rsidRDefault="00D7061A" w:rsidP="00647EB7">
            <w:pPr>
              <w:jc w:val="both"/>
              <w:rPr>
                <w:rFonts w:ascii="Arial" w:eastAsia="Times New Roman" w:hAnsi="Arial" w:cs="Arial"/>
                <w:sz w:val="20"/>
                <w:szCs w:val="20"/>
                <w:lang w:val="en-GB"/>
              </w:rPr>
            </w:pPr>
            <w:r w:rsidRPr="00BA7A9B">
              <w:rPr>
                <w:rFonts w:ascii="Arial" w:eastAsia="Times New Roman" w:hAnsi="Arial" w:cs="Arial"/>
                <w:sz w:val="20"/>
                <w:szCs w:val="20"/>
                <w:lang w:val="en-GB"/>
              </w:rPr>
              <w:t>2002-2011</w:t>
            </w:r>
          </w:p>
        </w:tc>
        <w:tc>
          <w:tcPr>
            <w:tcW w:w="7380" w:type="dxa"/>
          </w:tcPr>
          <w:p w:rsidR="00D7061A" w:rsidRPr="00BA7A9B" w:rsidRDefault="00D7061A" w:rsidP="00647EB7">
            <w:pPr>
              <w:jc w:val="both"/>
              <w:rPr>
                <w:rFonts w:ascii="Arial" w:hAnsi="Arial" w:cs="Arial"/>
                <w:sz w:val="20"/>
                <w:szCs w:val="20"/>
              </w:rPr>
            </w:pPr>
            <w:r w:rsidRPr="00BA7A9B">
              <w:rPr>
                <w:rFonts w:ascii="Arial" w:eastAsia="Times New Roman" w:hAnsi="Arial" w:cs="Arial"/>
                <w:b/>
                <w:sz w:val="20"/>
                <w:szCs w:val="20"/>
                <w:lang w:val="en-GB"/>
              </w:rPr>
              <w:t>Key Findings:</w:t>
            </w:r>
            <w:r w:rsidRPr="00BA7A9B">
              <w:rPr>
                <w:rFonts w:ascii="Arial" w:hAnsi="Arial" w:cs="Arial"/>
                <w:sz w:val="20"/>
                <w:szCs w:val="20"/>
              </w:rPr>
              <w:t xml:space="preserve"> Improvement in Oxford Knee Scores (OKS) between 6 and 12 months post-TKR</w:t>
            </w:r>
          </w:p>
          <w:p w:rsidR="00D7061A" w:rsidRPr="00BA7A9B" w:rsidRDefault="00D7061A" w:rsidP="00647EB7">
            <w:pPr>
              <w:rPr>
                <w:rFonts w:ascii="Arial" w:eastAsia="Times New Roman" w:hAnsi="Arial" w:cs="Arial"/>
                <w:b/>
                <w:sz w:val="20"/>
                <w:szCs w:val="20"/>
                <w:lang w:val="en-GB"/>
              </w:rPr>
            </w:pPr>
            <w:r w:rsidRPr="00BA7A9B">
              <w:rPr>
                <w:rFonts w:ascii="Arial" w:hAnsi="Arial" w:cs="Arial"/>
                <w:b/>
                <w:sz w:val="20"/>
                <w:szCs w:val="20"/>
              </w:rPr>
              <w:t>Limitations:</w:t>
            </w:r>
            <w:r w:rsidRPr="00BA7A9B">
              <w:rPr>
                <w:rFonts w:ascii="Arial" w:hAnsi="Arial" w:cs="Arial"/>
                <w:sz w:val="20"/>
                <w:szCs w:val="20"/>
              </w:rPr>
              <w:t xml:space="preserve"> Lack of generalisability to other countries. Narrative synthesis done due to heterogeneity of patient groups and study designs.</w:t>
            </w:r>
          </w:p>
        </w:tc>
      </w:tr>
      <w:tr w:rsidR="00D7061A" w:rsidRPr="00BA7A9B" w:rsidTr="00647EB7">
        <w:tc>
          <w:tcPr>
            <w:tcW w:w="2520" w:type="dxa"/>
          </w:tcPr>
          <w:p w:rsidR="00D7061A" w:rsidRPr="00BA7A9B" w:rsidRDefault="00D7061A" w:rsidP="00647EB7">
            <w:pPr>
              <w:jc w:val="both"/>
              <w:rPr>
                <w:rFonts w:ascii="Arial" w:eastAsia="Times New Roman" w:hAnsi="Arial" w:cs="Arial"/>
                <w:b/>
                <w:sz w:val="20"/>
                <w:szCs w:val="20"/>
                <w:lang w:val="en-GB"/>
              </w:rPr>
            </w:pPr>
            <w:r w:rsidRPr="00BA7A9B">
              <w:rPr>
                <w:rFonts w:ascii="Arial" w:hAnsi="Arial" w:cs="Arial"/>
                <w:b/>
                <w:sz w:val="20"/>
                <w:szCs w:val="20"/>
              </w:rPr>
              <w:t>DaSilva et al (2014)</w:t>
            </w:r>
            <w:r w:rsidRPr="00BA7A9B">
              <w:rPr>
                <w:rFonts w:ascii="Arial" w:hAnsi="Arial" w:cs="Arial"/>
                <w:b/>
                <w:sz w:val="20"/>
                <w:szCs w:val="20"/>
              </w:rPr>
              <w:fldChar w:fldCharType="begin"/>
            </w:r>
            <w:r w:rsidRPr="00BA7A9B">
              <w:rPr>
                <w:rFonts w:ascii="Arial" w:hAnsi="Arial" w:cs="Arial"/>
                <w:b/>
                <w:sz w:val="20"/>
                <w:szCs w:val="20"/>
              </w:rPr>
              <w:instrText xml:space="preserve"> ADDIN ZOTERO_ITEM CSL_CITATION {"citationID":"RR6CvKRT","properties":{"formattedCitation":"[59]","plainCitation":"[59]","noteIndex":0},"citationItems":[{"id":584,"uris":["http://zotero.org/users/local/jmBtsOsM/items/GRGM868V"],"itemData":{"id":584,"type":"article-journal","abstract":"ObjectiveTo review the literature on quality of life among patients who underwent total knee arthroplasty (TKA) and assess the impact of various associated factors.Methodsthis was a systematic review of the literature in the Medline, Embase, Lilacs and SciELO databases, using the terms: TKA (total knee arthroplasty); TKR (total knee replacement); quality of life; and outcomes. There were no restrictions regarding study design.Results31 articles addressing this topic using various quality-of-life evaluation protocols were selected. SF-36/SF-12, WOMAC and Oxford were the ones most frequently used. The studies made it possible to define that TKA is capable of making an overall improvement in patients' quality of life. Pain and function are among the most important predictors of improvement in quality of life, even when function remains inferior to that of healthy patients.ConclusionThe factors associated negatively were obesity, advanced age, comorbidities, persistence of pain after the procedure and a lengthy wait for surgery.","container-title":"Revista brasileira de ortopedia","DOI":"10.1016/j.rboe.2014.09.007","ISSN":"2255-4971","issue":"5","journalAbbreviation":"Rev Bras Ortop","language":"eng","note":"PMID: 26229855\nPMCID: PMC4487445","page":"520-527","source":"Europe PMC","title":"Quality of life after total knee arthroplasty: systematic review","title-short":"Quality of life after total knee arthroplasty","volume":"49","author":[{"family":"Silva","given":"Robson Rocha","non-dropping-particle":"da"},{"family":"Santos","given":"Ayrton André Melo"},{"family":"Sampaio Carvalho Júnior","given":"José","non-dropping-particle":"de"},{"family":"Matos","given":"Marcos Almeida"}],"issued":{"date-parts":[["2014",9,1]]}}}],"schema":"https://github.com/citation-style-language/schema/raw/master/csl-citation.json"} </w:instrText>
            </w:r>
            <w:r w:rsidRPr="00BA7A9B">
              <w:rPr>
                <w:rFonts w:ascii="Arial" w:hAnsi="Arial" w:cs="Arial"/>
                <w:b/>
                <w:sz w:val="20"/>
                <w:szCs w:val="20"/>
              </w:rPr>
              <w:fldChar w:fldCharType="separate"/>
            </w:r>
            <w:r w:rsidRPr="00BA7A9B">
              <w:rPr>
                <w:rFonts w:ascii="Arial" w:hAnsi="Arial" w:cs="Arial"/>
                <w:sz w:val="20"/>
              </w:rPr>
              <w:t>[59]</w:t>
            </w:r>
            <w:r w:rsidRPr="00BA7A9B">
              <w:rPr>
                <w:rFonts w:ascii="Arial" w:hAnsi="Arial" w:cs="Arial"/>
                <w:b/>
                <w:sz w:val="20"/>
                <w:szCs w:val="20"/>
              </w:rPr>
              <w:fldChar w:fldCharType="end"/>
            </w:r>
          </w:p>
        </w:tc>
        <w:tc>
          <w:tcPr>
            <w:tcW w:w="2790" w:type="dxa"/>
          </w:tcPr>
          <w:p w:rsidR="00D7061A" w:rsidRPr="00BA7A9B" w:rsidRDefault="00D7061A" w:rsidP="00647EB7">
            <w:pPr>
              <w:jc w:val="both"/>
              <w:rPr>
                <w:rFonts w:ascii="Arial" w:eastAsia="Times New Roman" w:hAnsi="Arial" w:cs="Arial"/>
                <w:sz w:val="20"/>
                <w:szCs w:val="20"/>
                <w:lang w:val="en-GB"/>
              </w:rPr>
            </w:pPr>
            <w:r w:rsidRPr="00BA7A9B">
              <w:rPr>
                <w:rFonts w:ascii="Arial" w:eastAsia="Times New Roman" w:hAnsi="Arial" w:cs="Arial"/>
                <w:sz w:val="20"/>
                <w:szCs w:val="20"/>
                <w:lang w:val="en-GB"/>
              </w:rPr>
              <w:t>31 (only TKR)</w:t>
            </w:r>
          </w:p>
        </w:tc>
        <w:tc>
          <w:tcPr>
            <w:tcW w:w="1890" w:type="dxa"/>
          </w:tcPr>
          <w:p w:rsidR="00D7061A" w:rsidRPr="00BA7A9B" w:rsidRDefault="00D7061A" w:rsidP="00647EB7">
            <w:pPr>
              <w:jc w:val="both"/>
              <w:rPr>
                <w:rFonts w:ascii="Arial" w:eastAsia="Times New Roman" w:hAnsi="Arial" w:cs="Arial"/>
                <w:sz w:val="20"/>
                <w:szCs w:val="20"/>
                <w:lang w:val="en-GB"/>
              </w:rPr>
            </w:pPr>
            <w:r w:rsidRPr="00BA7A9B">
              <w:rPr>
                <w:rFonts w:ascii="Arial" w:eastAsia="Times New Roman" w:hAnsi="Arial" w:cs="Arial"/>
                <w:sz w:val="20"/>
                <w:szCs w:val="20"/>
                <w:lang w:val="en-GB"/>
              </w:rPr>
              <w:t>1996-2012</w:t>
            </w:r>
          </w:p>
        </w:tc>
        <w:tc>
          <w:tcPr>
            <w:tcW w:w="7380" w:type="dxa"/>
          </w:tcPr>
          <w:p w:rsidR="00D7061A" w:rsidRPr="00BA7A9B" w:rsidRDefault="00D7061A" w:rsidP="00647EB7">
            <w:pPr>
              <w:rPr>
                <w:rFonts w:ascii="Arial" w:hAnsi="Arial" w:cs="Arial"/>
                <w:sz w:val="20"/>
                <w:szCs w:val="20"/>
              </w:rPr>
            </w:pPr>
            <w:r w:rsidRPr="00BA7A9B">
              <w:rPr>
                <w:rFonts w:ascii="Arial" w:eastAsia="Times New Roman" w:hAnsi="Arial" w:cs="Arial"/>
                <w:b/>
                <w:sz w:val="20"/>
                <w:szCs w:val="20"/>
                <w:lang w:val="en-GB"/>
              </w:rPr>
              <w:t>Key Findings:</w:t>
            </w:r>
            <w:r w:rsidRPr="00BA7A9B">
              <w:rPr>
                <w:rFonts w:ascii="Arial" w:hAnsi="Arial" w:cs="Arial"/>
                <w:sz w:val="20"/>
                <w:szCs w:val="20"/>
              </w:rPr>
              <w:t xml:space="preserve"> TKR resulted in an improvement in </w:t>
            </w:r>
            <w:proofErr w:type="spellStart"/>
            <w:r w:rsidRPr="00BA7A9B">
              <w:rPr>
                <w:rFonts w:ascii="Arial" w:hAnsi="Arial" w:cs="Arial"/>
                <w:sz w:val="20"/>
                <w:szCs w:val="20"/>
              </w:rPr>
              <w:t>QoL</w:t>
            </w:r>
            <w:proofErr w:type="spellEnd"/>
          </w:p>
          <w:p w:rsidR="00D7061A" w:rsidRPr="00BA7A9B" w:rsidRDefault="00D7061A" w:rsidP="00647EB7">
            <w:pPr>
              <w:rPr>
                <w:rFonts w:ascii="Arial" w:hAnsi="Arial" w:cs="Arial"/>
                <w:sz w:val="20"/>
                <w:szCs w:val="20"/>
              </w:rPr>
            </w:pPr>
            <w:r w:rsidRPr="00BA7A9B">
              <w:rPr>
                <w:rFonts w:ascii="Arial" w:hAnsi="Arial" w:cs="Arial"/>
                <w:sz w:val="20"/>
                <w:szCs w:val="20"/>
              </w:rPr>
              <w:t xml:space="preserve">Pain and function are the most important predictors of improved </w:t>
            </w:r>
            <w:proofErr w:type="spellStart"/>
            <w:r w:rsidRPr="00BA7A9B">
              <w:rPr>
                <w:rFonts w:ascii="Arial" w:hAnsi="Arial" w:cs="Arial"/>
                <w:sz w:val="20"/>
                <w:szCs w:val="20"/>
              </w:rPr>
              <w:t>QoL</w:t>
            </w:r>
            <w:proofErr w:type="spellEnd"/>
            <w:r w:rsidRPr="00BA7A9B">
              <w:rPr>
                <w:rFonts w:ascii="Arial" w:hAnsi="Arial" w:cs="Arial"/>
                <w:sz w:val="20"/>
                <w:szCs w:val="20"/>
              </w:rPr>
              <w:t>. Factors associated negatively with TKR were advancing age, obesity, co-morbidities, prolonged waiting time for surgery and persistence of pain post-TK</w:t>
            </w:r>
            <w:r w:rsidRPr="00BA7A9B">
              <w:rPr>
                <w:rFonts w:ascii="Arial" w:hAnsi="Arial" w:cs="Arial"/>
                <w:sz w:val="20"/>
                <w:szCs w:val="20"/>
                <w:lang w:val="en-US"/>
              </w:rPr>
              <w:t>R</w:t>
            </w:r>
            <w:r w:rsidRPr="00BA7A9B">
              <w:rPr>
                <w:rFonts w:ascii="Arial" w:hAnsi="Arial" w:cs="Arial"/>
                <w:sz w:val="20"/>
                <w:szCs w:val="20"/>
              </w:rPr>
              <w:t>. Factors positively correlated were less claudication, adequate social and familial support, between dynamic balance and quality of sleep, physical activity before the procedure and fulfilment of patient’s expectations</w:t>
            </w:r>
          </w:p>
          <w:p w:rsidR="00D7061A" w:rsidRPr="00BA7A9B" w:rsidRDefault="00D7061A" w:rsidP="00647EB7">
            <w:pPr>
              <w:rPr>
                <w:rFonts w:ascii="Arial" w:hAnsi="Arial" w:cs="Arial"/>
                <w:b/>
                <w:sz w:val="20"/>
                <w:szCs w:val="20"/>
              </w:rPr>
            </w:pPr>
            <w:r w:rsidRPr="00BA7A9B">
              <w:rPr>
                <w:rFonts w:ascii="Arial" w:hAnsi="Arial" w:cs="Arial"/>
                <w:b/>
                <w:sz w:val="20"/>
                <w:szCs w:val="20"/>
              </w:rPr>
              <w:t xml:space="preserve">Limitations: </w:t>
            </w:r>
            <w:r w:rsidRPr="00BA7A9B">
              <w:rPr>
                <w:rFonts w:ascii="Arial" w:hAnsi="Arial" w:cs="Arial"/>
                <w:sz w:val="20"/>
                <w:szCs w:val="20"/>
              </w:rPr>
              <w:t>Due to heterogeneity of studies and non-standardized form of presentation of the effect size of the outcome variable, meta-analysis was not done.</w:t>
            </w:r>
          </w:p>
        </w:tc>
      </w:tr>
      <w:tr w:rsidR="00D7061A" w:rsidRPr="00BA7A9B" w:rsidTr="00647EB7">
        <w:tc>
          <w:tcPr>
            <w:tcW w:w="2520" w:type="dxa"/>
          </w:tcPr>
          <w:p w:rsidR="00D7061A" w:rsidRPr="00BA7A9B" w:rsidRDefault="00D7061A" w:rsidP="00647EB7">
            <w:pPr>
              <w:jc w:val="both"/>
              <w:rPr>
                <w:rFonts w:ascii="Arial" w:eastAsia="Times New Roman" w:hAnsi="Arial" w:cs="Arial"/>
                <w:b/>
                <w:sz w:val="20"/>
                <w:szCs w:val="20"/>
                <w:lang w:val="en-GB"/>
              </w:rPr>
            </w:pPr>
            <w:r w:rsidRPr="00BA7A9B">
              <w:rPr>
                <w:rFonts w:ascii="Arial" w:hAnsi="Arial" w:cs="Arial"/>
                <w:b/>
                <w:sz w:val="20"/>
                <w:szCs w:val="20"/>
              </w:rPr>
              <w:t>Shan et al (2015)</w:t>
            </w:r>
            <w:r w:rsidRPr="00BA7A9B">
              <w:rPr>
                <w:rFonts w:ascii="Arial" w:hAnsi="Arial" w:cs="Arial"/>
                <w:b/>
                <w:sz w:val="20"/>
                <w:szCs w:val="20"/>
              </w:rPr>
              <w:fldChar w:fldCharType="begin"/>
            </w:r>
            <w:r w:rsidRPr="00BA7A9B">
              <w:rPr>
                <w:rFonts w:ascii="Arial" w:hAnsi="Arial" w:cs="Arial"/>
                <w:b/>
                <w:sz w:val="20"/>
                <w:szCs w:val="20"/>
              </w:rPr>
              <w:instrText xml:space="preserve"> ADDIN ZOTERO_ITEM CSL_CITATION {"citationID":"NEldHWqk","properties":{"formattedCitation":"[60]","plainCitation":"[60]","noteIndex":0},"citationItems":[{"id":591,"uris":["http://zotero.org/users/local/jmBtsOsM/items/9RKJY2PA"],"itemData":{"id":591,"type":"article-journal","abstract":"BACKGROUND: Total knee replacement is a highly successful and frequently performed operation. Technical outcomes of surgery are excellent, with favorable early postoperative health-related quality of life. This study reviews intermediate and long-term quality of life after surgery.\nMETHODS: A systematic review and meta-analysis of all studies published from January 2000 onward was performed to evaluate health-related quality of life after primary total knee replacement for osteoarthritis in patients with at least three years of follow-up. Key outcomes were postoperative quality of life, function, and satisfaction compared with the preoperative status. Strict inclusion and exclusion criteria were applied. Quality appraisal and data tabulation were performed with use of predefined criteria. Data were synthesized by narrative review and random-effects meta-analysis utilizing standardized mean differences. Heterogeneity was assessed with the tau(2) and I(2) statistics.\nRESULTS: Nineteen studies were included in the review. Intermediate and long-term postoperative quality of life was superior to the preoperative level in qualitative and quantitative analyses. The pooled effect in combined WOMAC (Western Ontario and McMaster Universities Osteoarthritis Index) and KSS (Knee Society Score) outcomes was a marked improvement from baseline with respect to the total score (2.17; 95% CI [confidence interval], 1.13 to 3.22; p &lt; 0.0001) and the pain (1.72; 95% CI, 0.97 to 2.46; p &lt; 0.00001) and function (1.26; 95% CI, 0.87 to 1.64; p &lt; 0.00001) domains. Most patients were satisfied with the surgery and derived substantial benefits for daily functional activities. Tau(2) (0.20 to 1.10) and I(2) (90% to 98%) values implied significant clinical and statistical heterogeneity.\nCONCLUSIONS: Total knee replacement confers significant intermediate and long-term benefits with respect to both disease-specific and generic health-related quality of life, especially pain and function, leading to positive patient satisfaction. Recommendations for necessary future studies are provided.\nLEVEL OF EVIDENCE: Therapeutic Level II. See Instructions for Authors for a complete description of levels of evidence.","container-title":"The Journal of Bone and Joint Surgery. American Volume","DOI":"10.2106/JBJS.M.00372","ISSN":"1535-1386","issue":"2","journalAbbreviation":"J Bone Joint Surg Am","language":"eng","note":"PMID: 25609443","page":"156-168","source":"PubMed","title":"Intermediate and long-term quality of life after total knee replacement: a systematic review and meta-analysis","title-short":"Intermediate and long-term quality of life after total knee replacement","volume":"97","author":[{"family":"Shan","given":"Leonard"},{"family":"Shan","given":"Bernard"},{"family":"Suzuki","given":"Arnold"},{"family":"Nouh","given":"Fred"},{"family":"Saxena","given":"Akshat"}],"issued":{"date-parts":[["2015",1,21]]}}}],"schema":"https://github.com/citation-style-language/schema/raw/master/csl-citation.json"} </w:instrText>
            </w:r>
            <w:r w:rsidRPr="00BA7A9B">
              <w:rPr>
                <w:rFonts w:ascii="Arial" w:hAnsi="Arial" w:cs="Arial"/>
                <w:b/>
                <w:sz w:val="20"/>
                <w:szCs w:val="20"/>
              </w:rPr>
              <w:fldChar w:fldCharType="separate"/>
            </w:r>
            <w:r w:rsidRPr="00BA7A9B">
              <w:rPr>
                <w:rFonts w:ascii="Arial" w:hAnsi="Arial" w:cs="Arial"/>
                <w:sz w:val="20"/>
              </w:rPr>
              <w:t>[60]</w:t>
            </w:r>
            <w:r w:rsidRPr="00BA7A9B">
              <w:rPr>
                <w:rFonts w:ascii="Arial" w:hAnsi="Arial" w:cs="Arial"/>
                <w:b/>
                <w:sz w:val="20"/>
                <w:szCs w:val="20"/>
              </w:rPr>
              <w:fldChar w:fldCharType="end"/>
            </w:r>
          </w:p>
        </w:tc>
        <w:tc>
          <w:tcPr>
            <w:tcW w:w="2790" w:type="dxa"/>
          </w:tcPr>
          <w:p w:rsidR="00D7061A" w:rsidRPr="00BA7A9B" w:rsidRDefault="00D7061A" w:rsidP="00647EB7">
            <w:pPr>
              <w:jc w:val="both"/>
              <w:rPr>
                <w:rFonts w:ascii="Arial" w:eastAsia="Times New Roman" w:hAnsi="Arial" w:cs="Arial"/>
                <w:sz w:val="20"/>
                <w:szCs w:val="20"/>
                <w:lang w:val="en-GB"/>
              </w:rPr>
            </w:pPr>
            <w:r w:rsidRPr="00BA7A9B">
              <w:rPr>
                <w:rFonts w:ascii="Arial" w:eastAsia="Times New Roman" w:hAnsi="Arial" w:cs="Arial"/>
                <w:sz w:val="20"/>
                <w:szCs w:val="20"/>
                <w:lang w:val="en-GB"/>
              </w:rPr>
              <w:t>19 (only TKR)</w:t>
            </w:r>
          </w:p>
        </w:tc>
        <w:tc>
          <w:tcPr>
            <w:tcW w:w="1890" w:type="dxa"/>
          </w:tcPr>
          <w:p w:rsidR="00D7061A" w:rsidRPr="00BA7A9B" w:rsidRDefault="00D7061A" w:rsidP="00647EB7">
            <w:pPr>
              <w:jc w:val="both"/>
              <w:rPr>
                <w:rFonts w:ascii="Arial" w:eastAsia="Times New Roman" w:hAnsi="Arial" w:cs="Arial"/>
                <w:sz w:val="20"/>
                <w:szCs w:val="20"/>
                <w:lang w:val="en-GB"/>
              </w:rPr>
            </w:pPr>
            <w:r w:rsidRPr="00BA7A9B">
              <w:rPr>
                <w:rFonts w:ascii="Arial" w:eastAsia="Times New Roman" w:hAnsi="Arial" w:cs="Arial"/>
                <w:sz w:val="20"/>
                <w:szCs w:val="20"/>
                <w:lang w:val="en-GB"/>
              </w:rPr>
              <w:t>2000-2012</w:t>
            </w:r>
          </w:p>
        </w:tc>
        <w:tc>
          <w:tcPr>
            <w:tcW w:w="7380" w:type="dxa"/>
          </w:tcPr>
          <w:p w:rsidR="00D7061A" w:rsidRPr="00BA7A9B" w:rsidRDefault="00D7061A" w:rsidP="00647EB7">
            <w:pPr>
              <w:jc w:val="both"/>
              <w:rPr>
                <w:rFonts w:ascii="Arial" w:hAnsi="Arial" w:cs="Arial"/>
                <w:sz w:val="20"/>
                <w:szCs w:val="20"/>
              </w:rPr>
            </w:pPr>
            <w:r w:rsidRPr="00BA7A9B">
              <w:rPr>
                <w:rFonts w:ascii="Arial" w:eastAsia="Times New Roman" w:hAnsi="Arial" w:cs="Arial"/>
                <w:b/>
                <w:sz w:val="20"/>
                <w:szCs w:val="20"/>
                <w:lang w:val="en-GB"/>
              </w:rPr>
              <w:t>Key Findings:</w:t>
            </w:r>
            <w:r w:rsidRPr="00BA7A9B">
              <w:rPr>
                <w:rFonts w:ascii="Arial" w:hAnsi="Arial" w:cs="Arial"/>
                <w:sz w:val="20"/>
                <w:szCs w:val="20"/>
              </w:rPr>
              <w:t xml:space="preserve"> Intermediate and long-term improvement in health-related quality of life after TKR</w:t>
            </w:r>
          </w:p>
          <w:p w:rsidR="00D7061A" w:rsidRPr="00BA7A9B" w:rsidRDefault="00D7061A" w:rsidP="00647EB7">
            <w:pPr>
              <w:jc w:val="both"/>
              <w:rPr>
                <w:rFonts w:ascii="Arial" w:eastAsia="Times New Roman" w:hAnsi="Arial" w:cs="Arial"/>
                <w:b/>
                <w:sz w:val="20"/>
                <w:szCs w:val="20"/>
                <w:lang w:val="en-GB"/>
              </w:rPr>
            </w:pPr>
            <w:r w:rsidRPr="00BA7A9B">
              <w:rPr>
                <w:rFonts w:ascii="Arial" w:hAnsi="Arial" w:cs="Arial"/>
                <w:b/>
                <w:sz w:val="20"/>
                <w:szCs w:val="20"/>
              </w:rPr>
              <w:t>Limitations:</w:t>
            </w:r>
            <w:r w:rsidRPr="00BA7A9B">
              <w:rPr>
                <w:rFonts w:ascii="Arial" w:hAnsi="Arial" w:cs="Arial"/>
                <w:sz w:val="20"/>
                <w:szCs w:val="20"/>
              </w:rPr>
              <w:t xml:space="preserve"> Only 6 studies were included in the meta-analysis, the quantitative results may be biased</w:t>
            </w:r>
          </w:p>
        </w:tc>
      </w:tr>
    </w:tbl>
    <w:p w:rsidR="00E546C0" w:rsidRDefault="00E546C0"/>
    <w:sectPr w:rsidR="00E546C0" w:rsidSect="00D7061A">
      <w:pgSz w:w="16839" w:h="11907" w:orient="landscape"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61A"/>
    <w:rsid w:val="003029BD"/>
    <w:rsid w:val="00D7061A"/>
    <w:rsid w:val="00E546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52442F-B5ED-4FE7-B6A5-FF4F2746A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061A"/>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706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1895</Words>
  <Characters>10806</Characters>
  <Application>Microsoft Office Word</Application>
  <DocSecurity>0</DocSecurity>
  <Lines>90</Lines>
  <Paragraphs>25</Paragraphs>
  <ScaleCrop>false</ScaleCrop>
  <Company/>
  <LinksUpToDate>false</LinksUpToDate>
  <CharactersWithSpaces>12676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2022-07-28T07:54:00Z</dcterms:created>
  <dcterms:modified xsi:type="dcterms:W3CDTF">2022-07-28T07:55:00Z</dcterms:modified>
</cp:coreProperties>
</file>