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4E7" w:rsidRPr="00FF34E6" w:rsidRDefault="004714E7" w:rsidP="004714E7">
      <w:pPr>
        <w:pStyle w:val="Caption"/>
        <w:spacing w:line="480" w:lineRule="auto"/>
        <w:jc w:val="center"/>
        <w:rPr>
          <w:rFonts w:ascii="Times New Roman" w:hAnsi="Times New Roman" w:cs="Times New Roman"/>
          <w:b/>
          <w:i w:val="0"/>
          <w:color w:val="000000" w:themeColor="text1"/>
          <w:sz w:val="20"/>
        </w:rPr>
      </w:pPr>
      <w:r w:rsidRPr="00FF34E6">
        <w:rPr>
          <w:rFonts w:ascii="Times New Roman" w:hAnsi="Times New Roman" w:cs="Times New Roman"/>
          <w:b/>
          <w:i w:val="0"/>
          <w:color w:val="000000" w:themeColor="text1"/>
          <w:sz w:val="20"/>
        </w:rPr>
        <w:t xml:space="preserve">Table </w:t>
      </w:r>
      <w:r w:rsidRPr="00FF34E6">
        <w:rPr>
          <w:rFonts w:ascii="Times New Roman" w:hAnsi="Times New Roman" w:cs="Times New Roman"/>
          <w:b/>
          <w:i w:val="0"/>
          <w:color w:val="000000" w:themeColor="text1"/>
          <w:sz w:val="20"/>
        </w:rPr>
        <w:fldChar w:fldCharType="begin"/>
      </w:r>
      <w:r w:rsidRPr="00FF34E6">
        <w:rPr>
          <w:rFonts w:ascii="Times New Roman" w:hAnsi="Times New Roman" w:cs="Times New Roman"/>
          <w:b/>
          <w:i w:val="0"/>
          <w:color w:val="000000" w:themeColor="text1"/>
          <w:sz w:val="20"/>
        </w:rPr>
        <w:instrText xml:space="preserve"> SEQ Table \* ARABIC </w:instrText>
      </w:r>
      <w:r w:rsidRPr="00FF34E6">
        <w:rPr>
          <w:rFonts w:ascii="Times New Roman" w:hAnsi="Times New Roman" w:cs="Times New Roman"/>
          <w:b/>
          <w:i w:val="0"/>
          <w:color w:val="000000" w:themeColor="text1"/>
          <w:sz w:val="20"/>
        </w:rPr>
        <w:fldChar w:fldCharType="separate"/>
      </w:r>
      <w:r w:rsidRPr="00FF34E6">
        <w:rPr>
          <w:rFonts w:ascii="Times New Roman" w:hAnsi="Times New Roman" w:cs="Times New Roman"/>
          <w:b/>
          <w:i w:val="0"/>
          <w:noProof/>
          <w:color w:val="000000" w:themeColor="text1"/>
          <w:sz w:val="20"/>
        </w:rPr>
        <w:t>1</w:t>
      </w:r>
      <w:r w:rsidRPr="00FF34E6">
        <w:rPr>
          <w:rFonts w:ascii="Times New Roman" w:hAnsi="Times New Roman" w:cs="Times New Roman"/>
          <w:b/>
          <w:i w:val="0"/>
          <w:color w:val="000000" w:themeColor="text1"/>
          <w:sz w:val="20"/>
        </w:rPr>
        <w:fldChar w:fldCharType="end"/>
      </w:r>
      <w:r w:rsidRPr="00FF34E6">
        <w:rPr>
          <w:rFonts w:ascii="Times New Roman" w:hAnsi="Times New Roman" w:cs="Times New Roman"/>
          <w:b/>
          <w:i w:val="0"/>
          <w:color w:val="000000" w:themeColor="text1"/>
          <w:sz w:val="20"/>
        </w:rPr>
        <w:t>: Effect Sizes of Patient Reported Outcome Measures with baseline and follow-up periods</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695"/>
        <w:gridCol w:w="732"/>
        <w:gridCol w:w="935"/>
        <w:gridCol w:w="1011"/>
        <w:gridCol w:w="689"/>
        <w:gridCol w:w="689"/>
        <w:gridCol w:w="689"/>
        <w:gridCol w:w="596"/>
        <w:gridCol w:w="631"/>
        <w:gridCol w:w="464"/>
        <w:gridCol w:w="393"/>
        <w:gridCol w:w="594"/>
        <w:gridCol w:w="594"/>
        <w:gridCol w:w="547"/>
        <w:gridCol w:w="594"/>
        <w:gridCol w:w="464"/>
        <w:gridCol w:w="393"/>
        <w:gridCol w:w="594"/>
        <w:gridCol w:w="594"/>
        <w:gridCol w:w="547"/>
        <w:gridCol w:w="505"/>
      </w:tblGrid>
      <w:tr w:rsidR="004714E7" w:rsidRPr="00C7159B" w:rsidTr="003A4C5D">
        <w:trPr>
          <w:trHeight w:val="1040"/>
          <w:tblHeader/>
          <w:jc w:val="center"/>
        </w:trPr>
        <w:tc>
          <w:tcPr>
            <w:tcW w:w="0" w:type="auto"/>
            <w:tcBorders>
              <w:top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Authors, Year, Study Location</w:t>
            </w:r>
          </w:p>
        </w:tc>
        <w:tc>
          <w:tcPr>
            <w:tcW w:w="0" w:type="auto"/>
            <w:tcBorders>
              <w:top w:val="single" w:sz="4" w:space="0" w:color="auto"/>
              <w:left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Study Design and Sample Size</w:t>
            </w:r>
          </w:p>
        </w:tc>
        <w:tc>
          <w:tcPr>
            <w:tcW w:w="0" w:type="auto"/>
            <w:tcBorders>
              <w:top w:val="single" w:sz="4" w:space="0" w:color="auto"/>
              <w:left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Study Population (Age and BMI)</w:t>
            </w:r>
          </w:p>
        </w:tc>
        <w:tc>
          <w:tcPr>
            <w:tcW w:w="0" w:type="auto"/>
            <w:tcBorders>
              <w:top w:val="single" w:sz="4" w:space="0" w:color="auto"/>
              <w:left w:val="single" w:sz="4" w:space="0" w:color="auto"/>
              <w:bottom w:val="single" w:sz="4" w:space="0" w:color="auto"/>
              <w:right w:val="single" w:sz="4" w:space="0" w:color="auto"/>
            </w:tcBorders>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PROMs</w:t>
            </w:r>
          </w:p>
        </w:tc>
        <w:tc>
          <w:tcPr>
            <w:tcW w:w="0" w:type="auto"/>
            <w:tcBorders>
              <w:top w:val="single" w:sz="4" w:space="0" w:color="auto"/>
              <w:left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Baseline Mean(±SD) Score</w:t>
            </w:r>
          </w:p>
        </w:tc>
        <w:tc>
          <w:tcPr>
            <w:tcW w:w="0" w:type="auto"/>
            <w:gridSpan w:val="6"/>
            <w:tcBorders>
              <w:top w:val="single" w:sz="4" w:space="0" w:color="auto"/>
              <w:left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Follow Up Mean(±SD) Score</w:t>
            </w:r>
          </w:p>
        </w:tc>
        <w:tc>
          <w:tcPr>
            <w:tcW w:w="0" w:type="auto"/>
            <w:gridSpan w:val="6"/>
            <w:tcBorders>
              <w:top w:val="single" w:sz="4" w:space="0" w:color="auto"/>
              <w:left w:val="single" w:sz="4" w:space="0" w:color="auto"/>
              <w:bottom w:val="single" w:sz="4" w:space="0" w:color="auto"/>
              <w:right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Change</w:t>
            </w:r>
          </w:p>
        </w:tc>
        <w:tc>
          <w:tcPr>
            <w:tcW w:w="2538" w:type="dxa"/>
            <w:gridSpan w:val="4"/>
            <w:tcBorders>
              <w:top w:val="single" w:sz="4" w:space="0" w:color="auto"/>
              <w:left w:val="single" w:sz="4" w:space="0" w:color="auto"/>
              <w:bottom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Effect Size</w:t>
            </w:r>
          </w:p>
        </w:tc>
      </w:tr>
      <w:tr w:rsidR="004714E7" w:rsidRPr="00C7159B" w:rsidTr="003A4C5D">
        <w:trPr>
          <w:trHeight w:val="290"/>
          <w:jc w:val="center"/>
        </w:trPr>
        <w:tc>
          <w:tcPr>
            <w:tcW w:w="0" w:type="auto"/>
            <w:vMerge w:val="restart"/>
            <w:tcBorders>
              <w:top w:val="single" w:sz="4" w:space="0" w:color="auto"/>
            </w:tcBorders>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Jones et al, 2001</w:t>
            </w:r>
            <w:r w:rsidRPr="00C7159B">
              <w:rPr>
                <w:rFonts w:ascii="Times New Roman" w:hAnsi="Times New Roman" w:cs="Times New Roman"/>
                <w:sz w:val="14"/>
                <w:szCs w:val="16"/>
              </w:rPr>
              <w:br/>
              <w:t xml:space="preserve">Canada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{"citationID":"S6cktsHX","properties":{"formattedCitation":"[30]","plainCitation":"[30]","noteIndex":0},"citationItems":[{"id":564,"uris":["http://zotero.org/users/local/jmBtsOsM/items/EDS7VI3C"],"itemData":{"id":564,"type":"article-journal","abstract":"Background: As utilization rates for total joint arthroplasty increase, there is a hesitancy to perform this surgery on very old patients. The objective of this prospective study was to compare pain, functional, and health-related quality-of-life outcomes after total hip and total knee arthroplasty in an older patient group (≥80 years) and a representative younger patient group (55-79 years). Methods: In an inception community-based cohort within a Canadian health care system, 454 patients who received primary total hip arthroplasty (n = 197) or total knee arthroplasty (n = 257) were evaluated within a month prior to surgery and 6 months postoperatively. Pain, function, and health-related quality of life were evaluated with the Western Ontario and McMaster Universities (WOMAC) Osteoarthritis Index and the 36-Item Short-Form Health Survey (SF-36). Results: There were no age-related differences in joint pain, function, or quality-of-life measures preoperatively or 6 months postoperatively. Furthermore, after adjusting for potential confounding effects, age was not a significant determinant of pain or function. Although those in the older and younger groups had comparable numbers of comorbid conditions and complications, those in the older group were more likely to be transferred to a rehabilitation facility than younger patients. Regardless of age, patients did not achieve comparable overall physical health when matched with the general population for age and sex. Conclusions: With increasing life expectancy and elective surgery improving quality of life, age alone is not a factor that affects the outcome of joint arthroplasty and should not be a limiting factor when considering who should receive this surgery.","container-title":"Archives of Internal Medicine","DOI":"10.1001/archinte.161.3.454","ISSN":"00039926","issue":"3","note":"PMID: 11176772","page":"454–460","title":"The effect of age on pain, function, and quality of life after total hip and knee arthroplasty","volume":"161","author":[{"family":"Jones","given":"C. Allyson"},{"family":"Voaklander","given":"Donald C."},{"family":"Johnston","given":"William C."},{"family":"Suarez-Almazor","given":"Maria E."}],"issued":{"date-parts":[["2001"]]}}}],"schema":"https://github.com/citation-style-language/schema/raw/master/csl-citation.json"}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[30]</w:t>
            </w:r>
            <w:r w:rsidRPr="00C7159B">
              <w:rPr>
                <w:rFonts w:ascii="Times New Roman" w:hAnsi="Times New Roman" w:cs="Times New Roman"/>
                <w:sz w:val="14"/>
                <w:szCs w:val="16"/>
              </w:rPr>
              <w:fldChar w:fldCharType="end"/>
            </w:r>
          </w:p>
        </w:tc>
        <w:tc>
          <w:tcPr>
            <w:tcW w:w="0" w:type="auto"/>
            <w:vMerge w:val="restart"/>
            <w:tcBorders>
              <w:top w:val="single" w:sz="4" w:space="0" w:color="auto"/>
            </w:tcBorders>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cohort</w:t>
            </w:r>
            <w:r w:rsidRPr="00C7159B">
              <w:rPr>
                <w:rFonts w:ascii="Times New Roman" w:hAnsi="Times New Roman" w:cs="Times New Roman"/>
                <w:sz w:val="14"/>
                <w:szCs w:val="16"/>
              </w:rPr>
              <w:br/>
              <w:t>at Baseline n=257</w:t>
            </w:r>
            <w:r w:rsidRPr="00C7159B">
              <w:rPr>
                <w:rFonts w:ascii="Times New Roman" w:hAnsi="Times New Roman" w:cs="Times New Roman"/>
                <w:sz w:val="14"/>
                <w:szCs w:val="16"/>
              </w:rPr>
              <w:br/>
              <w:t xml:space="preserve">&lt;80 years; n = 222 </w:t>
            </w:r>
            <w:r w:rsidRPr="00C7159B">
              <w:rPr>
                <w:rFonts w:ascii="Times New Roman" w:hAnsi="Times New Roman" w:cs="Times New Roman"/>
                <w:sz w:val="14"/>
                <w:szCs w:val="16"/>
              </w:rPr>
              <w:br/>
              <w:t>≥80 years; n =35</w:t>
            </w:r>
            <w:r w:rsidRPr="00C7159B">
              <w:rPr>
                <w:rFonts w:ascii="Times New Roman" w:hAnsi="Times New Roman" w:cs="Times New Roman"/>
                <w:sz w:val="14"/>
                <w:szCs w:val="16"/>
              </w:rPr>
              <w:br/>
              <w:t xml:space="preserve">at 6 months follow up </w:t>
            </w:r>
            <w:r w:rsidRPr="00C7159B">
              <w:rPr>
                <w:rFonts w:ascii="Times New Roman" w:hAnsi="Times New Roman" w:cs="Times New Roman"/>
                <w:sz w:val="14"/>
                <w:szCs w:val="16"/>
              </w:rPr>
              <w:br/>
              <w:t>n= 256</w:t>
            </w:r>
            <w:r w:rsidRPr="00C7159B">
              <w:rPr>
                <w:rFonts w:ascii="Times New Roman" w:hAnsi="Times New Roman" w:cs="Times New Roman"/>
                <w:sz w:val="14"/>
                <w:szCs w:val="16"/>
              </w:rPr>
              <w:br/>
              <w:t>&lt;80 years; n = 221</w:t>
            </w:r>
            <w:r w:rsidRPr="00C7159B">
              <w:rPr>
                <w:rFonts w:ascii="Times New Roman" w:hAnsi="Times New Roman" w:cs="Times New Roman"/>
                <w:sz w:val="14"/>
                <w:szCs w:val="16"/>
              </w:rPr>
              <w:br/>
              <w:t>≥80 years; n =35</w:t>
            </w:r>
          </w:p>
        </w:tc>
        <w:tc>
          <w:tcPr>
            <w:tcW w:w="0" w:type="auto"/>
            <w:vMerge w:val="restart"/>
            <w:tcBorders>
              <w:top w:val="single" w:sz="4" w:space="0" w:color="auto"/>
            </w:tcBorders>
            <w:hideMark/>
          </w:tcPr>
          <w:p w:rsidR="004714E7" w:rsidRPr="00C7159B" w:rsidRDefault="004714E7" w:rsidP="003A4C5D">
            <w:pPr>
              <w:jc w:val="center"/>
              <w:rPr>
                <w:rFonts w:ascii="Times New Roman" w:hAnsi="Times New Roman" w:cs="Times New Roman"/>
                <w:sz w:val="14"/>
                <w:szCs w:val="16"/>
                <w:vertAlign w:val="superscript"/>
              </w:rPr>
            </w:pPr>
            <w:r w:rsidRPr="00C7159B">
              <w:rPr>
                <w:rFonts w:ascii="Times New Roman" w:hAnsi="Times New Roman" w:cs="Times New Roman"/>
                <w:sz w:val="14"/>
                <w:szCs w:val="16"/>
              </w:rPr>
              <w:t xml:space="preserve">OA knee, </w:t>
            </w:r>
            <w:r w:rsidRPr="00C7159B">
              <w:rPr>
                <w:rFonts w:ascii="Times New Roman" w:hAnsi="Times New Roman" w:cs="Times New Roman"/>
                <w:sz w:val="14"/>
                <w:szCs w:val="16"/>
              </w:rPr>
              <w:br/>
              <w:t>Age: 68.8±6.4 years</w:t>
            </w:r>
            <w:r w:rsidRPr="00C7159B">
              <w:rPr>
                <w:rFonts w:ascii="Times New Roman" w:hAnsi="Times New Roman" w:cs="Times New Roman"/>
                <w:sz w:val="14"/>
                <w:szCs w:val="16"/>
              </w:rPr>
              <w:br/>
              <w:t>BMI: 31.6±5.9 kg/m</w:t>
            </w:r>
            <w:r w:rsidRPr="00C7159B">
              <w:rPr>
                <w:rFonts w:ascii="Times New Roman" w:hAnsi="Times New Roman" w:cs="Times New Roman"/>
                <w:sz w:val="14"/>
                <w:szCs w:val="16"/>
                <w:vertAlign w:val="superscript"/>
              </w:rPr>
              <w:t>2</w:t>
            </w:r>
          </w:p>
        </w:tc>
        <w:tc>
          <w:tcPr>
            <w:tcW w:w="0" w:type="auto"/>
            <w:tcBorders>
              <w:top w:val="single" w:sz="4" w:space="0" w:color="auto"/>
            </w:tcBorders>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tcBorders>
              <w:top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0" w:type="auto"/>
            <w:tcBorders>
              <w:top w:val="single" w:sz="4" w:space="0" w:color="auto"/>
            </w:tcBorders>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tcBorders>
              <w:top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top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tcBorders>
              <w:top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Role-Physical</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Bodily pain</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General Health</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61±20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Vitality</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Social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55±28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Role-Emotional</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56±44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54±46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Bachmeier et al,2001</w:t>
            </w:r>
            <w:r w:rsidRPr="00C7159B">
              <w:rPr>
                <w:rFonts w:ascii="Times New Roman" w:hAnsi="Times New Roman" w:cs="Times New Roman"/>
                <w:sz w:val="14"/>
                <w:szCs w:val="16"/>
              </w:rPr>
              <w:br/>
              <w:t xml:space="preserve">Sydney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{"citationID":"0n8FDZiC","properties":{"formattedCitation":"[31]","plainCitation":"[31]","noteIndex":0},"citationItems":[{"id":574,"uris":["http://zotero.org/users/local/jmBtsOsM/items/SAY8VANB"],"itemData":{"id":574,"type":"article-journal","abstract":"Objective: The aims of this study were to assess changes in physical function and quality of life with the Western Ontario and McMaster Universities Osteoarthritis Index (WOMAC) and the instrument of the Medical Outcomes Study SF-36 Health Survey (MOS SF-36), respectively, in patients undergoing hip and knee joint replacement surgery and to compare the responsiveness of these two outcome measures 1 year after surgery. Design: One hundred and ninety-four patients with osteoarthritis (OA knee 108, OA hip 86) admitted to four hospitals in Sydney were followed over a period of 1 year at 3 monthly intervals. Results: WOMAC measures improved significantly after 1 year for OA hip and OA knee: there was reduction in pain of 71% and 53%, reduction in stiffness of 55% and 43% and improvement in physical function of 68% and 43%, respectively. MOS SF-36 measures in those having hip surgery improved significantly for pain (222%), physical function (247%), physical role functioning (402%), general health (110%), vitality (143%), social functioning (169%) and mental health (114%). For those in the knee surgery group, significant improvement was seen for pain (175%), physical function (197%), physical role functioning (275%), vitality (125%) and social functioning (119%). The WOMAC was a more responsive measure than the MOS SF-36. Conclusion: WOMAC and MOS SF-36 detect significant and clinically meaningful changes in outcome after hip and knee replacement. WOMAC requires a smaller sample size and is more responsive in the short term. For a follow-up longer than 6 months MOS SF-36 provides additional information. The improvement in outcomes following hip joint surgery were significantly greater than those following knee surgery. © 2001 OsteoArthritis Research Society International.","container-title":"Osteoarthritis and Cartilage","DOI":"10.1053/joca.2000.0369","ISSN":"10634584","issue":"2","note":"PMID: 11330253","page":"137–146","title":"A comparison of outcomes in osteoarthritis patients undergoing total hip and knee replacement surgery","volume":"9","author":[{"family":"Bachmeier","given":"C. J.M."},{"family":"March","given":"L. M."},{"family":"Cross","given":"M. J."},{"family":"Lapsley","given":"H. M."},{"family":"Tribe","given":"K. L."},{"family":"Courtenay","given":"B. G."},{"family":"Brooks","given":"P. M."}],"issued":{"date-parts":[["2001"]]}}}],"schema":"https://github.com/citation-style-language/schema/raw/master/csl-citation.json"}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[31]</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Part of Prospective Trial</w:t>
            </w:r>
            <w:r w:rsidRPr="00C7159B">
              <w:rPr>
                <w:rFonts w:ascii="Times New Roman" w:hAnsi="Times New Roman" w:cs="Times New Roman"/>
                <w:sz w:val="14"/>
                <w:szCs w:val="16"/>
              </w:rPr>
              <w:br/>
              <w:t>Baseline; n= 108</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3 months; n =101</w:t>
            </w:r>
            <w:r w:rsidRPr="00C7159B">
              <w:rPr>
                <w:rFonts w:ascii="Times New Roman" w:hAnsi="Times New Roman" w:cs="Times New Roman"/>
                <w:sz w:val="14"/>
                <w:szCs w:val="16"/>
              </w:rPr>
              <w:br/>
              <w:t>6 months; n =84</w:t>
            </w:r>
            <w:r w:rsidRPr="00C7159B">
              <w:rPr>
                <w:rFonts w:ascii="Times New Roman" w:hAnsi="Times New Roman" w:cs="Times New Roman"/>
                <w:sz w:val="14"/>
                <w:szCs w:val="16"/>
              </w:rPr>
              <w:br/>
              <w:t>9 months; n =67</w:t>
            </w:r>
            <w:r w:rsidRPr="00C7159B">
              <w:rPr>
                <w:rFonts w:ascii="Times New Roman" w:hAnsi="Times New Roman" w:cs="Times New Roman"/>
                <w:sz w:val="14"/>
                <w:szCs w:val="16"/>
              </w:rPr>
              <w:br/>
              <w:t>12 months; n =48</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OA knee, </w:t>
            </w:r>
            <w:r w:rsidRPr="00C7159B">
              <w:rPr>
                <w:rFonts w:ascii="Times New Roman" w:hAnsi="Times New Roman" w:cs="Times New Roman"/>
                <w:sz w:val="14"/>
                <w:szCs w:val="16"/>
              </w:rPr>
              <w:br/>
              <w:t>Age: 72±7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9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9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9 month</w:t>
            </w:r>
          </w:p>
        </w:tc>
        <w:tc>
          <w:tcPr>
            <w:tcW w:w="648" w:type="dxa"/>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71.5±19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72±20.5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74.5±20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41.3±18.8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56.3±21.3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60±17.5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60±21.3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66.3±23.8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43.7±17.7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63.5±18.7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65±20.2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66.3±20.9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67.9±20.9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24.2</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Functioning</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25.2±17.2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38.6±19.9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47.9±22.4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47.5±24.8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49.7±27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Role-Physical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20.2±32.6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36.4±41.5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41.3±44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49.5±44.6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Bodily pain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33±18.6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48.5±19.4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54.1±21.9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56.6±25.2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57.8±23.3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General Health</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71.3±18.4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69.2±18.5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69.2±20.7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67.3±21.9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70.2±20.1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Vitality</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47±23.5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51.2±20.3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52.7±20.9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55.5±23.6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58.8±23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Social Functioning</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59.2±27.7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70.8±27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70.8±27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72.5±29.3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77.7±26.3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0.7</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Role-Emotional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54.2±46.1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54±44.1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63.2±44.4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64.6±42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64.7±44.9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70±20.6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72.8±17.4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75.6±17.4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74.7±18.3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77.6±16.5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Quintana et al,2006</w:t>
            </w:r>
            <w:r w:rsidRPr="00C7159B">
              <w:rPr>
                <w:rFonts w:ascii="Times New Roman" w:hAnsi="Times New Roman" w:cs="Times New Roman"/>
                <w:sz w:val="14"/>
                <w:szCs w:val="16"/>
              </w:rPr>
              <w:br/>
              <w:t>Spain</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{"citationID":"8TyDEJ5W","properties":{"formattedCitation":"[32]","plainCitation":"[32]","noteIndex":0},"citationItems":[{"id":535,"uris":["http://zotero.org/users/local/jmBtsOsM/items/SQZVIEK6"],"itemData":{"id":535,"type":"article-journal","abstract":"Background: We studied the association between explicit appropriateness criteria for total hip joint replacement (THR) and total knee replacement (TKR) with changes in health-related quality of life of patients undergoing these procedures. Methods: Prospective observational study of 1576 consecutive patients with diagnoses of osteoarthritis on waiting lists to undergo THR or TKR. Explicit appropriateness criteria using the RAND appropriateness method were applied. Patients completed 2 questionnaires that measured health-related quality of life, the Medical Outcomes Study 36-Item Short-Form Health Survey (SF-36) and the Western Ontario and McMaster Universities Osteoarthritis Index (WOMAC), before the procedure and 6 months afterward. Results: Patients who were considered appropriate candidates for these procedures had greater improvements than those who were considered inappropriate candidates in all 3 WOMAC domains (pain, functional limitation, and stiffness; THR: 43.0, 40.6, and 40.4 vs 14.7, 19.1, and 15.9; TKR: 34.9, 32.5, and 30.2 vs 23.2, 18.9, and 17.1; P&lt;.001 for all comparisons). Patients who underwent THR and were judged to be appropriate candidates had greater improvements in the physical function, role-physical, bodily pain, and social function domains of the SF-36 than those judged to be inappropriate candidates (34.4, 35.1, 33.1, and 26.6 vs 19.6, 9.2, 5.7, and 7.0; P=.04, P=.03, P&lt;.001, and P&lt;.001, respectively). Appropriate candidates for TKR demonstrated greater improvement in the social function domain of the SF-36 after the procedure than those deemed inappropriate candidates (19.9 vs 7.9; P=.004) but not in the other domains of functional status. Conclusions: These results suggest a direct relationship between explicit appropriateness criteria and better health-related quality-of-life outcomes after THR and TKR surgery. Our results support the use of these criteria for clinical guidelines or evaluation purposes. ©2006 American Medical Association. All rights reserved.","container-title":"Archives of Internal Medicine","DOI":"10.1001/archinte.166.2.220","ISSN":"00039926","issue":"2","note":"PMID: 16432092","page":"220–226","title":"Health-related quality of life and appropriateness of knee or hip joint replacement","volume":"166","author":[{"family":"Quintana","given":"José M."},{"family":"Escobar","given":"Antonio"},{"family":"Arostegui","given":"Inmaculada"},{"family":"Bilbao","given":"Amaia"},{"family":"Azkarate","given":"Jesús"},{"family":"Goenaga","given":"J. Ignacio"},{"family":"Arenaza","given":"Juan C."}],"issued":{"date-parts":[["2006"]]}}}],"schema":"https://github.com/citation-style-language/schema/raw/master/csl-citation.json"}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[32]</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observational study</w:t>
            </w:r>
            <w:r w:rsidRPr="00C7159B">
              <w:rPr>
                <w:rFonts w:ascii="Times New Roman" w:hAnsi="Times New Roman" w:cs="Times New Roman"/>
                <w:sz w:val="14"/>
                <w:szCs w:val="16"/>
              </w:rPr>
              <w:br/>
              <w:t>Appropriate= 557</w:t>
            </w:r>
            <w:r w:rsidRPr="00C7159B">
              <w:rPr>
                <w:rFonts w:ascii="Times New Roman" w:hAnsi="Times New Roman" w:cs="Times New Roman"/>
                <w:sz w:val="14"/>
                <w:szCs w:val="16"/>
              </w:rPr>
              <w:br/>
              <w:t>Uncertain = 137</w:t>
            </w:r>
            <w:r w:rsidRPr="00C7159B">
              <w:rPr>
                <w:rFonts w:ascii="Times New Roman" w:hAnsi="Times New Roman" w:cs="Times New Roman"/>
                <w:sz w:val="14"/>
                <w:szCs w:val="16"/>
              </w:rPr>
              <w:br/>
              <w:t>Inappropriate =98</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71.9 years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noWrap/>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 xml:space="preserve"> Unable to Calculate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73.36</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23.62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76.98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69.75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46.78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79.66</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82.91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34.59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67.53</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45.64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76.29</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30.65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53.76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81.14</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25.79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19.91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Role-Physical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30.84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Bodily 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43.37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53.95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General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61.89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Vitality</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39.67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56.59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Social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19.89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65.62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Role-Emotional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61.77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70.86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-64.98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84.28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57.81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9.73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67.64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-61.68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7.99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Uncertain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48.62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Inappropriate</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46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Nunez et al, 2007</w:t>
            </w:r>
            <w:r w:rsidRPr="00C7159B">
              <w:rPr>
                <w:rFonts w:ascii="Times New Roman" w:hAnsi="Times New Roman" w:cs="Times New Roman"/>
                <w:sz w:val="14"/>
                <w:szCs w:val="16"/>
              </w:rPr>
              <w:br/>
              <w:t xml:space="preserve">Spain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{"citationID":"gVkJJHBp","properties":{"formattedCitation":"[51]","plainCitation":"[51]","noteIndex":0},"citationItems":[{"id":544,"uris":["http://zotero.org/users/local/jmBtsOsM/items/AH7Y99WX"],"itemData":{"id":544,"type":"article-journal","abstract":"Objectives: (1) To evaluate health-related quality of life (HRQL) in patients with severe osteoarthritis (OA) undergoing total knee replacement (TKR) and (2) to identify the influence of sociodemographic, clinical, intra-operative and postoperative variables on HRQL at 36 months after TKR. Design: Prospective study with a 36-month follow-up. Preoperative interviews were carried out with 90 in-patients. The disease-specific Western Ontario and McMaster Universities Osteoarthritis Index (WOMAC) questionnaire was used to measure the health status. Sociodemographic, clinical, intra-operative degree of difficulty, in-patient and postoperative data were collected. Associations were analyzed using linear regression models. Results: Of the 90 potentially eligible patients, 67 (54 females, mean age 74.83, standard deviation [SD] 5.57) completed follow-up assessment. There were significant differences between preoperative and postoperative WOMAC pain, stiffness and function scores (P &lt; 0.001, P = 0.005 and P &lt; 0.001, respectively). Variables retained in each of the models explained between 15% and 23% (R2 adjusted) of the variability of each WOMAC dimension. Higher preoperative WOMAC scores were associated with greater postoperative improvement (P &lt; 0.001). Chronic musculoskeletal pain unrelated to knee OA was associated with higher WOMAC pain, stiffness and function dimension scores (P = 0.004, P = 0.029 and P = 0.005, respectively). Severe (Class III) obesity (body mass index [BMI] 35-39.9) was associated with more pain (P = 0.049). Conclusions: In patients with severe OA, HRQL significantly improved at 36 months after TKR, especially in the pain dimension. Lower preoperative WOMAC scores, chronic pain unrelated to knee OA, and severe obesity negatively influenced postoperative WOMAC scores. This disease-specific questionnaire may help to identify patients at increased risk of negative outcomes after surgery. © 2007 Osteoarthritis Research Society International.","container-title":"Osteoarthritis and Cartilage","DOI":"10.1016/j.joca.2007.02.019","ISSN":"10634584","issue":"9","note":"PMID: 17428689","page":"1001–1007","title":"Health-related quality of life in patients with osteoarthritis after total knee replacement: Factors influencing outcomes at 36 months of follow-up","volume":"15","author":[{"family":"Núñez","given":"M."},{"family":"Núñez","given":"E."},{"family":"Luis del Val","given":"J."},{"family":"Ortega","given":"R."},{"family":"Segur","given":"J. M."},{"family":"Hernández","given":"M. Victoria"},{"family":"Lozano","given":"L."},{"family":"Sastre","given":"S."},{"family":"Maculé","given":"F."}],"issued":{"date-parts":[["2007"]]}}}],"schema":"https://github.com/citation-style-language/schema/raw/master/csl-citation.json"}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[51]</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w:t>
            </w:r>
            <w:r w:rsidRPr="00C7159B">
              <w:rPr>
                <w:rFonts w:ascii="Times New Roman" w:hAnsi="Times New Roman" w:cs="Times New Roman"/>
                <w:sz w:val="14"/>
                <w:szCs w:val="16"/>
              </w:rPr>
              <w:br/>
              <w:t>n= 67</w:t>
            </w:r>
            <w:r w:rsidRPr="00C7159B">
              <w:rPr>
                <w:rFonts w:ascii="Times New Roman" w:hAnsi="Times New Roman" w:cs="Times New Roman"/>
                <w:sz w:val="14"/>
                <w:szCs w:val="16"/>
              </w:rPr>
              <w:br/>
              <w:t>Women: 54 (80.6%)</w:t>
            </w:r>
            <w:r w:rsidRPr="00C7159B">
              <w:rPr>
                <w:rFonts w:ascii="Times New Roman" w:hAnsi="Times New Roman" w:cs="Times New Roman"/>
                <w:sz w:val="14"/>
                <w:szCs w:val="16"/>
              </w:rPr>
              <w:br/>
              <w:t>Male: 13 (19.4%)</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74.8±5.6 years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36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36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36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49.4±12.7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76.8±17.6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68.2±23.3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81.1±20.3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86"/>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45.7±16.3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65.4±17.9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Ritter et al, 2008</w:t>
            </w:r>
            <w:r w:rsidRPr="00C7159B">
              <w:rPr>
                <w:rFonts w:ascii="Times New Roman" w:hAnsi="Times New Roman" w:cs="Times New Roman"/>
                <w:sz w:val="14"/>
                <w:szCs w:val="16"/>
              </w:rPr>
              <w:br/>
              <w:t xml:space="preserve">USA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{"citationID":"ahiRaFXq","properties":{"formattedCitation":"[33]","plainCitation":"[33]","noteIndex":0},"citationItems":[{"id":537,"uris":["http://zotero.org/users/local/jmBtsOsM/items/4ATG867J"],"itemData":{"id":537,"type":"article-journal","abstract":"The purpose of this study was to quantify the effect of sex on the clinical outcome and survivorship of a total knee arthroplasty (TKA) with clinical and radiographic follow-up. Seven thousand three hundred twenty-six primary AGC (Biomet, Warsaw, Ind) cruciate-retaining TKAs were performed from 1987 to 2004. Of these, 59.5% were performed on women. We examined preoperative and postoperative Knee Society knee score, function scores, pain scores, walking ability, stair-climbing ability, flexion, and implant survivorship based on sex. Female sex was associated with lower overall preoperative clinical scores for all parameters (P &lt; .01). Improvement in Knee Society knee score and flexion was greater for women (P = .006), and there were equal pain relief and walking improvements for both sexes (P &lt; .32). Stair and function score improvements were greater for men (P = .002). Implant survival was 98% for women and men at 15 years (P = .4684). We conclude that improvement after TKA is similar for men and women, with few clinically significant differences. Sex-specific implants would appear to offer no clinical advantage. © 2008 Elsevier Inc. All rights reserved.","container-title":"Journal of Arthroplasty","DOI":"10.1016/j.arth.2007.10.031","ISSN":"08835403","issue":"3","note":"PMID: 18358368","page":"331–336","title":"The Clinical Effect of Gender on Outcome of Total Knee Arthroplasty","volume":"23","author":[{"family":"Ritter","given":"Merrill A."},{"family":"Wing","given":"Jennifer T."},{"family":"Berend","given":"Michael E."},{"family":"Davis","given":"Kenneth E."},{"family":"Meding","given":"John B."}],"issued":{"date-parts":[["2008"]]}}}],"schema":"https://github.com/citation-style-language/schema/raw/master/csl-citation.json"}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[33]</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cohort</w:t>
            </w:r>
            <w:r w:rsidRPr="00C7159B">
              <w:rPr>
                <w:rFonts w:ascii="Times New Roman" w:hAnsi="Times New Roman" w:cs="Times New Roman"/>
                <w:sz w:val="14"/>
                <w:szCs w:val="16"/>
              </w:rPr>
              <w:br/>
              <w:t>n = 4903</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69.2 years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648" w:type="dxa"/>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Unable to calculate</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36.5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Nunez et al, 2009</w:t>
            </w:r>
            <w:r w:rsidRPr="00C7159B">
              <w:rPr>
                <w:rFonts w:ascii="Times New Roman" w:hAnsi="Times New Roman" w:cs="Times New Roman"/>
                <w:sz w:val="14"/>
                <w:szCs w:val="16"/>
              </w:rPr>
              <w:br/>
              <w:t xml:space="preserve">Spain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{"citationID":"0ptSfFmm","properties":{"formattedCitation":"[50]","plainCitation":"[50]","noteIndex":0},"citationItems":[{"id":542,"uris":["http://zotero.org/users/local/jmBtsOsM/items/JRM5WE26"],"itemData":{"id":542,"type":"article-journal","abstract":"Objective. To evaluate health-related quality of life (HRQOL) in patients with osteoarthritis undergoing total knee replacement (TKR); identify the influence of sociodemographic, clinical, intraoperative, and postoperative variables on HRQOL; and determine patient perceptions at 7 years. Methods. We conducted a prospective study with 7 years of followup. HRQOL measures (Western Ontario and McMaster Universities Osteoarthritis Index [WOMAC] and Short Form 36 [SF-36]); sociodemographic, clinical, intraoperative, inpatient, and postoperative data; patient perceptions of TKR outcomes; and physical activity at 7 years were determined. Associations were analyzed using linear regression models. Results. Of 146 eligible patients, 112 (86 women, mean age 67.3 years) completed followup data. There were significant differences between pre- and postoperative WOMAC pain, stiffness, and function scores (P &lt; 0.001). Variables retained in each of the models explained 14-32% (adjusted R 2) of variability of the WOMAC dimensions. Obesity and postdischarge complications were associated with worse scores in all WOMAC dimensions (P &lt; 0.05). Eighty-six percent of patients were satisfied with TKR, 80% would undergo the operation again, and 56% did regular physical activity and had better WOMAC scores (P &lt; 0.05, except for stiffness [not significant]). Mean ± SD SF-36 scores for men and women at 7 years were 55.1 ± 27.1 and 39.5 ± 22.9 for physical function, 71.2 ± 36.5 and 51.5 ± 42.7 for physical role, 66.2 ± 26 and 55.6 ± 28.9 for bodily pain, and 60.7 ± 17.1 and 50.7 ± 21.2 for general health, respectively. Conclusion. WOMAC dimension scores, especially pain, significantly improved at 7 years and were negatively influenced by obesity and postdischarge complications. HRQOL measures may help identify an increased risk of negative outcomes after TKR. © 2009, American College of Rheumatology.","container-title":"Arthritis Care and Research","DOI":"10.1002/art.24644","ISSN":"21514658","issue":"8","note":"PMID: 19644900","page":"1062–1069","title":"Total knee replacement and health-related quality of life: Factors influencing long-term outcomes","volume":"61","author":[{"family":"Núñez","given":"Montserrat"},{"family":"Lozano","given":"Luis"},{"family":"Núñez","given":"Esther"},{"family":"Segur","given":"Josep M."},{"family":"Sastre","given":"Sergi"},{"family":"Maculé","given":"Francisco"},{"family":"Ortega","given":"Raquel"},{"family":"Suso","given":"Santiago"}],"issued":{"date-parts":[["2009"]]}}}],"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[50]</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cohort</w:t>
            </w:r>
            <w:r w:rsidRPr="00C7159B">
              <w:rPr>
                <w:rFonts w:ascii="Times New Roman" w:hAnsi="Times New Roman" w:cs="Times New Roman"/>
                <w:sz w:val="14"/>
                <w:szCs w:val="16"/>
              </w:rPr>
              <w:br/>
              <w:t>at Baseline; n = 146</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n=112</w:t>
            </w:r>
          </w:p>
        </w:tc>
        <w:tc>
          <w:tcPr>
            <w:tcW w:w="0" w:type="auto"/>
            <w:vMerge w:val="restart"/>
            <w:hideMark/>
          </w:tcPr>
          <w:p w:rsidR="004714E7" w:rsidRPr="00C7159B" w:rsidRDefault="004714E7" w:rsidP="003A4C5D">
            <w:pPr>
              <w:jc w:val="center"/>
              <w:rPr>
                <w:rFonts w:ascii="Times New Roman" w:hAnsi="Times New Roman" w:cs="Times New Roman"/>
                <w:sz w:val="14"/>
                <w:szCs w:val="16"/>
                <w:vertAlign w:val="superscript"/>
              </w:rPr>
            </w:pPr>
            <w:r w:rsidRPr="00C7159B">
              <w:rPr>
                <w:rFonts w:ascii="Times New Roman" w:hAnsi="Times New Roman" w:cs="Times New Roman"/>
                <w:sz w:val="14"/>
                <w:szCs w:val="16"/>
              </w:rPr>
              <w:t xml:space="preserve">OA knee </w:t>
            </w:r>
            <w:r w:rsidRPr="00C7159B">
              <w:rPr>
                <w:rFonts w:ascii="Times New Roman" w:hAnsi="Times New Roman" w:cs="Times New Roman"/>
                <w:sz w:val="14"/>
                <w:szCs w:val="16"/>
              </w:rPr>
              <w:br/>
              <w:t>Age: 74.83±5.57 years</w:t>
            </w:r>
            <w:r w:rsidRPr="00C7159B">
              <w:rPr>
                <w:rFonts w:ascii="Times New Roman" w:hAnsi="Times New Roman" w:cs="Times New Roman"/>
                <w:sz w:val="14"/>
                <w:szCs w:val="16"/>
              </w:rPr>
              <w:br/>
              <w:t>BMI: 30.6±4.4 kg/m</w:t>
            </w:r>
            <w:r w:rsidRPr="00C7159B">
              <w:rPr>
                <w:rFonts w:ascii="Times New Roman" w:hAnsi="Times New Roman" w:cs="Times New Roman"/>
                <w:sz w:val="14"/>
                <w:szCs w:val="16"/>
                <w:vertAlign w:val="superscript"/>
              </w:rPr>
              <w:t>2</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Total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66.7±21.3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47.1±16.3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74.1±21.5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56.7±26.6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74.1±25.5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41"/>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44.2±17.6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63.6±22.7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Parsley et al, 2010</w:t>
            </w:r>
            <w:r w:rsidRPr="00C7159B">
              <w:rPr>
                <w:rFonts w:ascii="Times New Roman" w:hAnsi="Times New Roman" w:cs="Times New Roman"/>
                <w:sz w:val="14"/>
                <w:szCs w:val="16"/>
              </w:rPr>
              <w:br/>
              <w:t xml:space="preserve">USA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{"citationID":"5JPolYyg","properties":{"formattedCitation":"[34]","plainCitation":"[34]","noteIndex":0},"citationItems":[{"id":531,"uris":["http://zotero.org/users/local/jmBtsOsM/items/J636CZN2"],"itemData":{"id":531,"type":"article-journal","abstract":"Background Previous studies suggest differences may exist between men and women in terms of knee function before and after total knee replacement. This may be related to the efficacy of the procedure itself or to differences in the severity of disability of male and female patients at the time of surgery. Questions/purposes We evaluated differences in the age, preoperative deformity, range-of-motion, and Knee Society scores of men and women who underwent TKA. All parameters were measured at the time of the initial pre-operative evaluation and at postoperative followup. Methods We studied 698 patients who underwent elective TKA between 1996 and 2007. This population consisted of 428 women (61%) and 270 men (39%), all of whom underwent rehabilitation utilizing a standardized hyper-flexion protocol with immediate initiation of full weight-bearing postoperatively. Results The men were on average three years younger than the women (mean 63.5 versus 66.6 years, respectively). Preoperative ROM, postoperative ROM, and changes in ROM and body mass index were similar between groups. Knee Society Knee scores were similar preoperatively (47.4 [men] versus 46.7 [women]), but four points higher in men at followup (89.2 versus 85.2). Women had lower Knee Function scores than men preop-eratively (45.2 versus 57.1), and postoperatively (65.3 versus 73.9). Conclusions Women who undergo TKA seek treatment at a later stage than men and have greater functional disability at the time of surgery. Differences in functional scores persist after TKA. Earlier initiation of treatment may enhance postoperative outcome. Level of Evidence Level II, prognostic study. See Guidelines for Authors for a complete description of levels of evidence. © The Association of Bone and Joint Surgeons® 2010.","container-title":"Clinical Orthopaedics and Related Research","DOI":"10.1007/s11999-010-1348-y","ISSN":"15281132","issue":"7","note":"PMID: 20428983","page":"1759–1764","title":"Influence of gender on age of treatment with TKA and functional outcome","volume":"468","author":[{"family":"Parsley","given":"Brian S."},{"family":"Bertolusso","given":"Roberto"},{"family":"Harrington","given":"Melvyn"},{"family":"Brekke","given":"Adam"},{"family":"Noble","given":"Philip C."}],"issued":{"date-parts":[["2010"]]}}}],"schema":"https://github.com/citation-style-language/schema/raw/master/csl-citation.json"}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[34]</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Retrospective cohort</w:t>
            </w:r>
            <w:r w:rsidRPr="00C7159B">
              <w:rPr>
                <w:rFonts w:ascii="Times New Roman" w:hAnsi="Times New Roman" w:cs="Times New Roman"/>
                <w:sz w:val="14"/>
                <w:szCs w:val="16"/>
              </w:rPr>
              <w:br/>
              <w:t>at Baseline; n = 902</w:t>
            </w:r>
            <w:r w:rsidRPr="00C7159B">
              <w:rPr>
                <w:rFonts w:ascii="Times New Roman" w:hAnsi="Times New Roman" w:cs="Times New Roman"/>
                <w:sz w:val="14"/>
                <w:szCs w:val="16"/>
              </w:rPr>
              <w:br/>
              <w:t>at follow up;  Female n =251</w:t>
            </w:r>
            <w:r w:rsidRPr="00C7159B">
              <w:rPr>
                <w:rFonts w:ascii="Times New Roman" w:hAnsi="Times New Roman" w:cs="Times New Roman"/>
                <w:sz w:val="14"/>
                <w:szCs w:val="16"/>
              </w:rPr>
              <w:br/>
            </w:r>
            <w:r w:rsidRPr="00C7159B">
              <w:rPr>
                <w:rFonts w:ascii="Times New Roman" w:hAnsi="Times New Roman" w:cs="Times New Roman"/>
                <w:sz w:val="14"/>
                <w:szCs w:val="16"/>
              </w:rPr>
              <w:lastRenderedPageBreak/>
              <w:t>Male n = 144</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 xml:space="preserve">Age: </w:t>
            </w:r>
            <w:r w:rsidRPr="00C7159B">
              <w:rPr>
                <w:rFonts w:ascii="Times New Roman" w:hAnsi="Times New Roman" w:cs="Times New Roman"/>
                <w:sz w:val="14"/>
                <w:szCs w:val="16"/>
              </w:rPr>
              <w:br/>
              <w:t>Male=64.1 years</w:t>
            </w:r>
            <w:r w:rsidRPr="00C7159B">
              <w:rPr>
                <w:rFonts w:ascii="Times New Roman" w:hAnsi="Times New Roman" w:cs="Times New Roman"/>
                <w:sz w:val="14"/>
                <w:szCs w:val="16"/>
              </w:rPr>
              <w:br/>
              <w:t>Female=67.1 years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 Unable to Calculate</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73.9</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65.4</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89.2</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8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85.1</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KO et al, 2011</w:t>
            </w:r>
            <w:r w:rsidRPr="00C7159B">
              <w:rPr>
                <w:rFonts w:ascii="Times New Roman" w:hAnsi="Times New Roman" w:cs="Times New Roman"/>
                <w:sz w:val="14"/>
                <w:szCs w:val="16"/>
              </w:rPr>
              <w:br/>
              <w:t xml:space="preserve">Singapore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{"citationID":"hXi9u6Af","properties":{"formattedCitation":"[35]","plainCitation":"[35]","noteIndex":0},"citationItems":[{"id":548,"uris":["http://zotero.org/users/local/jmBtsOsM/items/35BW96LI"],"itemData":{"id":548,"type":"article-journal","abstract":"Objective: To examine health-related quality of life (HRQoL) after total knee replacement (TKR) or unicompartmental knee arthroplasty (UKA). Methods: Asian adult patients undergoing either TKR or UKA in a hospital in Singapore between 2001 and 2006 were interviewed before surgery and 6 and 24 months postoperatively to obtain demographic information and HRQoL scores using the Short Form-36 Health Survey (SF-36) and the Oxford Knee Score (OKS). Results: Data were collected from 2243, 1715, and 1113 patients at baseline and at 6 and 24 months, respectively. TKR patients had a lower preoperative OKS than UKA patients and lower preoperative scores on four subscales of the SF-36 (P &lt; 0.01). Both TKR and UKA patients' OKS and SF-36 subscale scores improved 6 months postoperatively except in the general health domain. SF-36 role physical and bodily pain scores showed the most improvement (40.9 and 33.0 points in TKR and 36.9 and 31.4 points in UKA patients, respectively). Two years after surgery, TKR patients' SF-36 scores and OKSs were not significantly different from those of UKA patients except for physical functioning scores. Multiple regression analysis adjusting for demographics showed that baseline scores were a significant predictor of the postoperative OKSs and scores on all SF-36 subscales (P &lt; 0.01), whereas the type of surgery was not associated with the postoperative scores. Conclusions: Both TKR and UKA patients experienced significant improvements in HRQoL, particularly in the role physical and pain domains. After controlling for potential confound-ing variables, the type of surgery was not a significant predictor of patients' postoperative HRQoL scores. Copyright © 2011, International Society for Pharmacoeconomics and Outcomes Research (ISPOR).","container-title":"Value in Health","DOI":"10.1016/j.jval.2010.08.005","ISSN":"15244733","issue":"2","page":"322–328","title":"Health-related quality of life after total knee replacement or unicompartmental knee arthroplasty in an urban asian population","volume":"14","author":[{"family":"Ko","given":"Yu"},{"family":"Narayanasamy","given":"Suganthi"},{"family":"Wee","given":"Hwee Lin"},{"family":"Lo","given":"Ngai Nung"},{"family":"Yeo","given":"Seng Jin"},{"family":"Yang","given":"Kuang Ying"},{"family":"Yeo","given":"William"},{"family":"Chong","given":"Hwei Chi"},{"family":"Thumboo","given":"Julian"}],"issued":{"date-parts":[["2011"]]}}}],"schema":"https://github.com/citation-style-language/schema/raw/master/csl-citation.json"}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[35]</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cohort study </w:t>
            </w:r>
            <w:r w:rsidRPr="00C7159B">
              <w:rPr>
                <w:rFonts w:ascii="Times New Roman" w:hAnsi="Times New Roman" w:cs="Times New Roman"/>
                <w:sz w:val="14"/>
                <w:szCs w:val="16"/>
              </w:rPr>
              <w:br/>
              <w:t>n = 1716</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67.1±7.6 years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23.8±16.7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55.8±13.5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60.4±12.3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648" w:type="dxa"/>
            <w:noWrap/>
            <w:hideMark/>
          </w:tcPr>
          <w:p w:rsidR="004714E7" w:rsidRPr="00C7159B" w:rsidRDefault="004714E7" w:rsidP="003A4C5D">
            <w:pPr>
              <w:jc w:val="center"/>
              <w:rPr>
                <w:rFonts w:ascii="Times New Roman" w:hAnsi="Times New Roman" w:cs="Times New Roman"/>
                <w:sz w:val="14"/>
                <w:szCs w:val="16"/>
              </w:rPr>
            </w:pP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33.1±21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59.7±21.8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65.2±22.4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Role-Physical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33.7±42.1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74±39.9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77.8±38.3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Bodily 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38±18.6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71.1±23.9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73.9±24.9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General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72.6±20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74.5±19.7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73.6±20.7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Vitality</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64.5±21.6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70.5±19.7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72±19.8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Social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57.3±35.3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84.6±27.4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87.6±26.9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Role-Emotional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77.6±40.8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93±24.6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93±24.8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73.9±20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80.5±15.7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81.1±16.9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40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Hamilton et al, 2012</w:t>
            </w:r>
            <w:r w:rsidRPr="00C7159B">
              <w:rPr>
                <w:rFonts w:ascii="Times New Roman" w:hAnsi="Times New Roman" w:cs="Times New Roman"/>
                <w:sz w:val="14"/>
                <w:szCs w:val="16"/>
              </w:rPr>
              <w:br/>
              <w:t xml:space="preserve">Edinburgh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{"citationID":"4or2S03S","properties":{"formattedCitation":"[36]","plainCitation":"[36]","noteIndex":0},"citationItems":[{"id":558,"uris":["http://zotero.org/users/local/jmBtsOsM/items/2NK6P5YT"],"itemData":{"id":558,"type":"article-journal","abstract":"Purpose The comparative outcome of primary hip and knee arthroplasty is not well understood. This study aimed to investigate the outcome and satisfaction of these procedures and determine predictive models for 1 year patient outcome with a view to informing surgical management and patient expectations. Study design Prospective cohort study of all primary hip and knee arthroplasty procedures performed at the Royal Infirmary of Edinburgh between January 2006 and November 2008. General health (SF-12) and joint specific function (Oxford Score) was assessed pre-operatively and at 6 and 12 months post-operatively. Patient satisfaction was assessed at 12 months. Results 1410 total hip arthroplasty (THA) and 1244 total knee arthroplasty (TKA) procedures were assessed. Oxford Score improved by 4.9 points more in THA patients than in TKA patients. SF-12 physical scores were on average 2.7 points greater in the THA patients at one year. Satisfaction was also greater (91%) following THA compared with TKA (81%). Regression modelling was not able to predict individual patient outcome; however, mean pre-operative Oxford Scores were found to be strong predictors of mean post-operative Oxford Scores for each procedure. Age, gender and pre-operative general health scores did not influence these models. Conclusions Both THA and TKA confer substantial improvement in patient outcome; however, greater joint specific, general health and satisfaction scores are reported following THA. This difference is physical in nature. Regression models are presented that can be applied to predict mean hip/knee arthroplasty outcome based on preoperative values.","container-title":"Postgraduate Medical Journal","DOI":"10.1136/postgradmedj-2011-130715","ISSN":"00325473","issue":"1045","note":"PMID: 22822221","page":"627–631","title":"Comparative outcomes of total hip and knee arthroplasty: A prospective cohort study","volume":"88","author":[{"family":"Hamilton","given":"David"},{"family":"Henderson","given":"G. Robin"},{"family":"Gaston","given":"Paul"},{"family":"MacDonald","given":"Deborah"},{"family":"Howie","given":"Colin"},{"family":"Simpson","given":"A. Hamish R.W."}],"issued":{"date-parts":[["2012"]]}}}],"schema":"https://github.com/citation-style-language/schema/raw/master/csl-citation.json"}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[36]</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cohort</w:t>
            </w:r>
            <w:r w:rsidRPr="00C7159B">
              <w:rPr>
                <w:rFonts w:ascii="Times New Roman" w:hAnsi="Times New Roman" w:cs="Times New Roman"/>
                <w:sz w:val="14"/>
                <w:szCs w:val="16"/>
              </w:rPr>
              <w:br/>
              <w:t>at baseline; n=1244</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6 months;</w:t>
            </w:r>
            <w:r w:rsidRPr="00C7159B">
              <w:rPr>
                <w:rFonts w:ascii="Times New Roman" w:hAnsi="Times New Roman" w:cs="Times New Roman"/>
                <w:sz w:val="14"/>
                <w:szCs w:val="16"/>
              </w:rPr>
              <w:br/>
              <w:t xml:space="preserve"> n =1223</w:t>
            </w:r>
            <w:r w:rsidRPr="00C7159B">
              <w:rPr>
                <w:rFonts w:ascii="Times New Roman" w:hAnsi="Times New Roman" w:cs="Times New Roman"/>
                <w:sz w:val="14"/>
                <w:szCs w:val="16"/>
              </w:rPr>
              <w:br/>
              <w:t>12 months;</w:t>
            </w:r>
            <w:r w:rsidRPr="00C7159B">
              <w:rPr>
                <w:rFonts w:ascii="Times New Roman" w:hAnsi="Times New Roman" w:cs="Times New Roman"/>
                <w:sz w:val="14"/>
                <w:szCs w:val="16"/>
              </w:rPr>
              <w:br/>
              <w:t>n =1227</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70.2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13.9±15.8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42.9±21.0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46.3±21.5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SF-12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Health</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30.2±10.4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39.5±11.6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40.3±12.4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756"/>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p w:rsidR="004714E7" w:rsidRPr="008A303C" w:rsidRDefault="004714E7" w:rsidP="003A4C5D">
            <w:pP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51.4±12.1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51.8±11.6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51.7±11.6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Alentorn-Geli et al, 2013</w:t>
            </w:r>
            <w:r w:rsidRPr="00C7159B">
              <w:rPr>
                <w:rFonts w:ascii="Times New Roman" w:hAnsi="Times New Roman" w:cs="Times New Roman"/>
                <w:sz w:val="14"/>
                <w:szCs w:val="16"/>
              </w:rPr>
              <w:br/>
              <w:t xml:space="preserve">Spain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{"citationID":"8D13fOre","properties":{"formattedCitation":"[37]","plainCitation":"[37]","noteIndex":0},"citationItems":[{"id":572,"uris":["http://zotero.org/users/local/jmBtsOsM/items/D3LJFZT3"],"itemData":{"id":572,"type":"article-journal","abstract":"The purpose of this study was to compare the short-term changes in quality of life for patients younger than 80 years with those 80 years and older undergoing total knee arthroplasty (TKA). It was hypothesized that patients 80 years and older had a similar quality of life after TKA compared with those younger than 80 years. All consecutive patients undergoing primary TKA were enrolled in this prospective, comparative, prognostic (level I evidence) study and were stratified into 2 groups based on their age (younger than 80 years and 80 years and older). Data on quality of life assessed using the Short Form 36 health survey were obtained preoperatively and 1 year postoperatively (short-term follow-up) and were compared between groups. A total of 328 (83.89%) patients younger than 80 years (mean age, 70.7 years) and 63 (16.11%) patients 80 years and older (mean age, 82.1 years) were included. No significant differences in preoperative quality of life were observed between groups. Postoperative physical function, vitality, social function, and physical component summary were lower in patients 80 years and older. Older patients had a lower difference between pre- and postoperative values in Short Form 36 physical function and role-emotional scores. Patients 80 years and older had a similar improvement in quality of life 1 year after TKA compared with patients younger than 80 years. Therefore, changes in quality of life justify TKA as a treatment option for elderly patients with end-stage knee osteoarthritis.","container-title":"Orthopedics","DOI":"10.3928/01477447-20130327-15","ISSN":"01477447","issue":"4","note":"PMID: 23590779","page":"415–419","title":"Comparison of quality of life between elderly patients undergoing TKA","volume":"36","author":[{"family":"Alentorn-Geli","given":"Eduard"},{"family":"Leal-Blanquet","given":"Joan"},{"family":"Guirro","given":"Pau"},{"family":"Hinarejos","given":"Pedro"},{"family":"Pelfort","given":"Xavier"},{"family":"Puig-Verdié","given":"Lluís"}],"issued":{"date-parts":[["2013"]]}}}],"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[37]</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comparative, prognostic (level 1 evidence</w:t>
            </w:r>
            <w:r w:rsidRPr="00C7159B">
              <w:rPr>
                <w:rFonts w:ascii="Times New Roman" w:hAnsi="Times New Roman" w:cs="Times New Roman"/>
                <w:sz w:val="14"/>
                <w:szCs w:val="16"/>
              </w:rPr>
              <w:lastRenderedPageBreak/>
              <w:t>) study</w:t>
            </w:r>
            <w:r w:rsidRPr="00C7159B">
              <w:rPr>
                <w:rFonts w:ascii="Times New Roman" w:hAnsi="Times New Roman" w:cs="Times New Roman"/>
                <w:sz w:val="14"/>
                <w:szCs w:val="16"/>
              </w:rPr>
              <w:br/>
              <w:t>n = 328</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Age: 70.7±5.6 years</w:t>
            </w:r>
            <w:r w:rsidRPr="00C7159B">
              <w:rPr>
                <w:rFonts w:ascii="Times New Roman" w:hAnsi="Times New Roman" w:cs="Times New Roman"/>
                <w:sz w:val="14"/>
                <w:szCs w:val="16"/>
              </w:rPr>
              <w:br/>
              <w:t>BMI: 31.4±4.8 kg/m2</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 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38.6±9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 years</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Role-Physical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45.7±11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34.4±12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43.4±11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Bodily 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45.7±11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32.4±10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43.8±10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General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46.3±7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44.8±7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Vitality</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47.9±11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52.2±11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47.4±11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48.9±11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Social Functioning</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40.6±12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48.3±11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40.4±11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45.7±11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Role-Emotional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39.2±16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45.5±14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42.5±15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44.2±14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39.9±13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41.7±13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43.1±12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42.8±12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30.8±9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46.6±15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47.9±13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Years</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Default="004714E7" w:rsidP="003A4C5D">
            <w:pPr>
              <w:rPr>
                <w:rFonts w:ascii="Times New Roman" w:hAnsi="Times New Roman" w:cs="Times New Roman"/>
                <w:sz w:val="14"/>
                <w:szCs w:val="16"/>
              </w:rPr>
            </w:pPr>
          </w:p>
          <w:p w:rsidR="004714E7" w:rsidRPr="00C7159B" w:rsidRDefault="004714E7" w:rsidP="003A4C5D">
            <w:pP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49.9±14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48.6±13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Baker et al, 2013</w:t>
            </w:r>
            <w:r w:rsidRPr="00C7159B">
              <w:rPr>
                <w:rFonts w:ascii="Times New Roman" w:hAnsi="Times New Roman" w:cs="Times New Roman"/>
                <w:sz w:val="14"/>
                <w:szCs w:val="16"/>
              </w:rPr>
              <w:br/>
              <w:t xml:space="preserve">UK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{"citationID":"UB2CqXql","properties":{"formattedCitation":"[38]","plainCitation":"[38]","noteIndex":0},"citationItems":[{"id":576,"uris":["http://zotero.org/users/local/jmBtsOsM/items/JUUN47TE"],"itemData":{"id":576,"type":"article-journal","abstract":"Pre-operative variables are increasingly being used to determine eligibility for total knee replacement (TKR). This study was undertaken to evaluate the relationships, interactions and predictive capacity of variables available pre- And post-operatively on patient satisfaction following TKR. Using nationally collected patient reported outcome measures and data from the National Joint Registry for England and Wales, we identified 22 798 patients who underwent TKR for osteoarthritis between August 2008 and September 2010. The ability of specific covariates to predict satisfaction was assessed using ordinal logistic regression and structural equational modelling. Only 4959 (22%) of 22 278 patients rated the results of their TKR as 'excellent', despite the majority (71%, n = 15 882) perceiving their knee symptoms to be much improved. The strongest predictors of satisfaction were post-operative variables. Satisfaction was significantly and positively related to the perception of symptom improvement (operative success) and the post-operative EuroQol-5D score. While also significant within the models pre-operative variables were less important and had a minimal influence upon post-operative satisfaction. The most robust predictions of satisfaction occurred only when both pre- And post-operative variables were considered together. These findings question the appropriateness of restricting access to care based on arbitrary pre-operative thresholds as these factors have little bearing on postoperative satisfaction. © 2013 The British Editorial Society of Bone &amp; Joint Surgery.","container-title":"Bone and Joint Journal","DOI":"10.1302/0301-620X.95B10.32281","ISSN":"20494408","issue":"10","note":"PMID: 24078532","page":"1359–1365","title":"Patient satisfaction with total knee replacement cannot be predicted from pre-operative variables alone: A cohort study from the national joint registry for england and wales","volume":"95 B","author":[{"family":"Baker","given":"P. N."},{"family":"Rushton","given":"S."},{"family":"Jameson","given":"S. S."},{"family":"Reed","given":"M."},{"family":"Gregg","given":"P."},{"family":"Deehan","given":"D. J."}],"issued":{"date-parts":[["2013"]]}}}],"schema":"https://github.com/citation-style-language/schema/raw/master/csl-citation.json"}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[38]</w:t>
            </w:r>
            <w:r w:rsidRPr="00C7159B">
              <w:rPr>
                <w:rFonts w:ascii="Times New Roman" w:hAnsi="Times New Roman" w:cs="Times New Roman"/>
                <w:sz w:val="14"/>
                <w:szCs w:val="16"/>
              </w:rPr>
              <w:fldChar w:fldCharType="end"/>
            </w:r>
          </w:p>
        </w:tc>
        <w:tc>
          <w:tcPr>
            <w:tcW w:w="0" w:type="auto"/>
            <w:vMerge w:val="restart"/>
            <w:hideMark/>
          </w:tcPr>
          <w:p w:rsidR="004714E7" w:rsidRPr="008A303C"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Retrospective cohort analysis</w:t>
            </w:r>
            <w:r w:rsidRPr="00C7159B">
              <w:rPr>
                <w:rFonts w:ascii="Times New Roman" w:hAnsi="Times New Roman" w:cs="Times New Roman"/>
                <w:sz w:val="14"/>
                <w:szCs w:val="16"/>
              </w:rPr>
              <w:br/>
              <w:t>at baseline; n =22798</w:t>
            </w:r>
            <w:r w:rsidRPr="00C7159B">
              <w:rPr>
                <w:rFonts w:ascii="Times New Roman" w:hAnsi="Times New Roman" w:cs="Times New Roman"/>
                <w:sz w:val="14"/>
                <w:szCs w:val="16"/>
              </w:rPr>
              <w:br/>
              <w:t>at 6 months;</w:t>
            </w:r>
            <w:r w:rsidRPr="00C7159B">
              <w:rPr>
                <w:rFonts w:ascii="Times New Roman" w:hAnsi="Times New Roman" w:cs="Times New Roman"/>
                <w:sz w:val="14"/>
                <w:szCs w:val="16"/>
              </w:rPr>
              <w:br/>
              <w:t>n =22278</w:t>
            </w:r>
          </w:p>
        </w:tc>
        <w:tc>
          <w:tcPr>
            <w:tcW w:w="0" w:type="auto"/>
            <w:vMerge w:val="restart"/>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69.7 (8.9) years</w:t>
            </w:r>
          </w:p>
        </w:tc>
        <w:tc>
          <w:tcPr>
            <w:tcW w:w="0" w:type="auto"/>
            <w:noWrap/>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b/>
                <w:bCs/>
                <w:sz w:val="14"/>
                <w:szCs w:val="16"/>
              </w:rPr>
              <w:t>EQ-5D</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rPr>
                <w:rFonts w:ascii="Times New Roman" w:hAnsi="Times New Roman" w:cs="Times New Roman"/>
                <w:b/>
                <w:bCs/>
                <w:sz w:val="14"/>
                <w:szCs w:val="16"/>
                <w:vertAlign w:val="superscript"/>
              </w:rPr>
            </w:pPr>
            <w:r w:rsidRPr="00C7159B">
              <w:rPr>
                <w:rFonts w:ascii="Times New Roman" w:hAnsi="Times New Roman" w:cs="Times New Roman"/>
                <w:b/>
                <w:bCs/>
                <w:sz w:val="14"/>
                <w:szCs w:val="16"/>
              </w:rPr>
              <w:t>6 month</w:t>
            </w:r>
            <w:r w:rsidRPr="00C7159B">
              <w:rPr>
                <w:rFonts w:ascii="Times New Roman" w:hAnsi="Times New Roman" w:cs="Times New Roman"/>
                <w:b/>
                <w:bCs/>
                <w:sz w:val="14"/>
                <w:szCs w:val="16"/>
                <w:vertAlign w:val="superscript"/>
              </w:rPr>
              <w:t>b</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gridSpan w:val="6"/>
            <w:vMerge w:val="restart"/>
            <w:noWrap/>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b/>
                <w:bCs/>
                <w:sz w:val="14"/>
                <w:szCs w:val="16"/>
              </w:rPr>
              <w:t>6 month</w:t>
            </w:r>
            <w:r w:rsidRPr="00C7159B">
              <w:rPr>
                <w:rFonts w:ascii="Times New Roman" w:hAnsi="Times New Roman" w:cs="Times New Roman"/>
                <w:b/>
                <w:bCs/>
                <w:sz w:val="14"/>
                <w:szCs w:val="16"/>
                <w:vertAlign w:val="superscript"/>
              </w:rPr>
              <w:t>b</w:t>
            </w:r>
          </w:p>
          <w:p w:rsidR="004714E7" w:rsidRDefault="004714E7" w:rsidP="003A4C5D">
            <w:pPr>
              <w:rPr>
                <w:rFonts w:ascii="Times New Roman" w:hAnsi="Times New Roman" w:cs="Times New Roman"/>
                <w:sz w:val="14"/>
                <w:szCs w:val="16"/>
              </w:rPr>
            </w:pPr>
          </w:p>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Unable to calculate</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vMerge w:val="restart"/>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b/>
                <w:bCs/>
                <w:sz w:val="14"/>
                <w:szCs w:val="16"/>
              </w:rPr>
              <w:t>6 month</w:t>
            </w:r>
            <w:r w:rsidRPr="00C7159B">
              <w:rPr>
                <w:rFonts w:ascii="Times New Roman" w:hAnsi="Times New Roman" w:cs="Times New Roman"/>
                <w:b/>
                <w:bCs/>
                <w:sz w:val="14"/>
                <w:szCs w:val="16"/>
                <w:vertAlign w:val="superscript"/>
              </w:rPr>
              <w:t>b</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Unable to calculate</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180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rPr>
                <w:rFonts w:ascii="Times New Roman" w:hAnsi="Times New Roman" w:cs="Times New Roman"/>
                <w:b/>
                <w:bCs/>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0.42 </w:t>
            </w:r>
            <w:r w:rsidRPr="00C7159B">
              <w:rPr>
                <w:rFonts w:ascii="Times New Roman" w:hAnsi="Times New Roman" w:cs="Times New Roman"/>
                <w:sz w:val="14"/>
                <w:szCs w:val="16"/>
              </w:rPr>
              <w:br/>
              <w:t>(0.049)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{-2.39}</w:t>
            </w:r>
            <w:r w:rsidRPr="00C7159B">
              <w:rPr>
                <w:rFonts w:ascii="Times New Roman" w:hAnsi="Times New Roman" w:cs="Times New Roman"/>
                <w:sz w:val="14"/>
                <w:szCs w:val="16"/>
              </w:rPr>
              <w:br/>
              <w:t>(0.075)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gridSpan w:val="6"/>
            <w:vMerge/>
            <w:noWrap/>
            <w:hideMark/>
          </w:tcPr>
          <w:p w:rsidR="004714E7" w:rsidRPr="00C7159B" w:rsidRDefault="004714E7" w:rsidP="003A4C5D">
            <w:pPr>
              <w:jc w:val="center"/>
              <w:rPr>
                <w:rFonts w:ascii="Times New Roman" w:hAnsi="Times New Roman" w:cs="Times New Roman"/>
                <w:sz w:val="14"/>
                <w:szCs w:val="16"/>
              </w:rPr>
            </w:pPr>
          </w:p>
        </w:tc>
        <w:tc>
          <w:tcPr>
            <w:tcW w:w="2538" w:type="dxa"/>
            <w:gridSpan w:val="4"/>
            <w:vMerge/>
            <w:noWrap/>
            <w:hideMark/>
          </w:tcPr>
          <w:p w:rsidR="004714E7" w:rsidRPr="00C7159B" w:rsidRDefault="004714E7" w:rsidP="003A4C5D">
            <w:pPr>
              <w:jc w:val="center"/>
              <w:rPr>
                <w:rFonts w:ascii="Times New Roman" w:hAnsi="Times New Roman" w:cs="Times New Roman"/>
                <w:sz w:val="14"/>
                <w:szCs w:val="16"/>
              </w:rPr>
            </w:pP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Hamilton et al, 2013</w:t>
            </w:r>
            <w:r w:rsidRPr="00C7159B">
              <w:rPr>
                <w:rFonts w:ascii="Times New Roman" w:hAnsi="Times New Roman" w:cs="Times New Roman"/>
                <w:sz w:val="14"/>
                <w:szCs w:val="16"/>
              </w:rPr>
              <w:br/>
              <w:t xml:space="preserve">UK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{"citationID":"5vCjsgmZ","properties":{"formattedCitation":"[52]","plainCitation":"[52]","noteIndex":0},"citationItems":[{"id":560,"uris":["http://zotero.org/users/local/jmBtsOsM/items/HJMUD3UA"],"itemData":{"id":560,"type":"article-journal","abstract":"Purpose: Cost effectiveness is an increasingly important factor in today's healthcare environment, and selection of arthroplasty implant is not exempt from such concerns. Quality adjusted life years (QALYs) are the typical tool for this type of evaluation. Using this methodology, joint arthroplasty has been shown to be cost effective; however, studies directly comparing differing prostheses are lacking. Methods: Data was gathered in a single-centre prospective double-blind randomised controlled trial comparing the outcome of modern and traditional knee implants, using the Short Form 6 dimensional (SF-6D) score and quality adjusted life year (QALY) methodology. Results: There was significant improvement in the SF-6D score for both groups at one year (p &lt; 0.0001). The calculated overall life expectancy for the study cohort was 15.1 years, resulting in an overall QALY gain of 2.144 (95 % CI 1.752-2.507). The modern implant group demonstrated a small improvement in SF-6D score compared to the traditional design at one year (0.141 versus 0.143, p = 0.94). This difference resulted in the modern implant costing \\pounds298 less per QALY at one year. Conclusion: This study demonstrates that modern implant technology does not influence the cost-effectiveness of TKA using the SF-6D and QALY methodology. This type of analysis however assesses health status, and is not sensitive to joint specific function. Evolutionary design changes in implant technology are thus unlikely to influence QALY analysis following joint replacement, which has important implications for implant procurement. © 2013 Springer-Verlag Berlin Heidelberg.","container-title":"International Orthopaedics","DOI":"10.1007/s00264-013-1992-4","ISSN":"03412695","issue":"11","note":"PMID: 23835559","page":"2147–2152","title":"Do modern total knee replacements offer better value for money? A health economic analysis","volume":"37","author":[{"family":"Hamilton","given":"David F."},{"family":"Clement","given":"Nicholas D."},{"family":"Burnett","given":"Richard"},{"family":"Patton","given":"James T."},{"family":"Moran","given":"Mathew"},{"family":"Howie","given":"Colin R."},{"family":"Simpson","given":"A. H.R.W."},{"family":"Gaston","given":"Paul"}],"issued":{"date-parts":[["2013"]]}}}],"schema":"https://github.com/citation-style-language/schema/raw/master/csl-citation.json"}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[52]</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Double blind RCT</w:t>
            </w:r>
            <w:r w:rsidRPr="00C7159B">
              <w:rPr>
                <w:rFonts w:ascii="Times New Roman" w:hAnsi="Times New Roman" w:cs="Times New Roman"/>
                <w:sz w:val="14"/>
                <w:szCs w:val="16"/>
              </w:rPr>
              <w:br/>
              <w:t>n = 124</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NR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SF-6D</w:t>
            </w: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Kinemax</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63.1±11.4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67.0±14.3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77.1±12.8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77.3±12.3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Triathlon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62.3±12.7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71.9±11.6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77.8±13.6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76.6±13.8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Clement and Burnett, 2013</w:t>
            </w:r>
            <w:r w:rsidRPr="00C7159B">
              <w:rPr>
                <w:rFonts w:ascii="Times New Roman" w:hAnsi="Times New Roman" w:cs="Times New Roman"/>
                <w:sz w:val="14"/>
                <w:szCs w:val="16"/>
              </w:rPr>
              <w:br/>
              <w:t xml:space="preserve">Germany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{"citationID":"Osh9Csut","properties":{"formattedCitation":"[39]","plainCitation":"[39]","noteIndex":0},"citationItems":[{"id":568,"uris":["http://zotero.org/users/local/jmBtsOsM/items/L4HDQA5Z"],"itemData":{"id":568,"type":"article-journal","abstract":"Purpose: We hypothesise that patients with a worse post-operative generic physical health, and those with a subclinical improvement, will have a greater rate of dissatisfaction with their total knee arthroplasty (TKA) despite improvement in their knee function. Methods: Prospectively complied data for 2,330 primary TKA were used. Patient demographics, comorbidity, and pre- and post-operative (1 year) Oxford knee scores (OKS) and Short Form (SF-) 12 scores were collected. Patient satisfaction was also assessed 1 year post-operatively. The satisfaction rate of patients with a poor post-operative SF-12 physical component summary (PCS score) (≤40 points) and those with a subclinical improvement (&lt;4 points) in the score were compared to those with a score of more than 40 and a clinically significant improvement, respectively. Results: More than half of the patients (n = 1,220) had a poor post-operative SF-12 PCS, and a third (n = 722) had a subclinical improvement in their general physical health after TKA. These patients were more likely to be older in age, suffer with concomitant back pain, and pain in other joints, and have a significantly worse pre-operative mental well-being score (SF-12) and OKS (all p &lt; 0.04 on regression analysis). Both groups had a clinically significant improvement in their OKS post-operatively (p &lt; 0.001), but it was 10 and 8 points less, respectively, than those patients with a SF-12 PCS of more than 40, and a clinical significant improvement in their PCS score (p &lt; 0.001). Logistic regression analysis demonstrated that patients who had a poor post-operative SF-12 PCS (odds ratio 7.9, p &lt; 0.001) and those with a subclinical improvement in their general physical health (odds ratio 5.1, p &lt; 0.001) after TKA were significantly less likely to be satisfied. Conclusion: Despite benefitting from a significant improvement in their OKS after TKA, patients with a poor post-operative SF-12 PCS and those with a subclinical improvement in their general physical well-being are significantly less likely to be satisfied at 1 year. Level of evidence: Retrospective comparative study, Level III. © 2013 Springer-Verlag Berlin Heidelberg.","container-title":"Knee Surgery, Sports Traumatology, Arthroscopy","DOI":"10.1007/s00167-013-2523-y","ISSN":"09422056","issue":"11","note":"PMID: 23670127","page":"2638–2646","title":"Patient satisfaction after total knee arthroplasty is affected by their general physical well-being","volume":"21","author":[{"family":"Clement","given":"N. D."},{"family":"Burnett","given":"R."}],"issued":{"date-parts":[["2013"]]}}}],"schema":"https://github.com/citation-style-language/schema/raw/master/csl-citation.json"}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[39]</w:t>
            </w:r>
            <w:r w:rsidRPr="00C7159B">
              <w:rPr>
                <w:rFonts w:ascii="Times New Roman" w:hAnsi="Times New Roman" w:cs="Times New Roman"/>
                <w:sz w:val="14"/>
                <w:szCs w:val="16"/>
              </w:rPr>
              <w:fldChar w:fldCharType="end"/>
            </w:r>
          </w:p>
          <w:p w:rsidR="004714E7" w:rsidRDefault="004714E7" w:rsidP="003A4C5D">
            <w:pPr>
              <w:jc w:val="center"/>
              <w:rPr>
                <w:rFonts w:ascii="Times New Roman" w:hAnsi="Times New Roman" w:cs="Times New Roman"/>
                <w:sz w:val="14"/>
                <w:szCs w:val="16"/>
              </w:rPr>
            </w:pPr>
          </w:p>
          <w:p w:rsidR="004714E7" w:rsidRDefault="004714E7" w:rsidP="003A4C5D">
            <w:pPr>
              <w:jc w:val="center"/>
              <w:rPr>
                <w:rFonts w:ascii="Times New Roman" w:hAnsi="Times New Roman" w:cs="Times New Roman"/>
                <w:sz w:val="14"/>
                <w:szCs w:val="16"/>
              </w:rPr>
            </w:pPr>
          </w:p>
          <w:p w:rsidR="004714E7" w:rsidRDefault="004714E7" w:rsidP="003A4C5D">
            <w:pPr>
              <w:jc w:val="center"/>
              <w:rPr>
                <w:rFonts w:ascii="Times New Roman" w:hAnsi="Times New Roman" w:cs="Times New Roman"/>
                <w:sz w:val="14"/>
                <w:szCs w:val="16"/>
              </w:rPr>
            </w:pPr>
          </w:p>
          <w:p w:rsidR="004714E7" w:rsidRPr="00C7159B" w:rsidRDefault="004714E7" w:rsidP="003A4C5D">
            <w:pPr>
              <w:rPr>
                <w:rFonts w:ascii="Times New Roman" w:hAnsi="Times New Roman" w:cs="Times New Roman"/>
                <w:sz w:val="14"/>
                <w:szCs w:val="16"/>
              </w:rPr>
            </w:pP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Retrospective Cohort </w:t>
            </w:r>
            <w:r w:rsidRPr="00C7159B">
              <w:rPr>
                <w:rFonts w:ascii="Times New Roman" w:hAnsi="Times New Roman" w:cs="Times New Roman"/>
                <w:sz w:val="14"/>
                <w:szCs w:val="16"/>
              </w:rPr>
              <w:br/>
              <w:t>n =2230</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 70.3±9.7 years</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p w:rsidR="004714E7" w:rsidRPr="00C7159B" w:rsidRDefault="004714E7" w:rsidP="003A4C5D">
            <w:pPr>
              <w:jc w:val="center"/>
              <w:rPr>
                <w:rFonts w:ascii="Times New Roman" w:hAnsi="Times New Roman" w:cs="Times New Roman"/>
                <w:b/>
                <w:bCs/>
                <w:sz w:val="14"/>
                <w:szCs w:val="16"/>
              </w:rPr>
            </w:pPr>
          </w:p>
          <w:p w:rsidR="004714E7" w:rsidRPr="00C7159B" w:rsidRDefault="004714E7" w:rsidP="003A4C5D">
            <w:pPr>
              <w:jc w:val="center"/>
              <w:rPr>
                <w:rFonts w:ascii="Times New Roman" w:hAnsi="Times New Roman" w:cs="Times New Roman"/>
                <w:b/>
                <w:bCs/>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39.4±15.6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71.5±21.0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711"/>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Health</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29.5±7.2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39.6±10.7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835"/>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47.7±12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51.1±10.6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Dailiana et al, 2015</w:t>
            </w:r>
            <w:r w:rsidRPr="00C7159B">
              <w:rPr>
                <w:rFonts w:ascii="Times New Roman" w:hAnsi="Times New Roman" w:cs="Times New Roman"/>
                <w:sz w:val="14"/>
                <w:szCs w:val="16"/>
              </w:rPr>
              <w:br/>
              <w:t xml:space="preserve">Greece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{"citationID":"xwLQuV7r","properties":{"formattedCitation":"[40]","plainCitation":"[40]","noteIndex":0},"citationItems":[{"id":570,"uris":["http://zotero.org/users/local/jmBtsOsM/items/GEYP44Z9"],"itemData":{"id":570,"type":"article-journal","abstract":"Background: To investigate and compare the impact of primary hip (THA) and knee (TKA) arthroplasty on quality of life in patients with osteoarthritis, to determine patients' satisfaction with total joint arthroplasty, and to detect the effect of patients' demographic and clinical characteristics on outcome. Methods: Three hundred seventy eight (378) patients with hip (174) and knee (204) osteoarthritis undergoing total joint arthroplasty (174 THA-204 TKA) were assessed pre- and post-operatively (6 weeks, 3, 6, and 12 months) using the Western Ontario and McMaster Osteoarthritis Index (WOMAC) and Centre for Epidemiological Studies Depression Scale (CES-D10). The patients' satisfaction with the results of total joint arthroplasty was also assessed. Differences were analyzed using general linear model for repeated measures. Results: The one-year response rate was 97 % for THA and 90 % for TKA. WOMAC and CES-D10 scores improved significantly after one year for both THA and TKA (P &lt; 0.0001). The improvement in WOMAC total score was significantly greater for TKA patients (P &lt; 0.0001 at 12 months). WOMAC pain and stiffness improved earlier for THA (6 weeks), while TKA had equivalent improvements at 3 and 6 months respectively. Both THA/TKA displayed significant improvement of WOMAC function at 3 months but TKA had greater improvement. Age, body mass index, residence, education and social support were not significant predictors of quality of life after total joint arthroplasty. One year postoperatively 88 % of patients were satisfied. Conclusions: WOMAC and CES-D10 improved significantly one year postoperatively. Although pain and stiffness improved earlier in THA, functional improvement was inferior in THA compared to TKA.","container-title":"BMC Musculoskeletal Disorders","DOI":"10.1186/s12891-015-0814-9","ISSN":"14712474","issue":"1","note":"publisher: BMC Musculoskeletal Disorders\nPMID: 26612135","page":"10–17","title":"Patient-reported quality of life after primary major joint arthroplasty: A prospective comparison of hip and knee arthroplasty","volume":"16","author":[{"family":"Dailiana","given":"Zoe H."},{"family":"Papakostidou","given":"Ippolyti"},{"family":"Varitimidis","given":"Sokratis"},{"family":"Liaropoulos","given":"Lycurgos"},{"family":"Zintzaras","given":"Elias"},{"family":"Karachalios","given":"Theofilos"},{"family":"Michelinakis","given":"Emmanuel"},{"family":"Malizos","given":"Konstantinos N."}],"issued":{"date-parts":[["2015"]]}}}],"schema":"https://github.com/citation-style-language/schema/raw/master/csl-citation.json"}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[40]</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w:t>
            </w:r>
            <w:r w:rsidRPr="00C7159B">
              <w:rPr>
                <w:rFonts w:ascii="Times New Roman" w:hAnsi="Times New Roman" w:cs="Times New Roman"/>
                <w:sz w:val="14"/>
                <w:szCs w:val="16"/>
              </w:rPr>
              <w:br/>
              <w:t>At baseline;</w:t>
            </w:r>
            <w:r w:rsidRPr="00C7159B">
              <w:rPr>
                <w:rFonts w:ascii="Times New Roman" w:hAnsi="Times New Roman" w:cs="Times New Roman"/>
                <w:sz w:val="14"/>
                <w:szCs w:val="16"/>
              </w:rPr>
              <w:br/>
              <w:t>n =204</w:t>
            </w:r>
            <w:r w:rsidRPr="00C7159B">
              <w:rPr>
                <w:rFonts w:ascii="Times New Roman" w:hAnsi="Times New Roman" w:cs="Times New Roman"/>
                <w:sz w:val="14"/>
                <w:szCs w:val="16"/>
              </w:rPr>
              <w:br/>
              <w:t>at 6 weeks;</w:t>
            </w:r>
            <w:r w:rsidRPr="00C7159B">
              <w:rPr>
                <w:rFonts w:ascii="Times New Roman" w:hAnsi="Times New Roman" w:cs="Times New Roman"/>
                <w:sz w:val="14"/>
                <w:szCs w:val="16"/>
              </w:rPr>
              <w:br/>
              <w:t>n =201</w:t>
            </w:r>
            <w:r w:rsidRPr="00C7159B">
              <w:rPr>
                <w:rFonts w:ascii="Times New Roman" w:hAnsi="Times New Roman" w:cs="Times New Roman"/>
                <w:sz w:val="14"/>
                <w:szCs w:val="16"/>
              </w:rPr>
              <w:br/>
              <w:t>at 3 months;</w:t>
            </w:r>
            <w:r w:rsidRPr="00C7159B">
              <w:rPr>
                <w:rFonts w:ascii="Times New Roman" w:hAnsi="Times New Roman" w:cs="Times New Roman"/>
                <w:sz w:val="14"/>
                <w:szCs w:val="16"/>
              </w:rPr>
              <w:br/>
              <w:t>n =198</w:t>
            </w:r>
            <w:r w:rsidRPr="00C7159B">
              <w:rPr>
                <w:rFonts w:ascii="Times New Roman" w:hAnsi="Times New Roman" w:cs="Times New Roman"/>
                <w:sz w:val="14"/>
                <w:szCs w:val="16"/>
              </w:rPr>
              <w:br/>
              <w:t>at 6 months;</w:t>
            </w:r>
            <w:r w:rsidRPr="00C7159B">
              <w:rPr>
                <w:rFonts w:ascii="Times New Roman" w:hAnsi="Times New Roman" w:cs="Times New Roman"/>
                <w:sz w:val="14"/>
                <w:szCs w:val="16"/>
              </w:rPr>
              <w:br/>
              <w:t>n =193</w:t>
            </w:r>
            <w:r w:rsidRPr="00C7159B">
              <w:rPr>
                <w:rFonts w:ascii="Times New Roman" w:hAnsi="Times New Roman" w:cs="Times New Roman"/>
                <w:sz w:val="14"/>
                <w:szCs w:val="16"/>
              </w:rPr>
              <w:br/>
              <w:t>at 12 months;</w:t>
            </w:r>
            <w:r w:rsidRPr="00C7159B">
              <w:rPr>
                <w:rFonts w:ascii="Times New Roman" w:hAnsi="Times New Roman" w:cs="Times New Roman"/>
                <w:sz w:val="14"/>
                <w:szCs w:val="16"/>
              </w:rPr>
              <w:br/>
              <w:t>n =184</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69.1±6.69 years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648" w:type="dxa"/>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r>
      <w:tr w:rsidR="004714E7" w:rsidRPr="00C7159B" w:rsidTr="003A4C5D">
        <w:trPr>
          <w:trHeight w:val="257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Total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43.4±15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51.1±16.6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72.2±13.1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84.9±12.6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90±10.4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w:t>
            </w:r>
          </w:p>
        </w:tc>
      </w:tr>
      <w:tr w:rsidR="004714E7" w:rsidRPr="00C7159B" w:rsidTr="003A4C5D">
        <w:trPr>
          <w:trHeight w:val="52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Cherian et al, 2015</w:t>
            </w:r>
            <w:r w:rsidRPr="00C7159B">
              <w:rPr>
                <w:rFonts w:ascii="Times New Roman" w:hAnsi="Times New Roman" w:cs="Times New Roman"/>
                <w:sz w:val="14"/>
                <w:szCs w:val="16"/>
              </w:rPr>
              <w:br/>
              <w:t>USA</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{"citationID":"N9zpSGj2","properties":{"formattedCitation":"[41]","plainCitation":"[41]","noteIndex":0},"citationItems":[{"id":566,"uris":["http://zotero.org/users/local/jmBtsOsM/items/9G8HBSTR"],"itemData":{"id":566,"type":"article-journal","abstract":"This study aimed to compare temporal trends in outcomes between men and women following TKA. A database of 272 TKAs at 7 years follow-up were evaluated for survivorship, functional, activity, and quality of life outcomes. Evaluation of implant survivorship, KSS scores, and ROM showed no significance differences between men and women, but both functional KSS scores and LEAS showed that men had significantly higher functional scores. The SF-36 physical component was found to be significantly better in men at multiple time points, whereas, the mental component was significantly better in men at pre-operative and 2 years. Both men and women benefit from TKA, however, men have higher levels of function and activity both prior to and after TKA than women.","container-title":"Journal of Arthroplasty","DOI":"10.1016/j.arth.2015.03.032","ISSN":"15328406","issue":"8","note":"publisher: Elsevier Inc.\nPMID: 25865810","page":"1372–1377","title":"A Prospective, Longitudinal Study of Outcomes Following Total Knee Arthroplasty Stratified by Gender","volume":"30","author":[{"family":"Cherian","given":"Jeffrey J."},{"family":"O'Connor","given":"Mary I."},{"family":"Robinson","given":"Kristen"},{"family":"Jauregui","given":"Julio J."},{"family":"Adleberg","given":"Jason"},{"family":"Mont","given":"Michael A."}],"issued":{"date-parts":[["2015"]]}}}],"schema":"https://github.com/citation-style-language/schema/raw/master/csl-citation.json"}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[41]</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Cohort study</w:t>
            </w:r>
            <w:r w:rsidRPr="00C7159B">
              <w:rPr>
                <w:rFonts w:ascii="Times New Roman" w:hAnsi="Times New Roman" w:cs="Times New Roman"/>
                <w:sz w:val="14"/>
                <w:szCs w:val="16"/>
              </w:rPr>
              <w:br/>
              <w:t>n=272</w:t>
            </w:r>
            <w:r w:rsidRPr="00C7159B">
              <w:rPr>
                <w:rFonts w:ascii="Times New Roman" w:hAnsi="Times New Roman" w:cs="Times New Roman"/>
                <w:sz w:val="14"/>
                <w:szCs w:val="16"/>
              </w:rPr>
              <w:br/>
              <w:t>Male=103</w:t>
            </w:r>
            <w:r w:rsidRPr="00C7159B">
              <w:rPr>
                <w:rFonts w:ascii="Times New Roman" w:hAnsi="Times New Roman" w:cs="Times New Roman"/>
                <w:sz w:val="14"/>
                <w:szCs w:val="16"/>
              </w:rPr>
              <w:br/>
              <w:t>Female=169</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66.43 years</w:t>
            </w:r>
            <w:r w:rsidRPr="00C7159B">
              <w:rPr>
                <w:rFonts w:ascii="Times New Roman" w:hAnsi="Times New Roman" w:cs="Times New Roman"/>
                <w:sz w:val="14"/>
                <w:szCs w:val="16"/>
              </w:rPr>
              <w:br/>
              <w:t>BMI: 30 kg/m2</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weeks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648" w:type="dxa"/>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7 year</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Unable to Calculate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Male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Female</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Thambiah et al, 2015</w:t>
            </w:r>
            <w:r w:rsidRPr="00C7159B">
              <w:rPr>
                <w:rFonts w:ascii="Times New Roman" w:hAnsi="Times New Roman" w:cs="Times New Roman"/>
                <w:sz w:val="14"/>
                <w:szCs w:val="16"/>
              </w:rPr>
              <w:br/>
              <w:t xml:space="preserve">Singapore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{"citationID":"GWwQ2n6Y","properties":{"formattedCitation":"[42]","plainCitation":"[42]","noteIndex":0},"citationItems":[{"id":580,"uris":["http://zotero.org/users/local/jmBtsOsM/items/XY85XCX4"],"itemData":{"id":580,"type":"article-journal","abstract":"INTRODUCTION Total knee arthroplasty (TKA) is an effective method for alleviating pain and restoring knee function in patients with severe osteoarthritis. However, despite the improvements in surgical technique and postoperative care, it has been reported that up to 19% of patients are dissatisfied after their operations. The aim of this study was to evaluate patient satisfaction levels after TKA in an Asian cohort, as well as assess the correlation between patient satisfaction levels and the results of traditional physician-based scoring systems. METHODS The medical data of 103 Asian patients who underwent 110 TKAs between December 2008 and June 2009 were obtained from our hospital's Joint Replacement Registry. The minimum follow-up period was one year and patient expectations were assessed before TKA. Patient satisfaction was assessed postoperatively using a 5-point Likert scale. Reasons for patient dissatisfaction were recorded. Standardised instruments (e.g. the Knee Society Score, the Western Ontario and McMaster Universities Osteoarthritis Index [WOMAC] and the generic Short Form-36 health survey) were used to assess the patient's functional status and the severity of symptoms pre- and postoperatively. RESULTS Among the 110 TKAs performed, 92.8% resulted in patient satisfaction. Patient satisfaction correlated with postoperative WOMAC function scores (p = 0.028), postoperative WOMAC final scores (p = 0.040) and expectations being met (p = 0.033). CONCLUSION Although there was a high level of patient satisfaction following TKA in our cohort of Asian patients, a significant minority was dissatisfied. Patient satisfaction is an important outcome measure and should be assessed in addition to traditional outcome scores.","container-title":"Singapore Medical Journal","DOI":"10.11622/smedj.2015074","ISSN":"00375675","issue":"5","note":"PMID: 26034317","page":"259–263","title":"Patient satisfaction after total knee arthroplasty: An Asian perspective","volume":"56","author":[{"family":"Thambiah","given":"Matthew Dhanaraj"},{"family":"Nathan","given":"Sahaya"},{"family":"Seow","given":"Branden Zx"},{"family":"Liang","given":"Shen"},{"family":"Lingaraj","given":"Krishna"}],"issued":{"date-parts":[["2015"]]}}}],"schema":"https://github.com/citation-style-language/schema/raw/master/csl-citation.json"}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[42]</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Retrospective cohort </w:t>
            </w:r>
            <w:r w:rsidRPr="00C7159B">
              <w:rPr>
                <w:rFonts w:ascii="Times New Roman" w:hAnsi="Times New Roman" w:cs="Times New Roman"/>
                <w:sz w:val="14"/>
                <w:szCs w:val="16"/>
              </w:rPr>
              <w:br/>
              <w:t>n = 110</w:t>
            </w:r>
            <w:r w:rsidRPr="00C7159B">
              <w:rPr>
                <w:rFonts w:ascii="Times New Roman" w:hAnsi="Times New Roman" w:cs="Times New Roman"/>
                <w:sz w:val="14"/>
                <w:szCs w:val="16"/>
              </w:rPr>
              <w:br/>
              <w:t>Male =32</w:t>
            </w:r>
            <w:r w:rsidRPr="00C7159B">
              <w:rPr>
                <w:rFonts w:ascii="Times New Roman" w:hAnsi="Times New Roman" w:cs="Times New Roman"/>
                <w:sz w:val="14"/>
                <w:szCs w:val="16"/>
              </w:rPr>
              <w:br/>
              <w:t>Female =78</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64(45-83 years)</w:t>
            </w:r>
            <w:r w:rsidRPr="00C7159B">
              <w:rPr>
                <w:rFonts w:ascii="Times New Roman" w:hAnsi="Times New Roman" w:cs="Times New Roman"/>
                <w:sz w:val="14"/>
                <w:szCs w:val="16"/>
              </w:rPr>
              <w:br/>
              <w:t xml:space="preserve">BMI: 26.7 (range 17.3-42.2)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Total</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50.1±16.5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87.7±7.8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Dissatisfied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46.8±14.8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80.0±11.8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52.8±19.7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96.9±6.1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Dissatisfied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45.0±16.8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93.2±8.7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62.2±28.2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94.5±11.4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Dissatisfied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50.0±26.5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91.7±10.8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47.4±18.6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85.6±13.0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Dissatisfied</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41.7±19.5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74.7±18.0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Skou et al, 2015</w:t>
            </w:r>
            <w:r w:rsidRPr="00C7159B">
              <w:rPr>
                <w:rFonts w:ascii="Times New Roman" w:hAnsi="Times New Roman" w:cs="Times New Roman"/>
                <w:sz w:val="14"/>
                <w:szCs w:val="16"/>
              </w:rPr>
              <w:br/>
              <w:t xml:space="preserve">Denmark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{"citationID":"1HfDxq3w","properties":{"formattedCitation":"[53]","plainCitation":"[53]","noteIndex":0},"citationItems":[{"id":539,"uris":["http://zotero.org/users/local/jmBtsOsM/items/44AF5CIM"],"itemData":{"id":539,"type":"article-journal","abstract":"Copyright © 2015 Massachusetts Medical Society.BACKGROUND More than 670,000 total knee replacements are performed annually in the United States; however, high-quality evidence to support the effectiveness of the procedure, as compared with nonsurgical interventions, is lacking. METHODS In this randomized, controlled trial, we enrolled 100 patients with moderate-tosevere knee osteoarthritis who were eligible for unilateral total knee replacement. Patients were randomly assigned to undergo total knee replacement followed by 12 weeks of nonsurgical treatment (total-knee-replacement group) or to receive only the 12 weeks of nonsurgical treatment (nonsurgical-treatment group), which was delivered by physiotherapists and dietitians and consisted of exercise, education, dietary advice, use of insoles, and pain medication. The primary outcome was the change from baseline to 12 months in the mean score on four Knee Injury and Osteoarthritis Outcome Score subscales, covering pain, symptoms, activities of daily living, and quality of life (KOOS4); scores range from 0 (worst) to 100 (best). RESULTS A total of 95 patients completed the 12-month follow-up assessment. In the nonsurgical- Treatment group, 13 patients (26%) underwent total knee replacement before the 12-month follow-up; in the total-knee-replacement group, 1 patient (2%) received only nonsurgical treatment. In the intention-to-treat analysis, the total-kneereplacement group had greater improvement in the KOOS4 score than did the nonsurgical- Treatment group (32.5 vs. 16.0; adjusted mean difference, 15.8 [95% confidence interval, 10.0 to 21.5]). The total-knee-replacement group had a higher number of serious adverse events than did the nonsurgical-treatment group (24 vs. 6, P = 0.005). CONCLUSIONS In patients with knee osteoarthritis who were eligible for unilateral total knee replacement, treatment with total knee replacement followed by nonsurgical treatment resulted in greater pain relief and functional improvement after 12 months than did nonsurgical treatment alone. However, total knee replacement was associated with a higher number of serious adverse events than was nonsurgical treatment, and most patients who were assigned to receive nonsurgical treatment alone did not undergo total knee replacement before the 12-month follow-up. (Funded by the Obel Family Foundation and others; MEDIC ClinicalTrials.gov number, NCT01410409.).","container-title":"New England Journal of Medicine","DOI":"10.1056/nejmoa1505467","ISSN":"0028-4793","issue":"17","note":"PMID: 26488691","page":"1597–1606","title":"A Randomized, Controlled Trial of Total Knee Replacement","volume":"373","author":[{"family":"Skou","given":"Søren T."},{"family":"Roos","given":"Ewa M."},{"family":"Laursen","given":"Mogens B."},{"family":"Rathleff","given":"Michael S."},{"family":"Arendt-Nielsen","given":"Lars"},{"family":"Simonsen","given":"Ole"},{"family":"Rasmussen","given":"Sten"}],"issued":{"date-parts":[["2015"]]}}}],"schema":"https://github.com/citation-style-language/schema/raw/master/csl-citation.json"}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[53]</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Randomised Controll</w:t>
            </w:r>
            <w:r w:rsidRPr="00C7159B">
              <w:rPr>
                <w:rFonts w:ascii="Times New Roman" w:hAnsi="Times New Roman" w:cs="Times New Roman"/>
                <w:sz w:val="14"/>
                <w:szCs w:val="16"/>
              </w:rPr>
              <w:lastRenderedPageBreak/>
              <w:t xml:space="preserve">ed Trial </w:t>
            </w:r>
            <w:r w:rsidRPr="00C7159B">
              <w:rPr>
                <w:rFonts w:ascii="Times New Roman" w:hAnsi="Times New Roman" w:cs="Times New Roman"/>
                <w:sz w:val="14"/>
                <w:szCs w:val="16"/>
              </w:rPr>
              <w:br/>
              <w:t>n=50</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Age:65.8±8.7 years</w:t>
            </w:r>
            <w:r w:rsidRPr="00C7159B">
              <w:rPr>
                <w:rFonts w:ascii="Times New Roman" w:hAnsi="Times New Roman" w:cs="Times New Roman"/>
                <w:sz w:val="14"/>
                <w:szCs w:val="16"/>
              </w:rPr>
              <w:br/>
              <w:t xml:space="preserve">BMI: </w:t>
            </w:r>
            <w:r w:rsidRPr="00C7159B">
              <w:rPr>
                <w:rFonts w:ascii="Times New Roman" w:hAnsi="Times New Roman" w:cs="Times New Roman"/>
                <w:sz w:val="14"/>
                <w:szCs w:val="16"/>
              </w:rPr>
              <w:lastRenderedPageBreak/>
              <w:t>32.3±6.2 kg/m2</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lastRenderedPageBreak/>
              <w:t>KOOS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vertAlign w:val="superscript"/>
              </w:rPr>
            </w:pPr>
            <w:r w:rsidRPr="00C7159B">
              <w:rPr>
                <w:rFonts w:ascii="Times New Roman" w:hAnsi="Times New Roman" w:cs="Times New Roman"/>
                <w:b/>
                <w:bCs/>
                <w:sz w:val="14"/>
                <w:szCs w:val="16"/>
              </w:rPr>
              <w:t>1 year</w:t>
            </w:r>
            <w:r w:rsidRPr="00C7159B">
              <w:rPr>
                <w:rFonts w:ascii="Times New Roman" w:hAnsi="Times New Roman" w:cs="Times New Roman"/>
                <w:b/>
                <w:bCs/>
                <w:sz w:val="14"/>
                <w:szCs w:val="16"/>
                <w:vertAlign w:val="superscript"/>
              </w:rPr>
              <w:t>a</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b/>
                <w:bCs/>
                <w:sz w:val="14"/>
                <w:szCs w:val="16"/>
              </w:rPr>
              <w:t>1 year</w:t>
            </w:r>
            <w:r w:rsidRPr="00C7159B">
              <w:rPr>
                <w:rFonts w:ascii="Times New Roman" w:hAnsi="Times New Roman" w:cs="Times New Roman"/>
                <w:b/>
                <w:bCs/>
                <w:sz w:val="14"/>
                <w:szCs w:val="16"/>
                <w:vertAlign w:val="superscript"/>
              </w:rPr>
              <w:t>a</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b/>
                <w:bCs/>
                <w:sz w:val="14"/>
                <w:szCs w:val="16"/>
              </w:rPr>
              <w:t>1 year</w:t>
            </w:r>
            <w:r w:rsidRPr="00C7159B">
              <w:rPr>
                <w:rFonts w:ascii="Times New Roman" w:hAnsi="Times New Roman" w:cs="Times New Roman"/>
                <w:b/>
                <w:bCs/>
                <w:sz w:val="14"/>
                <w:szCs w:val="16"/>
                <w:vertAlign w:val="superscript"/>
              </w:rPr>
              <w:t>a</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0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48.6±17.5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34.8±24.16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gridSpan w:val="6"/>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Unable to calculate</w:t>
            </w:r>
          </w:p>
        </w:tc>
        <w:tc>
          <w:tcPr>
            <w:tcW w:w="2538" w:type="dxa"/>
            <w:gridSpan w:val="4"/>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Unable to calculate</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Symptoms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54.0±15.0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26.4±17.85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ADL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55±17.0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30±26.15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Sports/Rec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18.0±14.7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34.5±23.62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QOL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32.3±15.3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38.2±27.41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KOOS4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47.4±3.4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32.5±20.01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Vina, 2016</w:t>
            </w:r>
            <w:r w:rsidRPr="00C7159B">
              <w:rPr>
                <w:rFonts w:ascii="Times New Roman" w:hAnsi="Times New Roman" w:cs="Times New Roman"/>
                <w:sz w:val="14"/>
                <w:szCs w:val="16"/>
              </w:rPr>
              <w:br/>
              <w:t xml:space="preserve">USA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{"citationID":"Ve46wBQ4","properties":{"formattedCitation":"[55]","plainCitation":"[55]","noteIndex":0},"citationItems":[{"id":529,"uris":["http://zotero.org/users/local/jmBtsOsM/items/KKMWNTT9"],"itemData":{"id":529,"type":"article-journal","abstract":"Objective: To determine whether changes in preoperative osteoarthritis (OA) symptoms are associated with improvement after total knee replacement (TKR) and to identify predictors of clinically significant improvement. Methods: Data on Osteoarthritis Initiative participants who were annually assessed and underwent TKR were included. T0 was the assessment prior to TKR while T-1 was the assessment prior to that. T+2 was the second assessment after TKR. We compiled data on the Western Ontario and McMaster Universities OA Index (WOMAC), OA-related symptoms, and radiographic severity. We defined clinically significant improvement as improvement in WOMAC total score ≥ to the minimal important difference (MID) (0.5 SD of mean change) between T0 and T+2 and also considered other definitions of improvement. Logistic regression models were performed to evaluate the relationship between improvement and preoperative measures. Results: Improved (n = 211) compared to unimproved (n = 58) patients had greater worsening of their WOMAC pain (p = 0.002) and disability (p &lt; 0.001) from T-1 to T0. Preoperative measures as predictors of improvement included higher WOMAC disability (OR = 1.08, p &lt; 0.001), presence of chronic OA symptoms in the surgical knee (OR = 5.77, p = 0.033), absence of OA-related symptoms in the contralateral knee (OR = 9.25, p &lt; 0.001), exposure to frequent knee bending (OR = 3.46, p = 0.040), and having a Kellgren-Lawrence x-ray grade of ≥2 in the contralateral knee (OR = 4.71, p = 0.010). Conclusions: More than 75% of participants had improvement after TKR. Improved patients were more likely to have escalation of OA pain and disability prior to surgery than unimproved patients. Other preoperative measures predicted improvement after TKR.","container-title":"Seminars in Arthritis and Rheumatism","DOI":"10.1016/j.semarthrit.2015.10.002","ISSN":"1532866X","issue":"5","note":"publisher: Elsevier\nPMID: 26573377","page":"547–555","title":"Improvement following total knee replacement surgery: Exploring preoperative symptoms and change in preoperative symptoms","volume":"45","author":[{"family":"Vina","given":"Ernest R."},{"family":"Hannon","given":"Michael J."},{"family":"Kwoh","given":"C. Kent"}],"issued":{"date-parts":[["2016"]]}}}],"schema":"https://github.com/citation-style-language/schema/raw/master/csl-citation.json"}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[55]</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NI</w:t>
            </w:r>
            <w:r w:rsidRPr="00C7159B">
              <w:rPr>
                <w:rFonts w:ascii="Times New Roman" w:hAnsi="Times New Roman" w:cs="Times New Roman"/>
                <w:sz w:val="14"/>
                <w:szCs w:val="16"/>
              </w:rPr>
              <w:br/>
              <w:t>n=269</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67.56±8.4 years</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Total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64.48±17.03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81.5±15.54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88.14±13.04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64.27±19.1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82.65±17.49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89.81±14.42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57.67±21.7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70.54±21.02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80.3±19.01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12.87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72"/>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65.34±17.7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82.39±15.63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88.56±13.27</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KOOS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2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58.13±18.38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77.78±19.01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86.98±14.90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19.65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2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Symptoms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62.28±19.31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74.64±17.63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85.44±12.47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2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Sports/Rec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43.40±25.93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58.21±26.30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66.88±25.52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14.81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23.48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2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QOL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40.99±17.31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56.41±20.24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65.15±21.61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15.42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3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Lee et al, 2017</w:t>
            </w:r>
            <w:r w:rsidRPr="00C7159B">
              <w:rPr>
                <w:rFonts w:ascii="Times New Roman" w:hAnsi="Times New Roman" w:cs="Times New Roman"/>
                <w:sz w:val="14"/>
                <w:szCs w:val="16"/>
              </w:rPr>
              <w:br/>
              <w:t xml:space="preserve">South Korea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{"citationID":"9OTBg8wk","properties":{"formattedCitation":"[43]","plainCitation":"[43]","noteIndex":0},"citationItems":[{"id":550,"uris":["http://zotero.org/users/local/jmBtsOsM/items/IUB66MIL"],"itemData":{"id":550,"type":"article-journal","abstract":"[Purpose] The purpose of this study is to provide fundamental information for efficient management of patients after a total knee replacement (TKR) through the evaluation of changes of range of motion, pain, functional level, and quality of life. [Subjects and Methods] For a total of 63 knee osteoarthritis patients, VAS, KSKS, KSFS, HSS, WOMAC scores and quality of life were evaluated for functional levels at pre-operation, post-operation, six months after operation, and 12 months after operation. [Results] After the TKR operations, participants showed significant improvement in KSKS, KSFS, WOMAC, and SF-36 scores when compared to pre-operation. [Conclusion] After a TKR operation, ROM, and pain management, along with a therapeutic program for improvement of function, should be conducted 6 months after the operation.","container-title":"Journal of Physical Therapy Science","DOI":"10.1589/jpts.29.974","ISSN":"09155287","issue":"6","page":"974–977","title":"The comparison of clinical features and quality of life after total knee replacement","volume":"29","author":[{"family":"Lee","given":"Jiyeon"},{"family":"Kim","given":"Jung Hee"},{"family":"Jung","given":"Eun Jung"},{"family":"Lee","given":"Byoung Hee"}],"issued":{"date-parts":[["2017"]]}}}],"schema":"https://github.com/citation-style-language/schema/raw/master/csl-citation.json"}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[43]</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cohort</w:t>
            </w:r>
            <w:r w:rsidRPr="00C7159B">
              <w:rPr>
                <w:rFonts w:ascii="Times New Roman" w:hAnsi="Times New Roman" w:cs="Times New Roman"/>
                <w:sz w:val="14"/>
                <w:szCs w:val="16"/>
              </w:rPr>
              <w:br/>
              <w:t>At Baseline;</w:t>
            </w:r>
            <w:r w:rsidRPr="00C7159B">
              <w:rPr>
                <w:rFonts w:ascii="Times New Roman" w:hAnsi="Times New Roman" w:cs="Times New Roman"/>
                <w:sz w:val="14"/>
                <w:szCs w:val="16"/>
              </w:rPr>
              <w:br/>
              <w:t>n =63</w:t>
            </w:r>
            <w:r w:rsidRPr="00C7159B">
              <w:rPr>
                <w:rFonts w:ascii="Times New Roman" w:hAnsi="Times New Roman" w:cs="Times New Roman"/>
                <w:sz w:val="14"/>
                <w:szCs w:val="16"/>
              </w:rPr>
              <w:br/>
              <w:t xml:space="preserve">At follow up </w:t>
            </w:r>
            <w:r w:rsidRPr="00C7159B">
              <w:rPr>
                <w:rFonts w:ascii="Times New Roman" w:hAnsi="Times New Roman" w:cs="Times New Roman"/>
                <w:sz w:val="14"/>
                <w:szCs w:val="16"/>
              </w:rPr>
              <w:br/>
              <w:t>6 months;</w:t>
            </w:r>
            <w:r w:rsidRPr="00C7159B">
              <w:rPr>
                <w:rFonts w:ascii="Times New Roman" w:hAnsi="Times New Roman" w:cs="Times New Roman"/>
                <w:sz w:val="14"/>
                <w:szCs w:val="16"/>
              </w:rPr>
              <w:br/>
              <w:t>n =55</w:t>
            </w:r>
            <w:r w:rsidRPr="00C7159B">
              <w:rPr>
                <w:rFonts w:ascii="Times New Roman" w:hAnsi="Times New Roman" w:cs="Times New Roman"/>
                <w:sz w:val="14"/>
                <w:szCs w:val="16"/>
              </w:rPr>
              <w:br/>
              <w:t xml:space="preserve">12 </w:t>
            </w:r>
            <w:r w:rsidRPr="00C7159B">
              <w:rPr>
                <w:rFonts w:ascii="Times New Roman" w:hAnsi="Times New Roman" w:cs="Times New Roman"/>
                <w:sz w:val="14"/>
                <w:szCs w:val="16"/>
              </w:rPr>
              <w:lastRenderedPageBreak/>
              <w:t>months;</w:t>
            </w:r>
            <w:r w:rsidRPr="00C7159B">
              <w:rPr>
                <w:rFonts w:ascii="Times New Roman" w:hAnsi="Times New Roman" w:cs="Times New Roman"/>
                <w:sz w:val="14"/>
                <w:szCs w:val="16"/>
              </w:rPr>
              <w:br/>
              <w:t>n =33</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Age: 71±7.3 years</w:t>
            </w:r>
            <w:r w:rsidRPr="00C7159B">
              <w:rPr>
                <w:rFonts w:ascii="Times New Roman" w:hAnsi="Times New Roman" w:cs="Times New Roman"/>
                <w:sz w:val="14"/>
                <w:szCs w:val="16"/>
              </w:rPr>
              <w:br/>
              <w:t>BMI: 27.2±3.3 Kg/m2</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Total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71.2±5.7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83±7.7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84.1±11.2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38.7±4.9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80.8±11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82.6±8.8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33.1±14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55.2±11.9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59.1±3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30.1±2.3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40.4±4.0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41.7±3.4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38.8±1.0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45.6±2.8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46.3±3.0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Lizaur-Utrilla et al, 2017</w:t>
            </w:r>
            <w:r w:rsidRPr="00C7159B">
              <w:rPr>
                <w:rFonts w:ascii="Times New Roman" w:hAnsi="Times New Roman" w:cs="Times New Roman"/>
                <w:sz w:val="14"/>
                <w:szCs w:val="16"/>
              </w:rPr>
              <w:br/>
              <w:t xml:space="preserve">Spain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{"citationID":"StwxEZx5","properties":{"formattedCitation":"[44]","plainCitation":"[44]","noteIndex":0},"citationItems":[{"id":554,"uris":["http://zotero.org/users/local/jmBtsOsM/items/3D8F2UAD"],"itemData":{"id":554,"type":"article-journal","abstract":"Background Clinical outcomes of total knee arthroplasty (TKA) in very older patients have been widely studied, but the available evidence on quality of life (QOL) is limited. The objective was to evaluate the impact of TKA on the QOL in octogenarian patients and assess whether the risk-benefit justified surgery. Methods Prospective study comparing 143 octogenarian and 149 septuagenarian patients. QOL was assessed with the Short Form-12 (SF-12) and the Western Ontario and McMaster Universities Arthritis Index (WOMAC) questionnaires and functional outcomes with the Knee Society score (KSS). Comorbidity, complications, pain, and satisfaction were also assessed. Results Mean postoperative follow-up was 3.2 years (range, 2-5 years). Comorbidities, medical complications, transfusion rate, and length stay were not different between groups (P &lt;.05). Comorbidities and complications had no influence on the outcomes. There were no significant differences in preoperative knee KSS, WOMAC, or SF-12 mental scores, but octogenarians had significantly lower functional KSS (P =.003) and SF-12 physical scores (P =.005). At the last follow-up, there were no significant differences in KSS, WOMAC, and SF-12 physical scores (P &lt;.05), but octogenarians had higher SF-12 mental (P =.030) and satisfaction (P =.031) scores. Conclusion TKA provided pain relief, satisfaction, and improvement in QOL for octogenarian patients to the level of the septuagenarian patients. TKA was a suitable option for octogenarian patients with appropriate surgical indications and manageable risk.","container-title":"Journal of Arthroplasty","DOI":"10.1016/j.arth.2017.03.006","ISSN":"15328406","issue":"8","note":"PMID: 28390882","page":"2417–2420","title":"Risk-Benefit on Quality of Life After Total Knee Arthroplasty in Octogenarians","volume":"32","author":[{"family":"Lizaur-Utrilla","given":"Alejandro"},{"family":"Martinez-Mendez","given":"Daniel"},{"family":"Miralles-Muñoz","given":"Francisco A."},{"family":"Marco-Gomez","given":"Luis"},{"family":"Lopez-Prats","given":"Fernando A."}],"issued":{"date-parts":[["2017"]]}}}],"schema":"https://github.com/citation-style-language/schema/raw/master/csl-citation.json"}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[44]</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comparative study</w:t>
            </w:r>
            <w:r w:rsidRPr="00C7159B">
              <w:rPr>
                <w:rFonts w:ascii="Times New Roman" w:hAnsi="Times New Roman" w:cs="Times New Roman"/>
                <w:sz w:val="14"/>
                <w:szCs w:val="16"/>
              </w:rPr>
              <w:br/>
              <w:t>n = 292</w:t>
            </w:r>
            <w:r w:rsidRPr="00C7159B">
              <w:rPr>
                <w:rFonts w:ascii="Times New Roman" w:hAnsi="Times New Roman" w:cs="Times New Roman"/>
                <w:sz w:val="14"/>
                <w:szCs w:val="16"/>
              </w:rPr>
              <w:br/>
              <w:t>Male=80</w:t>
            </w:r>
            <w:r w:rsidRPr="00C7159B">
              <w:rPr>
                <w:rFonts w:ascii="Times New Roman" w:hAnsi="Times New Roman" w:cs="Times New Roman"/>
                <w:sz w:val="14"/>
                <w:szCs w:val="16"/>
              </w:rPr>
              <w:br/>
              <w:t>Female=212</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Octa:83.1(2.4) years</w:t>
            </w:r>
            <w:r w:rsidRPr="00C7159B">
              <w:rPr>
                <w:rFonts w:ascii="Times New Roman" w:hAnsi="Times New Roman" w:cs="Times New Roman"/>
                <w:sz w:val="14"/>
                <w:szCs w:val="16"/>
              </w:rPr>
              <w:br/>
              <w:t>Septa: 75.2 (1.2) years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Octagenerian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39.9±6.8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86.5±6.7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Septagenerian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39.1±7.2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88.2±8.6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Octagenerian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49.1±9.5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82.4±6.9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33.3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Septagenerian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47.5±10.1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83.2±8.9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Octagenerian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32.5±12.3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83.4±16.5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Septuagenarian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37±13.1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86.7±16.1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Octogenarian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35.9±19.1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87.3±9.9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Septuagenarian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37.8±18.4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88.6±7.2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SF-12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Physical Health</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Octogenarian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19.4±5.6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78.7±9.3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10.6</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Septuagenarian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21.3±5.7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80.8±12.3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59.5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10.4</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Mental Health</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Octogenarian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46.8±11.8</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83.8±9.3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Septuagenarian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45.4±12.7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81.1±11.7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Niemelainen et al, 2019</w:t>
            </w:r>
            <w:r w:rsidRPr="00C7159B">
              <w:rPr>
                <w:rFonts w:ascii="Times New Roman" w:hAnsi="Times New Roman" w:cs="Times New Roman"/>
                <w:sz w:val="14"/>
                <w:szCs w:val="16"/>
              </w:rPr>
              <w:br/>
              <w:t xml:space="preserve">England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{"citationID":"jpRAFvck","properties":{"formattedCitation":"[45]","plainCitation":"[45]","noteIndex":0},"citationItems":[{"id":541,"uris":["http://zotero.org/users/local/jmBtsOsM/items/ZMTQYUJ7"],"itemData":{"id":541,"type":"article-journal","abstract":"Background and Aims: Previous studies have reported lower implant survival rates, residual pain, and higher patient dissatisfaction rates following knee arthroplasty in younger knee arthroplasty patients. We aimed to assess the real-world effectiveness of knee arthroplasty in a prospective non-selected cohort of patients aged 65 years or less with 2-year follow-up. Material and Methods: In total, 250 patients (272 knees) aged 65 years or less were enrolled into this prospective cohort study. Patient-reported outcome measures were used to assess the outcome. Results: The mean Oxford Knee Score and all Knee Injury and Osteoarthritis Outcome Score subscales increased significantly (p &lt; 0.001) from preoperative situation to the 2-year follow-up. Significant increase (p &lt; 0.001) in physical activity was detected in High-Activity Arthroplasty Score and RAND-36 Physical Component Score (PCS). Pain was also significantly (p &lt; 0.001) relieved during the follow-up. Total disappearance of pain was rare at 2 years. Patients with milder (Kellgren–Lawrence grade 2) osteoarthritis were less satisfied and reported poorer patient-reported outcome measure than those with advanced osteoarthritis (Kellgren–Lawrence grade 3–4). There was no difference in the outcome (any patient-reported outcome measure) between patients who underwent total knee arthroplasty and those who received unicondylar knee arthroplasty. Conclusion: We found that measured with a wide set of patient-reported outcome measures, both total knee arthroplasty and unicondylar knee arthroplasty resulted in significant pain relief, as well as improvement in physical performance and quality of life in patients aged 65 years or less. Real-world effectiveness of these procedures seems to be excellent. 15% of patients still had residual symptoms and were dissatisfied with the outcome at 2 years after the operation.","container-title":"Scandinavian Journal of Surgery","DOI":"10.1177/1457496918816918","ISSN":"14574969","issue":"4","note":"PMID: 30522409","page":"313–320","title":"Outcome of knee arthroplasty in patients aged 65 years or less: a prospective study of 232 patients with 2-year follow-up","volume":"108","author":[{"family":"Niemeläinen","given":"M."},{"family":"Moilanen","given":"T."},{"family":"Huhtala","given":"H."},{"family":"Eskelinen","given":"A."}],"issued":{"date-parts":[["2019"]]}}}],"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[45]</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Prospective Cohort</w:t>
            </w:r>
            <w:r w:rsidRPr="00C7159B">
              <w:rPr>
                <w:rFonts w:ascii="Times New Roman" w:hAnsi="Times New Roman" w:cs="Times New Roman"/>
                <w:sz w:val="14"/>
                <w:szCs w:val="16"/>
              </w:rPr>
              <w:br/>
              <w:t>n = 227</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OA knee </w:t>
            </w:r>
            <w:r w:rsidRPr="00C7159B">
              <w:rPr>
                <w:rFonts w:ascii="Times New Roman" w:hAnsi="Times New Roman" w:cs="Times New Roman"/>
                <w:sz w:val="14"/>
                <w:szCs w:val="16"/>
              </w:rPr>
              <w:br/>
              <w:t>Age: 58±5.1 years</w:t>
            </w:r>
            <w:r w:rsidRPr="00C7159B">
              <w:rPr>
                <w:rFonts w:ascii="Times New Roman" w:hAnsi="Times New Roman" w:cs="Times New Roman"/>
                <w:sz w:val="14"/>
                <w:szCs w:val="16"/>
              </w:rPr>
              <w:br/>
              <w:t xml:space="preserve">BMI: </w:t>
            </w:r>
            <w:r w:rsidRPr="00C7159B">
              <w:rPr>
                <w:rFonts w:ascii="Times New Roman" w:hAnsi="Times New Roman" w:cs="Times New Roman"/>
                <w:sz w:val="14"/>
                <w:szCs w:val="16"/>
              </w:rPr>
              <w:lastRenderedPageBreak/>
              <w:t>31±5.3 kg/m2</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22±7.7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41±7.7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KOOS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45±15.3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86±15.3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Symptoms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43±19.2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79±19.2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ADL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50±15.3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88±15.3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Sports/Rec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14±19.2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55±30.7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QOL</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21±15.3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70±23.1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Skou et al, 2018</w:t>
            </w:r>
            <w:r w:rsidRPr="00C7159B">
              <w:rPr>
                <w:rFonts w:ascii="Times New Roman" w:hAnsi="Times New Roman" w:cs="Times New Roman"/>
                <w:sz w:val="14"/>
                <w:szCs w:val="16"/>
              </w:rPr>
              <w:br/>
              <w:t xml:space="preserve">Denmark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{"citationID":"KmBJCf2f","properties":{"formattedCitation":"[54]","plainCitation":"[54]","noteIndex":0},"citationItems":[{"id":578,"uris":["http://zotero.org/users/local/jmBtsOsM/items/WEZ5YTSZ"],"itemData":{"id":578,"type":"article-journal","abstract":"Objectives: To compare 2-year outcomes of total knee replacement (TKR) followed by non-surgical treatment to that of non-surgical treatment alone and outcomes of the same non-surgical treatment to that of written advice. Design: In two randomized trials, 200 (mean age 66) adults with moderate to severe knee osteoarthritis (OA), 100 eligible for TKR and 100 not eligible for TKR, were randomized to TKR followed by non-surgical treatment, non-surgical treatment alone, or written advice. Non-surgical treatment consisted of 12 weeks of supervised exercise, education, dietary advice, use of insoles, and pain medication. The primary outcome was the mean score of the Knee Injury and Osteoarthritis Outcome Score (KOOS) subscales, covering pain, symptoms, activities of daily living (ADL), and quality of life (QOL). Results: Patients randomized to TKR had greater improvements than patients randomized to non-surgical treatment alone (difference of 18.3 points (95% CI; 11.3 to 25.3)), who in turn improved more than patients randomized to written advice (difference of 7.0 points (95% CI; 0.4 to 13.5)). Among patients eligible for TKR, 16 (32%) from the non-surgical group underwent TKR during 2 years and among those initially ineligible, seven patients (14%) from the non-surgical group and ten (20%) from the written advice group underwent TKR. Conclusions: TKR followed by non-surgical treatment is more effective on pain and function than non-surgical treatment alone, which in turn is more effective than written advice. Two out of three patients with moderate to severe knee OA eligible for TKR delayed surgery for at least 2 years following non-surgical treatment. Trial registration: ClinicalTrials.gov numbers NCT01410409 and NCT01535001.","container-title":"Osteoarthritis and Cartilage","DOI":"10.1016/j.joca.2018.04.014","ISSN":"15229653","issue":"9","note":"publisher: Elsevier Ltd\nPMID: 29723634","page":"1170–1180","title":"Total knee replacement and non-surgical treatment of knee osteoarthritis: 2-year outcome from two parallel randomized controlled trials","volume":"26","author":[{"family":"Skou","given":"S. T."},{"family":"Roos","given":"E. M."},{"family":"Laursen","given":"M. B."},{"family":"Rathleff","given":"M. S."},{"family":"Arendt-Nielsen","given":"L."},{"family":"Rasmussen","given":"S."},{"family":"Simonsen","given":"O."}],"issued":{"date-parts":[["2018"]]}}}],"schema":"https://github.com/citation-style-language/schema/raw/master/csl-citation.json"}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[54]</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Two Randomised Controlled Trial</w:t>
            </w:r>
            <w:r w:rsidRPr="00C7159B">
              <w:rPr>
                <w:rFonts w:ascii="Times New Roman" w:hAnsi="Times New Roman" w:cs="Times New Roman"/>
                <w:sz w:val="14"/>
                <w:szCs w:val="16"/>
              </w:rPr>
              <w:br/>
              <w:t>n=41</w:t>
            </w:r>
            <w:r w:rsidRPr="00C7159B">
              <w:rPr>
                <w:rFonts w:ascii="Times New Roman" w:hAnsi="Times New Roman" w:cs="Times New Roman"/>
                <w:sz w:val="14"/>
                <w:szCs w:val="16"/>
              </w:rPr>
              <w:br/>
              <w:t>Male=9</w:t>
            </w:r>
            <w:r w:rsidRPr="00C7159B">
              <w:rPr>
                <w:rFonts w:ascii="Times New Roman" w:hAnsi="Times New Roman" w:cs="Times New Roman"/>
                <w:sz w:val="14"/>
                <w:szCs w:val="16"/>
              </w:rPr>
              <w:br/>
              <w:t>Female =32</w:t>
            </w:r>
          </w:p>
        </w:tc>
        <w:tc>
          <w:tcPr>
            <w:tcW w:w="0" w:type="auto"/>
            <w:vMerge w:val="restart"/>
            <w:hideMark/>
          </w:tcPr>
          <w:p w:rsidR="004714E7" w:rsidRPr="00C7159B" w:rsidRDefault="004714E7" w:rsidP="003A4C5D">
            <w:pP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65.8±8.7 years</w:t>
            </w:r>
            <w:r w:rsidRPr="00C7159B">
              <w:rPr>
                <w:rFonts w:ascii="Times New Roman" w:hAnsi="Times New Roman" w:cs="Times New Roman"/>
                <w:sz w:val="14"/>
                <w:szCs w:val="16"/>
              </w:rPr>
              <w:br/>
              <w:t>BMI: 32.3±6.2kg/m2</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KOOS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rPr>
                <w:rFonts w:ascii="Times New Roman" w:hAnsi="Times New Roman" w:cs="Times New Roman"/>
                <w:b/>
                <w:bCs/>
                <w:sz w:val="14"/>
                <w:szCs w:val="16"/>
                <w:vertAlign w:val="superscript"/>
              </w:rPr>
            </w:pPr>
            <w:r w:rsidRPr="00C7159B">
              <w:rPr>
                <w:rFonts w:ascii="Times New Roman" w:hAnsi="Times New Roman" w:cs="Times New Roman"/>
                <w:b/>
                <w:bCs/>
                <w:sz w:val="14"/>
                <w:szCs w:val="16"/>
              </w:rPr>
              <w:t>2 year</w:t>
            </w:r>
            <w:r w:rsidRPr="00C7159B">
              <w:rPr>
                <w:rFonts w:ascii="Times New Roman" w:hAnsi="Times New Roman" w:cs="Times New Roman"/>
                <w:b/>
                <w:bCs/>
                <w:sz w:val="14"/>
                <w:szCs w:val="16"/>
                <w:vertAlign w:val="superscript"/>
              </w:rPr>
              <w:t>a</w:t>
            </w:r>
          </w:p>
          <w:p w:rsidR="004714E7" w:rsidRPr="00C7159B" w:rsidRDefault="004714E7" w:rsidP="003A4C5D">
            <w:pPr>
              <w:jc w:val="center"/>
              <w:rPr>
                <w:rFonts w:ascii="Times New Roman" w:hAnsi="Times New Roman" w:cs="Times New Roman"/>
                <w:b/>
                <w:bCs/>
                <w:sz w:val="14"/>
                <w:szCs w:val="16"/>
                <w:vertAlign w:val="superscript"/>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b/>
                <w:bCs/>
                <w:sz w:val="14"/>
                <w:szCs w:val="16"/>
              </w:rPr>
              <w:t>2 year</w:t>
            </w:r>
            <w:r w:rsidRPr="00C7159B">
              <w:rPr>
                <w:rFonts w:ascii="Times New Roman" w:hAnsi="Times New Roman" w:cs="Times New Roman"/>
                <w:b/>
                <w:bCs/>
                <w:sz w:val="14"/>
                <w:szCs w:val="16"/>
                <w:vertAlign w:val="superscript"/>
              </w:rPr>
              <w:t>a</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b/>
                <w:bCs/>
                <w:sz w:val="14"/>
                <w:szCs w:val="16"/>
              </w:rPr>
              <w:t>2 year</w:t>
            </w:r>
            <w:r w:rsidRPr="00C7159B">
              <w:rPr>
                <w:rFonts w:ascii="Times New Roman" w:hAnsi="Times New Roman" w:cs="Times New Roman"/>
                <w:b/>
                <w:bCs/>
                <w:sz w:val="14"/>
                <w:szCs w:val="16"/>
                <w:vertAlign w:val="superscript"/>
              </w:rPr>
              <w:t>a</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48.6±17.5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36.2±26.8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gridSpan w:val="6"/>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Unable to calculate</w:t>
            </w:r>
          </w:p>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t> Unable to calculate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Symptoms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54.0±15.0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29.0±20.6</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ADL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55±17.0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30.4±24.5</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Sports/Rec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18.0±14.7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39.2±26.3</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QOL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32.3±15.3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42.3±29.9</w:t>
            </w: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KOOS4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47.4±3.4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34.6±22.4</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Beard et al, 2019</w:t>
            </w:r>
            <w:r w:rsidRPr="00C7159B">
              <w:rPr>
                <w:rFonts w:ascii="Times New Roman" w:hAnsi="Times New Roman" w:cs="Times New Roman"/>
                <w:sz w:val="14"/>
                <w:szCs w:val="16"/>
              </w:rPr>
              <w:br/>
              <w:t xml:space="preserve">UK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{"citationID":"GeNyL28Z","properties":{"formattedCitation":"[13]","plainCitation":"[13]","noteIndex":0},"citationItems":[{"id":344,"uris":["http://zotero.org/users/local/jmBtsOsM/items/2PCCFXVD"],"itemData":{"id":344,"type":"article-journal","abstract":"BACKGROUND: Late-stage isolated medial knee osteoarthritis can be treated with total knee replacement (TKR) or partial knee replacement (PKR). There is high variation in treatment choice and little robust evidence to guide selection. The Total or Partial Knee Arthroplasty Trial (TOPKAT) therefore aims to assess the clinical effectiveness and cost-effectiveness of TKR versus PKR in patients with medial compartment osteoarthritis of the knee, and this represents an analysis of the main endpoints at 5 years.\nMETHODS: Our multicentre, pragmatic randomised controlled trial was done at 27 UK sites. We used a combined expertise-based and equipoise-based approach, in which patients with isolated osteoarthritis of the medial compartment of the knee and who satisfied general requirements for a medial PKR were randomly assigned (1:1) to receive PKR or TKR by surgeons who were either expert in and willing to perform both surgeries or by a surgeon with particular expertise in the allocated procedure. The primary endpoint was the Oxford Knee Score (OKS) 5 years after randomisation in all patients assigned to groups. Health-care costs (in UK 2017 prices) and cost-effectiveness were also assessed. This trial is registered with ISRCTN (ISRCTN03013488) and ClinicalTrials.gov (NCT01352247).\nFINDINGS: Between Jan 18, 2010, and Sept 30, 2013, we assessed 962 patients for their eligibility, of whom 431 (45%) patients were excluded (121 [13%] patients did not meet the inclusion criteria and 310 [32%] patients declined to participate) and 528 (55%) patients were randomly assigned to groups. 94% of participants responded to the follow-up survey 5 years after their operation. At the 5-year follow-up, we found no difference in OKS between groups (mean difference 1·04, 95% CI -0·42 to 2·50; p=0·159). In our within-trial cost-effectiveness analysis, we found that PKR was more effective (0·240 additional quality-adjusted life-years, 95% CI 0·046 to 0·434) and less expensive (-£910, 95% CI -1503 to -317) than TKR during the 5 years of follow-up. This finding was a result of slightly better outcomes, lower costs of surgery, and lower follow-up health-care costs with PKR than TKR.\nINTERPRETATION: Both TKR and PKR are effective, offer similar clinical outcomes, and result in a similar incidence of re-operations and complications. Based on our clinical findings, and results regarding the lower costs and better cost-effectiveness with PKR during the 5-year study period, we suggest that PKR should be considered the first choice for patients with late-stage isolated medial compartment osteoarthritis.\nFUNDING: National Institute for Health Research Health Technology Assessment Programme.","container-title":"Lancet (London, England)","DOI":"10.1016/S0140-6736(19)31281-4","ISSN":"1474-547X","issue":"10200","journalAbbreviation":"Lancet","language":"eng","note":"PMID: 31326135\nPMCID: PMC6727069","page":"746-756","source":"PubMed","title":"The clinical and cost-effectiveness of total versus partial knee replacement in patients with medial compartment osteoarthritis (TOPKAT): 5-year outcomes of a randomised controlled trial","title-short":"The clinical and cost-effectiveness of total versus partial knee replacement in patients with medial compartment osteoarthritis (TOPKAT)","volume":"394","author":[{"family":"Beard","given":"David J."},{"family":"Davies","given":"Loretta J."},{"family":"Cook","given":"Jonathan A."},{"family":"MacLennan","given":"Graeme"},{"family":"Price","given":"Andrew"},{"family":"Kent","given":"Seamus"},{"family":"Hudson","given":"Jemma"},{"family":"Carr","given":"Andrew"},{"family":"Leal","given":"Jose"},{"family":"Campbell","given":"Helen"},{"family":"Fitzpatrick","given":"Ray"},{"family":"Arden","given":"Nigel"},{"family":"Murray","given":"David"},{"family":"Campbell","given":"Marion K."},{"literal":"TOPKAT Study Group"}],"issued":{"date-parts":[["2019",8,31]]}}}],"schema":"https://github.com/citation-style-language/schema/raw/master/csl-citation.json"}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[13]</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RCT</w:t>
            </w:r>
            <w:r w:rsidRPr="00C7159B">
              <w:rPr>
                <w:rFonts w:ascii="Times New Roman" w:hAnsi="Times New Roman" w:cs="Times New Roman"/>
                <w:sz w:val="14"/>
                <w:szCs w:val="16"/>
              </w:rPr>
              <w:br/>
              <w:t>OKS</w:t>
            </w:r>
            <w:r w:rsidRPr="00C7159B">
              <w:rPr>
                <w:rFonts w:ascii="Times New Roman" w:hAnsi="Times New Roman" w:cs="Times New Roman"/>
                <w:sz w:val="14"/>
                <w:szCs w:val="16"/>
              </w:rPr>
              <w:br/>
              <w:t>At Baseline;</w:t>
            </w:r>
            <w:r w:rsidRPr="00C7159B">
              <w:rPr>
                <w:rFonts w:ascii="Times New Roman" w:hAnsi="Times New Roman" w:cs="Times New Roman"/>
                <w:sz w:val="14"/>
                <w:szCs w:val="16"/>
              </w:rPr>
              <w:br/>
              <w:t>n=264</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5 years;</w:t>
            </w:r>
            <w:r w:rsidRPr="00C7159B">
              <w:rPr>
                <w:rFonts w:ascii="Times New Roman" w:hAnsi="Times New Roman" w:cs="Times New Roman"/>
                <w:sz w:val="14"/>
                <w:szCs w:val="16"/>
              </w:rPr>
              <w:br/>
            </w:r>
            <w:r w:rsidRPr="00C7159B">
              <w:rPr>
                <w:rFonts w:ascii="Times New Roman" w:hAnsi="Times New Roman" w:cs="Times New Roman"/>
                <w:sz w:val="14"/>
                <w:szCs w:val="16"/>
              </w:rPr>
              <w:lastRenderedPageBreak/>
              <w:t>n =231</w:t>
            </w:r>
            <w:r w:rsidRPr="00C7159B">
              <w:rPr>
                <w:rFonts w:ascii="Times New Roman" w:hAnsi="Times New Roman" w:cs="Times New Roman"/>
                <w:sz w:val="14"/>
                <w:szCs w:val="16"/>
              </w:rPr>
              <w:br/>
              <w:t>KSS</w:t>
            </w:r>
            <w:r w:rsidRPr="00C7159B">
              <w:rPr>
                <w:rFonts w:ascii="Times New Roman" w:hAnsi="Times New Roman" w:cs="Times New Roman"/>
                <w:sz w:val="14"/>
                <w:szCs w:val="16"/>
              </w:rPr>
              <w:br/>
              <w:t>At Baseline;</w:t>
            </w:r>
            <w:r w:rsidRPr="00C7159B">
              <w:rPr>
                <w:rFonts w:ascii="Times New Roman" w:hAnsi="Times New Roman" w:cs="Times New Roman"/>
                <w:sz w:val="14"/>
                <w:szCs w:val="16"/>
              </w:rPr>
              <w:br/>
              <w:t>n =259 each for anatomic and function</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5 years;</w:t>
            </w:r>
            <w:r w:rsidRPr="00C7159B">
              <w:rPr>
                <w:rFonts w:ascii="Times New Roman" w:hAnsi="Times New Roman" w:cs="Times New Roman"/>
                <w:sz w:val="14"/>
                <w:szCs w:val="16"/>
              </w:rPr>
              <w:br/>
              <w:t>Function: n =192</w:t>
            </w:r>
            <w:r w:rsidRPr="00C7159B">
              <w:rPr>
                <w:rFonts w:ascii="Times New Roman" w:hAnsi="Times New Roman" w:cs="Times New Roman"/>
                <w:sz w:val="14"/>
                <w:szCs w:val="16"/>
              </w:rPr>
              <w:br/>
              <w:t>Anatomic n=185</w:t>
            </w:r>
          </w:p>
        </w:tc>
        <w:tc>
          <w:tcPr>
            <w:tcW w:w="0" w:type="auto"/>
            <w:vMerge w:val="restart"/>
            <w:hideMark/>
          </w:tcPr>
          <w:p w:rsidR="004714E7" w:rsidRPr="00C7159B" w:rsidRDefault="004714E7" w:rsidP="003A4C5D">
            <w:pP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Age: 64.7 (8.5) years</w:t>
            </w:r>
            <w:r w:rsidRPr="00C7159B">
              <w:rPr>
                <w:rFonts w:ascii="Times New Roman" w:hAnsi="Times New Roman" w:cs="Times New Roman"/>
                <w:sz w:val="14"/>
                <w:szCs w:val="16"/>
              </w:rPr>
              <w:br/>
              <w:t>BMI: 31.1 (4.8) kg/m2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p>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p>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p>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42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19.0±7.2</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37.0±10.6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197"/>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8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58.7±15.5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81.7±19.0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54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42.3±16.0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86.6 ±16.4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Neuprez et al, 2019</w:t>
            </w:r>
            <w:r w:rsidRPr="00C7159B">
              <w:rPr>
                <w:rFonts w:ascii="Times New Roman" w:hAnsi="Times New Roman" w:cs="Times New Roman"/>
                <w:sz w:val="14"/>
                <w:szCs w:val="16"/>
              </w:rPr>
              <w:br/>
              <w:t xml:space="preserve">Belgium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{"citationID":"iWW0XH2z","properties":{"formattedCitation":"[46]","plainCitation":"[46]","noteIndex":0},"citationItems":[{"id":556,"uris":["http://zotero.org/users/local/jmBtsOsM/items/NZFBNI3A"],"itemData":{"id":556,"type":"article-journal","abstract":"Objectives: To study and identify the determinants of the impact on pain, function, and quality of life of a prosthetic replacement surgery after 5 years of survival in patients with osteoarthritis (OA) of the lower limb. Method: In total, 626 osteoarthritic patients from a University Hospital, divided in 2 groups (according to surgical site), were prospectively followed for 5 years after hip (n = 346) or knee (n = 280) replacement. Validated specific Western Ontario and McMaster Universities Arthritis Index (WOMAC) and generic (SF-36 and EQ) instruments assessing quality of life were used prior to surgery and yearly, thereafter. We defined a good outcome as a clinically relevant improvement in WOMAC greater than or equal to the minimally important difference (MID). Regressions showed the relationships among preoperative, perioperative, and postoperative measures and the evolution of WOMAC scores after 5 years (percent change). We also examined any predictors of good outcomes. Results: The beneficial effect on quality of life observed during the first year after hip and knee arthroplasty (HA and KA) was maintained for up to 5 years. More than 3/4 of the patients in our study experienced a good outcome (86.04% in HA group and 79.91% in KA group). Both the good outcome and the 5-year change in WOMAC are predicted by preoperative (i.e., radiological severity, comorbidities, disability, and level of education), perioperative (i.e., length of hospital stay and place of discharge), and postoperative (i.e., complications) variables in the two groups. Conclusions: Joint arthroplasty is a highly valuable therapeutic strategy for hip or knee OA patients who do not respond to pharmacological management. These results represent a step towards the collection of robust, scientifically sound data that will facilitate the completion of health economic analyses in the field of OA.Key Points:• This study reports the long term outcomes of hip and knee replacement surgery in late-stage OA.• We identified pre-, per-, and post-operative determinants which contribute to a greater improvement in pain and function, hence increasing patients' satisfaction.• These results could contribute to select an OA population which has a high probability to get an optimal benefit from total joint replacement.","container-title":"Clinical Rheumatology","DOI":"10.1007/s10067-019-04811-y","ISSN":"14349949","issue":"3","note":"publisher: Clinical Rheumatology\nPMID: 31720892","page":"861–871","title":"Total joint replacement improves pain, functional quality of life, and health utilities in patients with late-stage knee and hip osteoarthritis for up to 5 years","volume":"39","author":[{"family":"Neuprez","given":"Audrey"},{"family":"Neuprez","given":"Arnaud Henri"},{"family":"Kaux","given":"Jean François"},{"family":"Kurth","given":"William"},{"family":"Daniel","given":"Christophe"},{"family":"Thirion","given":"Thierry"},{"family":"Huskin","given":"Jean Pierre"},{"family":"Gillet","given":"Philippe"},{"family":"Bruyère","given":"Olivier"},{"family":"Reginster","given":"Jean Yves"}],"issued":{"date-parts":[["2020"]]}}}],"schema":"https://github.com/citation-style-language/schema/raw/master/csl-citation.json"}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[46]</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Cohort</w:t>
            </w:r>
            <w:r w:rsidRPr="00C7159B">
              <w:rPr>
                <w:rFonts w:ascii="Times New Roman" w:hAnsi="Times New Roman" w:cs="Times New Roman"/>
                <w:sz w:val="14"/>
                <w:szCs w:val="16"/>
              </w:rPr>
              <w:br/>
              <w:t xml:space="preserve"> At Baseline;</w:t>
            </w:r>
            <w:r w:rsidRPr="00C7159B">
              <w:rPr>
                <w:rFonts w:ascii="Times New Roman" w:hAnsi="Times New Roman" w:cs="Times New Roman"/>
                <w:sz w:val="14"/>
                <w:szCs w:val="16"/>
              </w:rPr>
              <w:br/>
              <w:t>n =280</w:t>
            </w:r>
            <w:r w:rsidRPr="00C7159B">
              <w:rPr>
                <w:rFonts w:ascii="Times New Roman" w:hAnsi="Times New Roman" w:cs="Times New Roman"/>
                <w:sz w:val="14"/>
                <w:szCs w:val="16"/>
              </w:rPr>
              <w:br/>
              <w:t>at follow up</w:t>
            </w:r>
            <w:r w:rsidRPr="00C7159B">
              <w:rPr>
                <w:rFonts w:ascii="Times New Roman" w:hAnsi="Times New Roman" w:cs="Times New Roman"/>
                <w:sz w:val="14"/>
                <w:szCs w:val="16"/>
              </w:rPr>
              <w:br/>
              <w:t>12months;</w:t>
            </w:r>
            <w:r w:rsidRPr="00C7159B">
              <w:rPr>
                <w:rFonts w:ascii="Times New Roman" w:hAnsi="Times New Roman" w:cs="Times New Roman"/>
                <w:sz w:val="14"/>
                <w:szCs w:val="16"/>
              </w:rPr>
              <w:br/>
              <w:t>n =245</w:t>
            </w:r>
            <w:r w:rsidRPr="00C7159B">
              <w:rPr>
                <w:rFonts w:ascii="Times New Roman" w:hAnsi="Times New Roman" w:cs="Times New Roman"/>
                <w:sz w:val="14"/>
                <w:szCs w:val="16"/>
              </w:rPr>
              <w:br/>
              <w:t>2 years;</w:t>
            </w:r>
            <w:r w:rsidRPr="00C7159B">
              <w:rPr>
                <w:rFonts w:ascii="Times New Roman" w:hAnsi="Times New Roman" w:cs="Times New Roman"/>
                <w:sz w:val="14"/>
                <w:szCs w:val="16"/>
              </w:rPr>
              <w:br/>
              <w:t>n =237</w:t>
            </w:r>
            <w:r w:rsidRPr="00C7159B">
              <w:rPr>
                <w:rFonts w:ascii="Times New Roman" w:hAnsi="Times New Roman" w:cs="Times New Roman"/>
                <w:sz w:val="14"/>
                <w:szCs w:val="16"/>
              </w:rPr>
              <w:br/>
              <w:t>3 years;</w:t>
            </w:r>
            <w:r w:rsidRPr="00C7159B">
              <w:rPr>
                <w:rFonts w:ascii="Times New Roman" w:hAnsi="Times New Roman" w:cs="Times New Roman"/>
                <w:sz w:val="14"/>
                <w:szCs w:val="16"/>
              </w:rPr>
              <w:br/>
              <w:t>n =226</w:t>
            </w:r>
            <w:r w:rsidRPr="00C7159B">
              <w:rPr>
                <w:rFonts w:ascii="Times New Roman" w:hAnsi="Times New Roman" w:cs="Times New Roman"/>
                <w:sz w:val="14"/>
                <w:szCs w:val="16"/>
              </w:rPr>
              <w:br/>
              <w:t>4 years;</w:t>
            </w:r>
            <w:r w:rsidRPr="00C7159B">
              <w:rPr>
                <w:rFonts w:ascii="Times New Roman" w:hAnsi="Times New Roman" w:cs="Times New Roman"/>
                <w:sz w:val="14"/>
                <w:szCs w:val="16"/>
              </w:rPr>
              <w:br/>
              <w:t>n =219</w:t>
            </w:r>
            <w:r w:rsidRPr="00C7159B">
              <w:rPr>
                <w:rFonts w:ascii="Times New Roman" w:hAnsi="Times New Roman" w:cs="Times New Roman"/>
                <w:sz w:val="14"/>
                <w:szCs w:val="16"/>
              </w:rPr>
              <w:br/>
              <w:t>5 years;</w:t>
            </w:r>
            <w:r w:rsidRPr="00C7159B">
              <w:rPr>
                <w:rFonts w:ascii="Times New Roman" w:hAnsi="Times New Roman" w:cs="Times New Roman"/>
                <w:sz w:val="14"/>
                <w:szCs w:val="16"/>
              </w:rPr>
              <w:br/>
              <w:t>n =214</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66.74 (8.95) years</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4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4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5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648" w:type="dxa"/>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4 year</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Total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22.9</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2538" w:type="dxa"/>
            <w:gridSpan w:val="4"/>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Unable to calculate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Pain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Stiffness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62.5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25.0</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37.5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1763"/>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70.6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73.5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26.5</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32.4</w:t>
            </w: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jc w:val="center"/>
              <w:rPr>
                <w:rFonts w:ascii="Times New Roman" w:hAnsi="Times New Roman" w:cs="Times New Roman"/>
                <w:sz w:val="14"/>
                <w:szCs w:val="16"/>
              </w:rPr>
            </w:pPr>
          </w:p>
          <w:p w:rsidR="004714E7" w:rsidRPr="00C7159B" w:rsidRDefault="004714E7" w:rsidP="003A4C5D">
            <w:pP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4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Joly et al, 2020</w:t>
            </w:r>
            <w:r w:rsidRPr="00C7159B">
              <w:rPr>
                <w:rFonts w:ascii="Times New Roman" w:hAnsi="Times New Roman" w:cs="Times New Roman"/>
                <w:sz w:val="14"/>
                <w:szCs w:val="16"/>
              </w:rPr>
              <w:br/>
              <w:t xml:space="preserve">USA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{"citationID":"NR5aklrc","properties":{"formattedCitation":"[47]","plainCitation":"[47]","noteIndex":0},"citationItems":[{"id":562,"uris":["http://zotero.org/users/local/jmBtsOsM/items/6S8WVH5B"],"itemData":{"id":562,"type":"article-journal","abstract":"Background: Total hip arthroplasty (THA) and total knee arthroplasty (TKA) are used to treat patients with end-stage arthritis. Previous studies have not demonstrated a consistent relationship between age and patient-reported outcomes. The purpose of this study is to assess the impact of age on patient-reported outcomes after unilateral primary THA or TKA. Methods: A retrospective review of available data in Alberta Bone and Joint Health Institute (ABJHI) Data Repository was performed. We identified 53,498 unilateral primary THA and TKA between April 2011 and 2017. Patients were divided by age into 3 categories: &lt;55, 55-70, and &gt;70. Western Ontario and McMaster Universities Osteoarthritis Index (WOMAC) and EuroQoL 5-dimension (EQ-5D) Canada scores were obtained at presurgery, 3 and 12 months postoperatively. Results: For TKA, younger patients had larger improvements in WOMAC scores at 3 and 12 months (P = &lt;.001-.033), and in EQ-5D scores at 3 months (P &lt;.001). When adjusted, patients &lt;55 had lower WOMAC and EQ-5D scores at 3 months postoperatively compared to those 55-70 or &gt;70 (all P &lt;.01). Outcomes at 12 months did not differ between age-groups. For THA, younger patients had larger improvements in WOMAC at 3 months (P =.03). When adjusted, patients &lt;55 had higher WOMAC scores at 12 months postoperatively compared to those 55-70 or &gt;70, and higher EQ-5D scores compared to those 55-70 (all P &lt;.05). Conclusion: While a multitude of factors go in to quantifying successful THA or TKA, this study suggests that patient age should not be a deterrent when considering the impact of age on patient-reported outcomes.","container-title":"Journal of Arthroplasty","DOI":"10.1016/j.arth.2020.02.053","ISSN":"15328406","issue":"7","note":"publisher: Elsevier Ltd\nPMID: 32241648","page":"1800–1805","title":"Does Age Influence Patient-Reported Outcomes in Unilateral Primary Total Hip and Knee Arthroplasty?","volume":"35","author":[{"family":"Joly","given":"Denis A."},{"family":"Ludwig","given":"Taryn"},{"family":"Mahdavi","given":"Saboura"},{"family":"Khong","given":"Hoa"},{"family":"Piroozfar","given":"Sophie Gh"},{"family":"Sharma","given":"Rajrishi"}],"issued":{"date-parts":[["2020"]]}}}],"schema":"https://github.com/citation-style-language/schema/raw/master/csl-citation.json"}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[47]</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xml:space="preserve">Cohort, </w:t>
            </w:r>
            <w:r w:rsidRPr="00C7159B">
              <w:rPr>
                <w:rFonts w:ascii="Times New Roman" w:hAnsi="Times New Roman" w:cs="Times New Roman"/>
                <w:sz w:val="14"/>
                <w:szCs w:val="16"/>
              </w:rPr>
              <w:br/>
              <w:t>&lt;55 n=2983</w:t>
            </w:r>
            <w:r w:rsidRPr="00C7159B">
              <w:rPr>
                <w:rFonts w:ascii="Times New Roman" w:hAnsi="Times New Roman" w:cs="Times New Roman"/>
                <w:sz w:val="14"/>
                <w:szCs w:val="16"/>
              </w:rPr>
              <w:br/>
              <w:t>55-70, n =18566</w:t>
            </w:r>
            <w:r w:rsidRPr="00C7159B">
              <w:rPr>
                <w:rFonts w:ascii="Times New Roman" w:hAnsi="Times New Roman" w:cs="Times New Roman"/>
                <w:sz w:val="14"/>
                <w:szCs w:val="16"/>
              </w:rPr>
              <w:br/>
              <w:t>&gt;70 n =11328</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&lt;55 =51±4 years</w:t>
            </w:r>
            <w:r w:rsidRPr="00C7159B">
              <w:rPr>
                <w:rFonts w:ascii="Times New Roman" w:hAnsi="Times New Roman" w:cs="Times New Roman"/>
                <w:sz w:val="14"/>
                <w:szCs w:val="16"/>
              </w:rPr>
              <w:br/>
              <w:t>55-70 = 63±4 years</w:t>
            </w:r>
            <w:r w:rsidRPr="00C7159B">
              <w:rPr>
                <w:rFonts w:ascii="Times New Roman" w:hAnsi="Times New Roman" w:cs="Times New Roman"/>
                <w:sz w:val="14"/>
                <w:szCs w:val="16"/>
              </w:rPr>
              <w:br/>
              <w:t>&gt;70 = 77±5</w:t>
            </w:r>
            <w:r w:rsidRPr="00C7159B">
              <w:rPr>
                <w:rFonts w:ascii="Times New Roman" w:hAnsi="Times New Roman" w:cs="Times New Roman"/>
                <w:sz w:val="14"/>
                <w:szCs w:val="16"/>
              </w:rPr>
              <w:br/>
              <w:t>years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WOMAC</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month</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12 month</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Total</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&lt;55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41.1±18.5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72.1±19.0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71.1±24.7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45.8±18.5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74.3±18.0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75.4±22.2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3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&gt;70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46.9±18.0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75.9±17.0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75.1±20.8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28.2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Woo et al, 2020</w:t>
            </w:r>
            <w:r w:rsidRPr="00C7159B">
              <w:rPr>
                <w:rFonts w:ascii="Times New Roman" w:hAnsi="Times New Roman" w:cs="Times New Roman"/>
                <w:sz w:val="14"/>
                <w:szCs w:val="16"/>
              </w:rPr>
              <w:br/>
            </w:r>
            <w:r w:rsidRPr="00C7159B">
              <w:rPr>
                <w:rFonts w:ascii="Times New Roman" w:hAnsi="Times New Roman" w:cs="Times New Roman"/>
                <w:sz w:val="14"/>
                <w:szCs w:val="16"/>
              </w:rPr>
              <w:lastRenderedPageBreak/>
              <w:t xml:space="preserve">Singapore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{"citationID":"wN8675wF","properties":{"formattedCitation":"[48]","plainCitation":"[48]","noteIndex":0},"citationItems":[{"id":533,"uris":["http://zotero.org/users/local/jmBtsOsM/items/FYQLSKXK"],"itemData":{"id":533,"type":"article-journal","abstract":"Purpose: The aims of this study are to evaluate whether improvements in functional outcome and quality of life are sustainable 10 years after total knee arthroplasty (TKA), and the age cut-off for clinical deterioration in outcomes Methods: Prospectively collected registry data of 120 consecutive patients who underwent TKA at a tertiary hospital in 2006 was analysed. All patients were assessed at 6 months, 2 years and 10 years using the Knee Society Function Score, Knee Society Knee Score, Oxford Knee Score, Short-Form 36 Physical/Mental Component Scores and postoperative satisfaction. One-way ANOVA was used to compare continuous variables, while Chi-squared test to compare categorical variables. Multivariate logistic regression and receiver operating curve analysis was performed to evaluate the predictive factors associated with deterioration of scores postoperatively. Results: Significant improvements were noted in all functional outcome and quality of life scores at 6 months after TKA. Between 6 months and 2 years, the KSFS and OKS continued to improve but the KSKS, PCS and MCS plateaued. Between 2 and 10 years, there was a deterioration in the KSFS and OKS, whilst KSKS, PCS and MCS were maintained. Increasing age was noted to be a significant risk factor for deterioration of KSFS at 10 years with age ≥ 68 as the cut-off value. 91.7% of patients with KSFS Minimally Clinically Important Difference(MCID) (≥ 7 points) continued to be satisfied after 10 years compared to 100.0% who did not experience KSFS MCID deterioration (p = 0.02). Conclusion: Patients ≥ 68 years experience deterioration in functional outcomes and quality of life from 2 to 10 years after TKA. Level of evidence: Retrospective study, Level III.","container-title":"Knee Surgery, Sports Traumatology, Arthroscopy","DOI":"10.1007/s00167-020-06200-4","ISSN":"14337347","issue":"10","note":"ISBN: 0123456789\npublisher: Springer Berlin Heidelberg\nPMID: 32748234","page":"3330–3336","title":"Improvements in functional outcome and quality of life are not sustainable for patients ≥ 68 years old 10 years after total knee arthroplasty","volume":"29","author":[{"family":"Woo","given":"Bo Jun"},{"family":"Chen","given":"Jerry Yongqiang"},{"family":"Lai","given":"Yu Ming"},{"family":"Liow","given":"Ming Han Lincoln"},{"family":"Lo","given":"Ngai Nung"},{"family":"Yeo","given":"Seng Jin"}],"issued":{"date-parts":[["2021"]]}}}],"schema":"https://github.com/citation-style-language/schema/raw/master/csl-citation.json"}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[48]</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 xml:space="preserve">Retrospective </w:t>
            </w:r>
            <w:r w:rsidRPr="00C7159B">
              <w:rPr>
                <w:rFonts w:ascii="Times New Roman" w:hAnsi="Times New Roman" w:cs="Times New Roman"/>
                <w:sz w:val="14"/>
                <w:szCs w:val="16"/>
              </w:rPr>
              <w:lastRenderedPageBreak/>
              <w:t>Study</w:t>
            </w:r>
            <w:r w:rsidRPr="00C7159B">
              <w:rPr>
                <w:rFonts w:ascii="Times New Roman" w:hAnsi="Times New Roman" w:cs="Times New Roman"/>
                <w:sz w:val="14"/>
                <w:szCs w:val="16"/>
              </w:rPr>
              <w:br/>
              <w:t>n=120</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OA knee</w:t>
            </w:r>
            <w:r w:rsidRPr="00C7159B">
              <w:rPr>
                <w:rFonts w:ascii="Times New Roman" w:hAnsi="Times New Roman" w:cs="Times New Roman"/>
                <w:sz w:val="14"/>
                <w:szCs w:val="16"/>
              </w:rPr>
              <w:br/>
              <w:t xml:space="preserve">Age: 64.7±7.5 </w:t>
            </w:r>
            <w:r w:rsidRPr="00C7159B">
              <w:rPr>
                <w:rFonts w:ascii="Times New Roman" w:hAnsi="Times New Roman" w:cs="Times New Roman"/>
                <w:sz w:val="14"/>
                <w:szCs w:val="16"/>
              </w:rPr>
              <w:lastRenderedPageBreak/>
              <w:t>years</w:t>
            </w:r>
            <w:r w:rsidRPr="00C7159B">
              <w:rPr>
                <w:rFonts w:ascii="Times New Roman" w:hAnsi="Times New Roman" w:cs="Times New Roman"/>
                <w:sz w:val="14"/>
                <w:szCs w:val="16"/>
              </w:rPr>
              <w:br/>
              <w:t>BMI:</w:t>
            </w:r>
            <w:r w:rsidRPr="00C7159B">
              <w:rPr>
                <w:rFonts w:ascii="Times New Roman" w:hAnsi="Times New Roman" w:cs="Times New Roman"/>
                <w:sz w:val="14"/>
                <w:szCs w:val="16"/>
              </w:rPr>
              <w:br/>
              <w:t xml:space="preserve">Baseline=27.9±5.2 </w:t>
            </w:r>
            <w:r w:rsidRPr="00C7159B">
              <w:rPr>
                <w:rFonts w:ascii="Times New Roman" w:hAnsi="Times New Roman" w:cs="Times New Roman"/>
                <w:sz w:val="14"/>
                <w:szCs w:val="16"/>
              </w:rPr>
              <w:br/>
              <w:t xml:space="preserve">6Months=28.0±5.3 </w:t>
            </w:r>
            <w:r w:rsidRPr="00C7159B">
              <w:rPr>
                <w:rFonts w:ascii="Times New Roman" w:hAnsi="Times New Roman" w:cs="Times New Roman"/>
                <w:sz w:val="14"/>
                <w:szCs w:val="16"/>
              </w:rPr>
              <w:br/>
              <w:t>2years=28.7±5.4</w:t>
            </w:r>
            <w:r w:rsidRPr="00C7159B">
              <w:rPr>
                <w:rFonts w:ascii="Times New Roman" w:hAnsi="Times New Roman" w:cs="Times New Roman"/>
                <w:sz w:val="14"/>
                <w:szCs w:val="16"/>
              </w:rPr>
              <w:br/>
              <w:t>10years=27.9±5.6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lastRenderedPageBreak/>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10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10 year</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6 month</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2 year</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10 year</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6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OKS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29.2±11.6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60.4±10.8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64.6±5.8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60.4±11.7</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35.4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31.2</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2.7</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53±16.68</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69±16.6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76±16.6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68±19.4</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0.9</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4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40±22.24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85±11.1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83±16.6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2.0</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1.9</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31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SF-36</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PCS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34±11.1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48±8.3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48±8.3</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1.3</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51"/>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MCS</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51±11.1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56±11.1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55±11.1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55±11.1</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0.5</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0.4</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Palazzuolo et al, 2020</w:t>
            </w:r>
            <w:r w:rsidRPr="00C7159B">
              <w:rPr>
                <w:rFonts w:ascii="Times New Roman" w:hAnsi="Times New Roman" w:cs="Times New Roman"/>
                <w:sz w:val="14"/>
                <w:szCs w:val="16"/>
              </w:rPr>
              <w:br/>
              <w:t xml:space="preserve">NA </w:t>
            </w:r>
            <w:r w:rsidRPr="00C7159B">
              <w:rPr>
                <w:rFonts w:ascii="Times New Roman" w:hAnsi="Times New Roman" w:cs="Times New Roman"/>
                <w:sz w:val="14"/>
                <w:szCs w:val="16"/>
              </w:rPr>
              <w:fldChar w:fldCharType="begin"/>
            </w:r>
            <w:r w:rsidRPr="00C7159B">
              <w:rPr>
                <w:rFonts w:ascii="Times New Roman" w:hAnsi="Times New Roman" w:cs="Times New Roman"/>
                <w:sz w:val="14"/>
                <w:szCs w:val="16"/>
              </w:rPr>
              <w:instrText xml:space="preserve"> ADDIN ZOTERO_ITEM CSL_CITATION {"citationID":"bEswT5Fx","properties":{"formattedCitation":"[49]","plainCitation":"[49]","noteIndex":0},"citationItems":[{"id":597,"uris":["http://zotero.org/users/local/jmBtsOsM/items/D6D659A2"],"itemData":{"id":597,"type":"article-journal","abstract":"Total knee arthroplasty (TKA) is the treatment of choice for end-stage osteoarthritis though its risk-benefit ratio in elderly patients remains debated. This study aimed to evaluate the functional outcome, rates of complication and mortality, and quality-adjusted life years (QALY) in patients who exceeded their estimated life expectancy.","container-title":"International Orthopaedics","DOI":"10.1007/s00264-020-04917-y","ISSN":"1432-5195","issue":"3","journalAbbreviation":"International Orthopaedics (SICOT)","language":"en","page":"635-641","source":"Springer Link","title":"Total knee arthroplasty improves the quality-adjusted life years in patients who exceeded their estimated life expectancy","volume":"45","author":[{"family":"Palazzuolo","given":"Michele"},{"family":"Antoniadis","given":"Alexander"},{"family":"Mahlouly","given":"Jaad"},{"family":"Wegrzyn","given":"Julien"}],"issued":{"date-parts":[["2021",3,1]]}}}],"schema":"https://github.com/citation-style-language/schema/raw/master/csl-citation.json"} </w:instrText>
            </w:r>
            <w:r w:rsidRPr="00C7159B">
              <w:rPr>
                <w:rFonts w:ascii="Times New Roman" w:hAnsi="Times New Roman" w:cs="Times New Roman"/>
                <w:sz w:val="14"/>
                <w:szCs w:val="16"/>
              </w:rPr>
              <w:fldChar w:fldCharType="separate"/>
            </w:r>
            <w:r w:rsidRPr="00C7159B">
              <w:rPr>
                <w:rFonts w:ascii="Times New Roman" w:hAnsi="Times New Roman" w:cs="Times New Roman"/>
                <w:sz w:val="14"/>
                <w:szCs w:val="16"/>
              </w:rPr>
              <w:t>[49]</w:t>
            </w:r>
            <w:r w:rsidRPr="00C7159B">
              <w:rPr>
                <w:rFonts w:ascii="Times New Roman" w:hAnsi="Times New Roman" w:cs="Times New Roman"/>
                <w:sz w:val="14"/>
                <w:szCs w:val="16"/>
              </w:rPr>
              <w:fldChar w:fldCharType="end"/>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Retrospective analysis</w:t>
            </w:r>
            <w:r w:rsidRPr="00C7159B">
              <w:rPr>
                <w:rFonts w:ascii="Times New Roman" w:hAnsi="Times New Roman" w:cs="Times New Roman"/>
                <w:sz w:val="14"/>
                <w:szCs w:val="16"/>
              </w:rPr>
              <w:br/>
              <w:t>n=46</w:t>
            </w:r>
            <w:r w:rsidRPr="00C7159B">
              <w:rPr>
                <w:rFonts w:ascii="Times New Roman" w:hAnsi="Times New Roman" w:cs="Times New Roman"/>
                <w:sz w:val="14"/>
                <w:szCs w:val="16"/>
              </w:rPr>
              <w:br/>
              <w:t>Male=62</w:t>
            </w:r>
            <w:r w:rsidRPr="00C7159B">
              <w:rPr>
                <w:rFonts w:ascii="Times New Roman" w:hAnsi="Times New Roman" w:cs="Times New Roman"/>
                <w:sz w:val="14"/>
                <w:szCs w:val="16"/>
              </w:rPr>
              <w:br/>
              <w:t>Female=24</w:t>
            </w:r>
          </w:p>
        </w:tc>
        <w:tc>
          <w:tcPr>
            <w:tcW w:w="0" w:type="auto"/>
            <w:vMerge w:val="restart"/>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OA knee</w:t>
            </w:r>
            <w:r w:rsidRPr="00C7159B">
              <w:rPr>
                <w:rFonts w:ascii="Times New Roman" w:hAnsi="Times New Roman" w:cs="Times New Roman"/>
                <w:sz w:val="14"/>
                <w:szCs w:val="16"/>
              </w:rPr>
              <w:br/>
              <w:t>Age: 86±3 years</w:t>
            </w:r>
          </w:p>
        </w:tc>
        <w:tc>
          <w:tcPr>
            <w:tcW w:w="0" w:type="auto"/>
            <w:noWrap/>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KSS</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3 year</w:t>
            </w:r>
          </w:p>
        </w:tc>
        <w:tc>
          <w:tcPr>
            <w:tcW w:w="0" w:type="auto"/>
            <w:hideMark/>
          </w:tcPr>
          <w:p w:rsidR="004714E7" w:rsidRPr="00C7159B" w:rsidRDefault="004714E7" w:rsidP="003A4C5D">
            <w:pPr>
              <w:jc w:val="center"/>
              <w:rPr>
                <w:rFonts w:ascii="Times New Roman" w:hAnsi="Times New Roman" w:cs="Times New Roman"/>
                <w:b/>
                <w:bCs/>
                <w:sz w:val="14"/>
                <w:szCs w:val="16"/>
              </w:rPr>
            </w:pPr>
          </w:p>
        </w:tc>
        <w:tc>
          <w:tcPr>
            <w:tcW w:w="0" w:type="auto"/>
            <w:hideMark/>
          </w:tcPr>
          <w:p w:rsidR="004714E7" w:rsidRPr="00C7159B" w:rsidRDefault="004714E7" w:rsidP="003A4C5D">
            <w:pPr>
              <w:jc w:val="center"/>
              <w:rPr>
                <w:rFonts w:ascii="Times New Roman" w:hAnsi="Times New Roman" w:cs="Times New Roman"/>
                <w:b/>
                <w:bCs/>
                <w:sz w:val="14"/>
                <w:szCs w:val="16"/>
              </w:rPr>
            </w:pPr>
            <w:r w:rsidRPr="00C7159B">
              <w:rPr>
                <w:rFonts w:ascii="Times New Roman" w:hAnsi="Times New Roman" w:cs="Times New Roman"/>
                <w:b/>
                <w:bCs/>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290"/>
          <w:jc w:val="center"/>
        </w:trPr>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vMerge/>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Function</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50±16</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91±14</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41</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2.6</w:t>
            </w:r>
          </w:p>
        </w:tc>
        <w:tc>
          <w:tcPr>
            <w:tcW w:w="0" w:type="auto"/>
            <w:noWrap/>
            <w:hideMark/>
          </w:tcPr>
          <w:p w:rsidR="004714E7" w:rsidRPr="00C7159B" w:rsidRDefault="004714E7" w:rsidP="003A4C5D">
            <w:pPr>
              <w:jc w:val="center"/>
              <w:rPr>
                <w:rFonts w:ascii="Times New Roman" w:hAnsi="Times New Roman" w:cs="Times New Roman"/>
                <w:sz w:val="14"/>
                <w:szCs w:val="16"/>
              </w:rPr>
            </w:pPr>
          </w:p>
        </w:tc>
        <w:tc>
          <w:tcPr>
            <w:tcW w:w="0" w:type="auto"/>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00"/>
          <w:jc w:val="center"/>
        </w:trPr>
        <w:tc>
          <w:tcPr>
            <w:tcW w:w="0" w:type="auto"/>
            <w:vMerge/>
            <w:tcBorders>
              <w:bottom w:val="single" w:sz="4" w:space="0" w:color="auto"/>
            </w:tcBorders>
            <w:hideMark/>
          </w:tcPr>
          <w:p w:rsidR="004714E7" w:rsidRPr="00C7159B" w:rsidRDefault="004714E7" w:rsidP="003A4C5D">
            <w:pPr>
              <w:jc w:val="center"/>
              <w:rPr>
                <w:rFonts w:ascii="Times New Roman" w:hAnsi="Times New Roman" w:cs="Times New Roman"/>
                <w:sz w:val="14"/>
                <w:szCs w:val="16"/>
              </w:rPr>
            </w:pPr>
          </w:p>
        </w:tc>
        <w:tc>
          <w:tcPr>
            <w:tcW w:w="0" w:type="auto"/>
            <w:vMerge/>
            <w:tcBorders>
              <w:bottom w:val="single" w:sz="4" w:space="0" w:color="auto"/>
            </w:tcBorders>
            <w:hideMark/>
          </w:tcPr>
          <w:p w:rsidR="004714E7" w:rsidRPr="00C7159B" w:rsidRDefault="004714E7" w:rsidP="003A4C5D">
            <w:pPr>
              <w:jc w:val="center"/>
              <w:rPr>
                <w:rFonts w:ascii="Times New Roman" w:hAnsi="Times New Roman" w:cs="Times New Roman"/>
                <w:sz w:val="14"/>
                <w:szCs w:val="16"/>
              </w:rPr>
            </w:pPr>
          </w:p>
        </w:tc>
        <w:tc>
          <w:tcPr>
            <w:tcW w:w="0" w:type="auto"/>
            <w:vMerge/>
            <w:tcBorders>
              <w:bottom w:val="single" w:sz="4" w:space="0" w:color="auto"/>
            </w:tcBorders>
            <w:hideMark/>
          </w:tcPr>
          <w:p w:rsidR="004714E7" w:rsidRPr="00C7159B" w:rsidRDefault="004714E7" w:rsidP="003A4C5D">
            <w:pPr>
              <w:jc w:val="center"/>
              <w:rPr>
                <w:rFonts w:ascii="Times New Roman" w:hAnsi="Times New Roman" w:cs="Times New Roman"/>
                <w:sz w:val="14"/>
                <w:szCs w:val="16"/>
              </w:rPr>
            </w:pP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Anatomic</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48±16</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87±11</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39</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2.4</w:t>
            </w: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p>
        </w:tc>
        <w:tc>
          <w:tcPr>
            <w:tcW w:w="0" w:type="auto"/>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c>
          <w:tcPr>
            <w:tcW w:w="648" w:type="dxa"/>
            <w:tcBorders>
              <w:bottom w:val="single" w:sz="4" w:space="0" w:color="auto"/>
            </w:tcBorders>
            <w:noWrap/>
            <w:hideMark/>
          </w:tcPr>
          <w:p w:rsidR="004714E7" w:rsidRPr="00C7159B" w:rsidRDefault="004714E7" w:rsidP="003A4C5D">
            <w:pPr>
              <w:jc w:val="center"/>
              <w:rPr>
                <w:rFonts w:ascii="Times New Roman" w:hAnsi="Times New Roman" w:cs="Times New Roman"/>
                <w:sz w:val="14"/>
                <w:szCs w:val="16"/>
              </w:rPr>
            </w:pPr>
            <w:r w:rsidRPr="00C7159B">
              <w:rPr>
                <w:rFonts w:ascii="Times New Roman" w:hAnsi="Times New Roman" w:cs="Times New Roman"/>
                <w:sz w:val="14"/>
                <w:szCs w:val="16"/>
              </w:rPr>
              <w:t> </w:t>
            </w:r>
          </w:p>
        </w:tc>
      </w:tr>
      <w:tr w:rsidR="004714E7" w:rsidRPr="00C7159B" w:rsidTr="003A4C5D">
        <w:trPr>
          <w:trHeight w:val="500"/>
          <w:jc w:val="center"/>
        </w:trPr>
        <w:tc>
          <w:tcPr>
            <w:tcW w:w="14261" w:type="dxa"/>
            <w:gridSpan w:val="21"/>
            <w:tcBorders>
              <w:top w:val="single" w:sz="4" w:space="0" w:color="auto"/>
              <w:bottom w:val="single" w:sz="4" w:space="0" w:color="auto"/>
            </w:tcBorders>
          </w:tcPr>
          <w:p w:rsidR="004714E7" w:rsidRPr="00C7159B" w:rsidRDefault="004714E7" w:rsidP="003A4C5D">
            <w:pPr>
              <w:jc w:val="both"/>
              <w:rPr>
                <w:rFonts w:ascii="Times New Roman" w:eastAsia="Times New Roman" w:hAnsi="Times New Roman" w:cs="Times New Roman"/>
                <w:color w:val="000000"/>
                <w:sz w:val="14"/>
                <w:szCs w:val="16"/>
              </w:rPr>
            </w:pPr>
            <w:r w:rsidRPr="00C7159B">
              <w:rPr>
                <w:rFonts w:ascii="Times New Roman" w:eastAsia="Times New Roman" w:hAnsi="Times New Roman" w:cs="Times New Roman"/>
                <w:color w:val="000000"/>
                <w:sz w:val="14"/>
                <w:szCs w:val="16"/>
              </w:rPr>
              <w:t xml:space="preserve">a Mean reported improvement </w:t>
            </w:r>
          </w:p>
          <w:p w:rsidR="004714E7" w:rsidRPr="00C7159B" w:rsidRDefault="004714E7" w:rsidP="003A4C5D">
            <w:pPr>
              <w:jc w:val="both"/>
              <w:rPr>
                <w:rFonts w:ascii="Times New Roman" w:hAnsi="Times New Roman" w:cs="Times New Roman"/>
                <w:sz w:val="14"/>
                <w:szCs w:val="16"/>
              </w:rPr>
            </w:pPr>
            <w:r w:rsidRPr="00C7159B">
              <w:rPr>
                <w:rFonts w:ascii="Times New Roman" w:eastAsia="Times New Roman" w:hAnsi="Times New Roman" w:cs="Times New Roman"/>
                <w:color w:val="000000"/>
                <w:sz w:val="14"/>
                <w:szCs w:val="16"/>
              </w:rPr>
              <w:br w:type="page"/>
              <w:t>b Regression estimate reported</w:t>
            </w:r>
          </w:p>
        </w:tc>
      </w:tr>
    </w:tbl>
    <w:p w:rsidR="004714E7" w:rsidRPr="00FF34E6" w:rsidRDefault="004714E7" w:rsidP="004714E7">
      <w:pPr>
        <w:spacing w:line="480" w:lineRule="auto"/>
        <w:jc w:val="both"/>
        <w:rPr>
          <w:rFonts w:ascii="Times New Roman" w:hAnsi="Times New Roman" w:cs="Times New Roman"/>
          <w:color w:val="000000" w:themeColor="text1"/>
          <w:sz w:val="52"/>
        </w:rPr>
      </w:pPr>
    </w:p>
    <w:p w:rsidR="004714E7" w:rsidRPr="00036155" w:rsidRDefault="004714E7" w:rsidP="004714E7">
      <w:pPr>
        <w:pStyle w:val="Bibliography"/>
        <w:spacing w:line="480" w:lineRule="auto"/>
        <w:jc w:val="both"/>
        <w:rPr>
          <w:rFonts w:ascii="Arial" w:hAnsi="Arial" w:cs="Arial"/>
          <w:color w:val="000000" w:themeColor="text1"/>
          <w:sz w:val="52"/>
        </w:rPr>
      </w:pPr>
    </w:p>
    <w:p w:rsidR="002B47A7" w:rsidRDefault="002B47A7">
      <w:bookmarkStart w:id="0" w:name="_GoBack"/>
      <w:bookmarkEnd w:id="0"/>
    </w:p>
    <w:sectPr w:rsidR="002B47A7" w:rsidSect="00816CA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5B2F8B"/>
    <w:multiLevelType w:val="hybridMultilevel"/>
    <w:tmpl w:val="BDF609DE"/>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8046D6"/>
    <w:multiLevelType w:val="hybridMultilevel"/>
    <w:tmpl w:val="A664D9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833E29"/>
    <w:multiLevelType w:val="hybridMultilevel"/>
    <w:tmpl w:val="C2860B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B21EFE"/>
    <w:multiLevelType w:val="hybridMultilevel"/>
    <w:tmpl w:val="A5DA46F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660E31"/>
    <w:multiLevelType w:val="hybridMultilevel"/>
    <w:tmpl w:val="90C454A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814995"/>
    <w:multiLevelType w:val="hybridMultilevel"/>
    <w:tmpl w:val="391402F2"/>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002539"/>
    <w:multiLevelType w:val="hybridMultilevel"/>
    <w:tmpl w:val="682CCDF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2D343D"/>
    <w:multiLevelType w:val="hybridMultilevel"/>
    <w:tmpl w:val="984AE8C4"/>
    <w:lvl w:ilvl="0" w:tplc="FFFFFFF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2"/>
  </w:num>
  <w:num w:numId="3">
    <w:abstractNumId w:val="1"/>
  </w:num>
  <w:num w:numId="4">
    <w:abstractNumId w:val="5"/>
  </w:num>
  <w:num w:numId="5">
    <w:abstractNumId w:val="6"/>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4E7"/>
    <w:rsid w:val="002B47A7"/>
    <w:rsid w:val="00471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892D5E-3B83-4B03-92F6-619BC5DA8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4E7"/>
    <w:rPr>
      <w:lang w:val="en-IN"/>
    </w:rPr>
  </w:style>
  <w:style w:type="paragraph" w:styleId="Heading1">
    <w:name w:val="heading 1"/>
    <w:basedOn w:val="Normal"/>
    <w:next w:val="Normal"/>
    <w:link w:val="Heading1Char"/>
    <w:uiPriority w:val="9"/>
    <w:qFormat/>
    <w:rsid w:val="004714E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14E7"/>
    <w:rPr>
      <w:rFonts w:asciiTheme="majorHAnsi" w:eastAsiaTheme="majorEastAsia" w:hAnsiTheme="majorHAnsi" w:cstheme="majorBidi"/>
      <w:color w:val="2E74B5" w:themeColor="accent1" w:themeShade="BF"/>
      <w:sz w:val="32"/>
      <w:szCs w:val="32"/>
      <w:lang w:val="en-IN"/>
    </w:rPr>
  </w:style>
  <w:style w:type="paragraph" w:styleId="Bibliography">
    <w:name w:val="Bibliography"/>
    <w:basedOn w:val="Normal"/>
    <w:next w:val="Normal"/>
    <w:uiPriority w:val="37"/>
    <w:unhideWhenUsed/>
    <w:rsid w:val="004714E7"/>
    <w:pPr>
      <w:tabs>
        <w:tab w:val="left" w:pos="504"/>
      </w:tabs>
      <w:spacing w:after="0" w:line="240" w:lineRule="auto"/>
      <w:ind w:left="504" w:hanging="504"/>
    </w:pPr>
  </w:style>
  <w:style w:type="paragraph" w:styleId="ListParagraph">
    <w:name w:val="List Paragraph"/>
    <w:basedOn w:val="Normal"/>
    <w:uiPriority w:val="34"/>
    <w:qFormat/>
    <w:rsid w:val="004714E7"/>
    <w:pPr>
      <w:spacing w:after="200" w:line="276" w:lineRule="auto"/>
      <w:ind w:left="720"/>
      <w:contextualSpacing/>
    </w:pPr>
    <w:rPr>
      <w:lang w:val="en-US"/>
    </w:rPr>
  </w:style>
  <w:style w:type="paragraph" w:styleId="BalloonText">
    <w:name w:val="Balloon Text"/>
    <w:basedOn w:val="Normal"/>
    <w:link w:val="BalloonTextChar"/>
    <w:uiPriority w:val="99"/>
    <w:semiHidden/>
    <w:unhideWhenUsed/>
    <w:rsid w:val="004714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4E7"/>
    <w:rPr>
      <w:rFonts w:ascii="Segoe UI" w:hAnsi="Segoe UI" w:cs="Segoe UI"/>
      <w:sz w:val="18"/>
      <w:szCs w:val="18"/>
      <w:lang w:val="en-IN"/>
    </w:rPr>
  </w:style>
  <w:style w:type="character" w:styleId="CommentReference">
    <w:name w:val="annotation reference"/>
    <w:basedOn w:val="DefaultParagraphFont"/>
    <w:uiPriority w:val="99"/>
    <w:semiHidden/>
    <w:unhideWhenUsed/>
    <w:rsid w:val="004714E7"/>
    <w:rPr>
      <w:sz w:val="16"/>
      <w:szCs w:val="16"/>
    </w:rPr>
  </w:style>
  <w:style w:type="paragraph" w:styleId="CommentText">
    <w:name w:val="annotation text"/>
    <w:basedOn w:val="Normal"/>
    <w:link w:val="CommentTextChar"/>
    <w:uiPriority w:val="99"/>
    <w:semiHidden/>
    <w:unhideWhenUsed/>
    <w:rsid w:val="004714E7"/>
    <w:pPr>
      <w:spacing w:line="240" w:lineRule="auto"/>
    </w:pPr>
    <w:rPr>
      <w:sz w:val="20"/>
      <w:szCs w:val="20"/>
    </w:rPr>
  </w:style>
  <w:style w:type="character" w:customStyle="1" w:styleId="CommentTextChar">
    <w:name w:val="Comment Text Char"/>
    <w:basedOn w:val="DefaultParagraphFont"/>
    <w:link w:val="CommentText"/>
    <w:uiPriority w:val="99"/>
    <w:semiHidden/>
    <w:rsid w:val="004714E7"/>
    <w:rPr>
      <w:sz w:val="20"/>
      <w:szCs w:val="20"/>
      <w:lang w:val="en-IN"/>
    </w:rPr>
  </w:style>
  <w:style w:type="paragraph" w:styleId="CommentSubject">
    <w:name w:val="annotation subject"/>
    <w:basedOn w:val="CommentText"/>
    <w:next w:val="CommentText"/>
    <w:link w:val="CommentSubjectChar"/>
    <w:uiPriority w:val="99"/>
    <w:semiHidden/>
    <w:unhideWhenUsed/>
    <w:rsid w:val="004714E7"/>
    <w:rPr>
      <w:b/>
      <w:bCs/>
    </w:rPr>
  </w:style>
  <w:style w:type="character" w:customStyle="1" w:styleId="CommentSubjectChar">
    <w:name w:val="Comment Subject Char"/>
    <w:basedOn w:val="CommentTextChar"/>
    <w:link w:val="CommentSubject"/>
    <w:uiPriority w:val="99"/>
    <w:semiHidden/>
    <w:rsid w:val="004714E7"/>
    <w:rPr>
      <w:b/>
      <w:bCs/>
      <w:sz w:val="20"/>
      <w:szCs w:val="20"/>
      <w:lang w:val="en-IN"/>
    </w:rPr>
  </w:style>
  <w:style w:type="paragraph" w:styleId="Caption">
    <w:name w:val="caption"/>
    <w:basedOn w:val="Normal"/>
    <w:next w:val="Normal"/>
    <w:uiPriority w:val="35"/>
    <w:unhideWhenUsed/>
    <w:qFormat/>
    <w:rsid w:val="004714E7"/>
    <w:pPr>
      <w:spacing w:after="200" w:line="240" w:lineRule="auto"/>
    </w:pPr>
    <w:rPr>
      <w:i/>
      <w:iCs/>
      <w:color w:val="44546A" w:themeColor="text2"/>
      <w:sz w:val="18"/>
      <w:szCs w:val="18"/>
    </w:rPr>
  </w:style>
  <w:style w:type="paragraph" w:styleId="Header">
    <w:name w:val="header"/>
    <w:basedOn w:val="Normal"/>
    <w:link w:val="HeaderChar"/>
    <w:uiPriority w:val="99"/>
    <w:unhideWhenUsed/>
    <w:rsid w:val="00471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4E7"/>
    <w:rPr>
      <w:lang w:val="en-IN"/>
    </w:rPr>
  </w:style>
  <w:style w:type="paragraph" w:styleId="Footer">
    <w:name w:val="footer"/>
    <w:basedOn w:val="Normal"/>
    <w:link w:val="FooterChar"/>
    <w:uiPriority w:val="99"/>
    <w:unhideWhenUsed/>
    <w:rsid w:val="00471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4E7"/>
    <w:rPr>
      <w:lang w:val="en-IN"/>
    </w:rPr>
  </w:style>
  <w:style w:type="numbering" w:customStyle="1" w:styleId="NoList1">
    <w:name w:val="No List1"/>
    <w:next w:val="NoList"/>
    <w:uiPriority w:val="99"/>
    <w:semiHidden/>
    <w:unhideWhenUsed/>
    <w:rsid w:val="004714E7"/>
  </w:style>
  <w:style w:type="paragraph" w:styleId="EndnoteText">
    <w:name w:val="endnote text"/>
    <w:basedOn w:val="Normal"/>
    <w:link w:val="EndnoteTextChar"/>
    <w:uiPriority w:val="99"/>
    <w:semiHidden/>
    <w:unhideWhenUsed/>
    <w:rsid w:val="004714E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714E7"/>
    <w:rPr>
      <w:sz w:val="20"/>
      <w:szCs w:val="20"/>
      <w:lang w:val="en-IN"/>
    </w:rPr>
  </w:style>
  <w:style w:type="character" w:styleId="EndnoteReference">
    <w:name w:val="endnote reference"/>
    <w:basedOn w:val="DefaultParagraphFont"/>
    <w:uiPriority w:val="99"/>
    <w:semiHidden/>
    <w:unhideWhenUsed/>
    <w:rsid w:val="004714E7"/>
    <w:rPr>
      <w:vertAlign w:val="superscript"/>
    </w:rPr>
  </w:style>
  <w:style w:type="character" w:styleId="Hyperlink">
    <w:name w:val="Hyperlink"/>
    <w:basedOn w:val="DefaultParagraphFont"/>
    <w:uiPriority w:val="99"/>
    <w:semiHidden/>
    <w:unhideWhenUsed/>
    <w:rsid w:val="004714E7"/>
    <w:rPr>
      <w:color w:val="0563C1"/>
      <w:u w:val="single"/>
    </w:rPr>
  </w:style>
  <w:style w:type="character" w:styleId="FollowedHyperlink">
    <w:name w:val="FollowedHyperlink"/>
    <w:basedOn w:val="DefaultParagraphFont"/>
    <w:uiPriority w:val="99"/>
    <w:semiHidden/>
    <w:unhideWhenUsed/>
    <w:rsid w:val="004714E7"/>
    <w:rPr>
      <w:color w:val="954F72"/>
      <w:u w:val="single"/>
    </w:rPr>
  </w:style>
  <w:style w:type="paragraph" w:customStyle="1" w:styleId="font5">
    <w:name w:val="font5"/>
    <w:basedOn w:val="Normal"/>
    <w:rsid w:val="004714E7"/>
    <w:pPr>
      <w:spacing w:before="100" w:beforeAutospacing="1" w:after="100" w:afterAutospacing="1" w:line="240" w:lineRule="auto"/>
    </w:pPr>
    <w:rPr>
      <w:rFonts w:ascii="Calibri" w:eastAsia="Times New Roman" w:hAnsi="Calibri" w:cs="Calibri"/>
      <w:color w:val="000000"/>
      <w:sz w:val="20"/>
      <w:szCs w:val="20"/>
      <w:lang w:val="en-US"/>
    </w:rPr>
  </w:style>
  <w:style w:type="paragraph" w:customStyle="1" w:styleId="font6">
    <w:name w:val="font6"/>
    <w:basedOn w:val="Normal"/>
    <w:rsid w:val="004714E7"/>
    <w:pPr>
      <w:spacing w:before="100" w:beforeAutospacing="1" w:after="100" w:afterAutospacing="1" w:line="240" w:lineRule="auto"/>
    </w:pPr>
    <w:rPr>
      <w:rFonts w:ascii="Calibri" w:eastAsia="Times New Roman" w:hAnsi="Calibri" w:cs="Calibri"/>
      <w:color w:val="000000"/>
      <w:sz w:val="20"/>
      <w:szCs w:val="20"/>
      <w:lang w:val="en-US"/>
    </w:rPr>
  </w:style>
  <w:style w:type="paragraph" w:customStyle="1" w:styleId="xl65">
    <w:name w:val="xl65"/>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6">
    <w:name w:val="xl66"/>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rPr>
  </w:style>
  <w:style w:type="paragraph" w:customStyle="1" w:styleId="xl67">
    <w:name w:val="xl67"/>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US"/>
    </w:rPr>
  </w:style>
  <w:style w:type="paragraph" w:customStyle="1" w:styleId="xl68">
    <w:name w:val="xl68"/>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paragraph" w:customStyle="1" w:styleId="xl69">
    <w:name w:val="xl69"/>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US"/>
    </w:rPr>
  </w:style>
  <w:style w:type="paragraph" w:customStyle="1" w:styleId="xl70">
    <w:name w:val="xl70"/>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0"/>
      <w:szCs w:val="20"/>
      <w:lang w:val="en-US"/>
    </w:rPr>
  </w:style>
  <w:style w:type="paragraph" w:customStyle="1" w:styleId="xl71">
    <w:name w:val="xl71"/>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paragraph" w:customStyle="1" w:styleId="xl72">
    <w:name w:val="xl72"/>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paragraph" w:customStyle="1" w:styleId="xl73">
    <w:name w:val="xl73"/>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US"/>
    </w:rPr>
  </w:style>
  <w:style w:type="paragraph" w:customStyle="1" w:styleId="xl74">
    <w:name w:val="xl74"/>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US"/>
    </w:rPr>
  </w:style>
  <w:style w:type="paragraph" w:customStyle="1" w:styleId="xl75">
    <w:name w:val="xl75"/>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US"/>
    </w:rPr>
  </w:style>
  <w:style w:type="paragraph" w:customStyle="1" w:styleId="xl76">
    <w:name w:val="xl76"/>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US"/>
    </w:rPr>
  </w:style>
  <w:style w:type="paragraph" w:customStyle="1" w:styleId="xl77">
    <w:name w:val="xl77"/>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US"/>
    </w:rPr>
  </w:style>
  <w:style w:type="paragraph" w:customStyle="1" w:styleId="xl78">
    <w:name w:val="xl78"/>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paragraph" w:customStyle="1" w:styleId="xl79">
    <w:name w:val="xl79"/>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US"/>
    </w:rPr>
  </w:style>
  <w:style w:type="paragraph" w:customStyle="1" w:styleId="xl80">
    <w:name w:val="xl80"/>
    <w:basedOn w:val="Normal"/>
    <w:rsid w:val="004714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rPr>
  </w:style>
  <w:style w:type="table" w:styleId="TableGrid">
    <w:name w:val="Table Grid"/>
    <w:basedOn w:val="TableNormal"/>
    <w:uiPriority w:val="39"/>
    <w:rsid w:val="004714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714E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714E7"/>
    <w:rPr>
      <w:b/>
      <w:bCs/>
    </w:rPr>
  </w:style>
  <w:style w:type="character" w:styleId="LineNumber">
    <w:name w:val="line number"/>
    <w:basedOn w:val="DefaultParagraphFont"/>
    <w:uiPriority w:val="99"/>
    <w:semiHidden/>
    <w:unhideWhenUsed/>
    <w:rsid w:val="00471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14338</Words>
  <Characters>81728</Characters>
  <Application>Microsoft Office Word</Application>
  <DocSecurity>0</DocSecurity>
  <Lines>681</Lines>
  <Paragraphs>191</Paragraphs>
  <ScaleCrop>false</ScaleCrop>
  <Company/>
  <LinksUpToDate>false</LinksUpToDate>
  <CharactersWithSpaces>95875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2022-08-16T06:37:00Z</dcterms:created>
  <dcterms:modified xsi:type="dcterms:W3CDTF">2022-08-16T06:37:00Z</dcterms:modified>
</cp:coreProperties>
</file>