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D80" w:rsidRPr="00A73DDF" w:rsidRDefault="00A94D80" w:rsidP="00A94D80">
      <w:pPr>
        <w:jc w:val="both"/>
        <w:rPr>
          <w:rFonts w:ascii="Palatino Linotype" w:hAnsi="Palatino Linotype"/>
          <w:sz w:val="22"/>
          <w:szCs w:val="22"/>
        </w:rPr>
      </w:pPr>
      <w:r w:rsidRPr="00A73DDF">
        <w:rPr>
          <w:rFonts w:ascii="Palatino Linotype" w:hAnsi="Palatino Linotype"/>
          <w:noProof/>
          <w:sz w:val="22"/>
          <w:szCs w:val="22"/>
        </w:rPr>
        <w:drawing>
          <wp:inline distT="0" distB="0" distL="0" distR="0" wp14:anchorId="5CB6225D" wp14:editId="52513AA0">
            <wp:extent cx="2966505" cy="55930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96422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458" cy="56043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4D80" w:rsidRPr="00A73DDF" w:rsidRDefault="00A94D80" w:rsidP="00A94D80">
      <w:pPr>
        <w:spacing w:line="360" w:lineRule="auto"/>
        <w:rPr>
          <w:rFonts w:ascii="Palatino Linotype" w:hAnsi="Palatino Linotype"/>
          <w:b/>
          <w:bCs/>
          <w:i/>
          <w:iCs/>
          <w:sz w:val="22"/>
          <w:szCs w:val="22"/>
        </w:rPr>
      </w:pP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>Suppl. Fig. 1 Enlarged perivascular spaces in the brains of 5-</w:t>
      </w:r>
      <w:r w:rsidRPr="00A73DDF">
        <w:rPr>
          <w:rFonts w:ascii="Palatino Linotype" w:eastAsia="Calibri" w:hAnsi="Palatino Linotype" w:cs="Arial"/>
          <w:b/>
          <w:bCs/>
          <w:i/>
          <w:iCs/>
          <w:sz w:val="22"/>
          <w:szCs w:val="22"/>
        </w:rPr>
        <w:t>month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>-old and 12-</w:t>
      </w:r>
      <w:r w:rsidRPr="00A73DDF">
        <w:rPr>
          <w:rFonts w:ascii="Palatino Linotype" w:eastAsia="Calibri" w:hAnsi="Palatino Linotype" w:cs="Arial"/>
          <w:b/>
          <w:bCs/>
          <w:i/>
          <w:iCs/>
          <w:sz w:val="22"/>
          <w:szCs w:val="22"/>
        </w:rPr>
        <w:t>month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>-old Col18a1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  <w:vertAlign w:val="superscript"/>
        </w:rPr>
        <w:t xml:space="preserve">-/- 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>mice.</w:t>
      </w:r>
    </w:p>
    <w:p w:rsidR="00A94D80" w:rsidRPr="00A73DDF" w:rsidRDefault="00A94D80" w:rsidP="00A94D80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73DDF">
        <w:rPr>
          <w:rFonts w:ascii="Palatino Linotype" w:eastAsia="Times New Roman" w:hAnsi="Palatino Linotype" w:cs="Times New Roman"/>
          <w:b/>
          <w:bCs/>
          <w:iCs/>
          <w:snapToGrid w:val="0"/>
          <w:color w:val="000000"/>
          <w:sz w:val="22"/>
          <w:szCs w:val="22"/>
          <w:lang w:eastAsia="de-DE" w:bidi="en-US"/>
        </w:rPr>
        <w:t>a-d,</w:t>
      </w:r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 Percentages of arterioles with enlarged PVS per animal across all brain regions (RSC, BG, CA1 and thalamus)</w:t>
      </w:r>
      <w:r w:rsidRPr="00A73DDF">
        <w:rPr>
          <w:rFonts w:ascii="Palatino Linotype" w:hAnsi="Palatino Linotype"/>
          <w:sz w:val="22"/>
          <w:szCs w:val="22"/>
        </w:rPr>
        <w:t xml:space="preserve"> </w:t>
      </w:r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in 5- and 12-month-old animals. Each dot represents one animal. Bar graphs show the mean ± SEM values between </w:t>
      </w:r>
      <w:r w:rsidRPr="00A73DDF">
        <w:rPr>
          <w:rFonts w:ascii="Palatino Linotype" w:eastAsia="Times New Roman" w:hAnsi="Palatino Linotype" w:cs="Times New Roman"/>
          <w:bCs/>
          <w:i/>
          <w:iCs/>
          <w:snapToGrid w:val="0"/>
          <w:color w:val="000000"/>
          <w:sz w:val="22"/>
          <w:szCs w:val="22"/>
          <w:lang w:eastAsia="de-DE" w:bidi="en-US"/>
        </w:rPr>
        <w:t>Col18a1</w:t>
      </w:r>
      <w:r w:rsidRPr="00A73DDF">
        <w:rPr>
          <w:rFonts w:ascii="Palatino Linotype" w:eastAsia="Times New Roman" w:hAnsi="Palatino Linotype" w:cs="Times New Roman"/>
          <w:bCs/>
          <w:i/>
          <w:iCs/>
          <w:snapToGrid w:val="0"/>
          <w:color w:val="000000"/>
          <w:sz w:val="22"/>
          <w:szCs w:val="22"/>
          <w:vertAlign w:val="superscript"/>
          <w:lang w:eastAsia="de-DE" w:bidi="en-US"/>
        </w:rPr>
        <w:t>+/+</w:t>
      </w:r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vertAlign w:val="superscript"/>
          <w:lang w:eastAsia="de-DE" w:bidi="en-US"/>
        </w:rPr>
        <w:t xml:space="preserve"> </w:t>
      </w:r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(5-month-old animals: N=7; 12-month-old animals, N=5) and </w:t>
      </w:r>
      <w:r w:rsidRPr="00A73DDF">
        <w:rPr>
          <w:rFonts w:ascii="Palatino Linotype" w:eastAsia="Times New Roman" w:hAnsi="Palatino Linotype" w:cs="Times New Roman"/>
          <w:bCs/>
          <w:i/>
          <w:iCs/>
          <w:snapToGrid w:val="0"/>
          <w:color w:val="000000"/>
          <w:sz w:val="22"/>
          <w:szCs w:val="22"/>
          <w:lang w:eastAsia="de-DE" w:bidi="en-US"/>
        </w:rPr>
        <w:t>Col18a1</w:t>
      </w:r>
      <w:r w:rsidRPr="00A73DDF">
        <w:rPr>
          <w:rFonts w:ascii="Palatino Linotype" w:eastAsia="Times New Roman" w:hAnsi="Palatino Linotype" w:cs="Times New Roman"/>
          <w:bCs/>
          <w:i/>
          <w:iCs/>
          <w:snapToGrid w:val="0"/>
          <w:color w:val="000000"/>
          <w:sz w:val="22"/>
          <w:szCs w:val="22"/>
          <w:vertAlign w:val="superscript"/>
          <w:lang w:eastAsia="de-DE" w:bidi="en-US"/>
        </w:rPr>
        <w:t xml:space="preserve">-/- </w:t>
      </w:r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mice (5-month-old animals: N=5; 12-month-old animals: N=6) using two-way ANOVA and </w:t>
      </w:r>
      <w:proofErr w:type="spellStart"/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>Sidak's</w:t>
      </w:r>
      <w:proofErr w:type="spellEnd"/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 multiple comparisons test. BG, basal ganglia; CA1, the CA1 region of the hippocampus; CC, corpus callosum; FOV, field of view; M, months; PVS, perivascular spaces; RSC, </w:t>
      </w:r>
      <w:proofErr w:type="spellStart"/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>retrosplenial</w:t>
      </w:r>
      <w:proofErr w:type="spellEnd"/>
      <w:r w:rsidRPr="00A73DDF">
        <w:rPr>
          <w:rFonts w:ascii="Palatino Linotype" w:eastAsia="Times New Roman" w:hAnsi="Palatino Linotype" w:cs="Times New Roman"/>
          <w:bCs/>
          <w:iCs/>
          <w:snapToGrid w:val="0"/>
          <w:color w:val="000000"/>
          <w:sz w:val="22"/>
          <w:szCs w:val="22"/>
          <w:lang w:eastAsia="de-DE" w:bidi="en-US"/>
        </w:rPr>
        <w:t xml:space="preserve"> cortex. Scale bar = 50 µm.</w:t>
      </w:r>
    </w:p>
    <w:p w:rsidR="00A94D80" w:rsidRPr="00A73DDF" w:rsidRDefault="00A94D80" w:rsidP="00A94D80">
      <w:pPr>
        <w:jc w:val="both"/>
        <w:rPr>
          <w:rFonts w:ascii="Palatino Linotype" w:hAnsi="Palatino Linotype"/>
          <w:sz w:val="22"/>
          <w:szCs w:val="22"/>
        </w:rPr>
      </w:pPr>
    </w:p>
    <w:p w:rsidR="00A94D80" w:rsidRDefault="00A94D80" w:rsidP="00A94D80">
      <w:pPr>
        <w:spacing w:line="360" w:lineRule="auto"/>
        <w:jc w:val="both"/>
        <w:rPr>
          <w:rFonts w:ascii="Palatino Linotype" w:hAnsi="Palatino Linotype"/>
          <w:b/>
          <w:bCs/>
          <w:i/>
          <w:iCs/>
          <w:sz w:val="22"/>
          <w:szCs w:val="22"/>
        </w:rPr>
      </w:pPr>
      <w:r>
        <w:rPr>
          <w:rFonts w:ascii="Palatino Linotype" w:hAnsi="Palatino Linotype"/>
          <w:b/>
          <w:bCs/>
          <w:i/>
          <w:iCs/>
          <w:noProof/>
          <w:sz w:val="22"/>
          <w:szCs w:val="22"/>
        </w:rPr>
        <w:drawing>
          <wp:inline distT="0" distB="0" distL="0" distR="0" wp14:anchorId="1142FB19" wp14:editId="51A7A1EF">
            <wp:extent cx="5553710" cy="3078480"/>
            <wp:effectExtent l="0" t="0" r="889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94D80" w:rsidRDefault="00A94D80" w:rsidP="00A94D80">
      <w:pPr>
        <w:spacing w:line="360" w:lineRule="auto"/>
        <w:jc w:val="both"/>
        <w:rPr>
          <w:rFonts w:ascii="Palatino Linotype" w:hAnsi="Palatino Linotype"/>
          <w:b/>
          <w:bCs/>
          <w:i/>
          <w:iCs/>
          <w:sz w:val="22"/>
          <w:szCs w:val="22"/>
        </w:rPr>
      </w:pPr>
    </w:p>
    <w:p w:rsidR="00A94D80" w:rsidRPr="00A73DDF" w:rsidRDefault="00A94D80" w:rsidP="00A94D80">
      <w:pPr>
        <w:spacing w:line="360" w:lineRule="auto"/>
        <w:jc w:val="both"/>
        <w:rPr>
          <w:rFonts w:ascii="Palatino Linotype" w:hAnsi="Palatino Linotype"/>
          <w:b/>
          <w:bCs/>
          <w:i/>
          <w:iCs/>
          <w:sz w:val="22"/>
          <w:szCs w:val="22"/>
        </w:rPr>
      </w:pP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 xml:space="preserve">Suppl. Fig. 2 </w:t>
      </w:r>
      <w:r w:rsidRPr="00A73DDF">
        <w:rPr>
          <w:rFonts w:ascii="Palatino Linotype" w:hAnsi="Palatino Linotype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Leakage of plasma fibrinogen into the brain parenchyma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 xml:space="preserve"> in Col18a1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  <w:vertAlign w:val="superscript"/>
        </w:rPr>
        <w:t xml:space="preserve">-/- </w:t>
      </w:r>
      <w:r w:rsidRPr="00A73DDF">
        <w:rPr>
          <w:rFonts w:ascii="Palatino Linotype" w:hAnsi="Palatino Linotype"/>
          <w:b/>
          <w:bCs/>
          <w:i/>
          <w:iCs/>
          <w:sz w:val="22"/>
          <w:szCs w:val="22"/>
        </w:rPr>
        <w:t>mice.</w:t>
      </w:r>
    </w:p>
    <w:p w:rsidR="00A94D80" w:rsidRPr="00A73DDF" w:rsidRDefault="00A94D80" w:rsidP="00A94D80">
      <w:pPr>
        <w:spacing w:line="360" w:lineRule="auto"/>
        <w:jc w:val="both"/>
        <w:rPr>
          <w:rFonts w:ascii="Palatino Linotype" w:hAnsi="Palatino Linotype"/>
          <w:bCs/>
          <w:sz w:val="22"/>
          <w:szCs w:val="22"/>
        </w:rPr>
      </w:pPr>
      <w:r w:rsidRPr="00A73DDF">
        <w:rPr>
          <w:rFonts w:ascii="Palatino Linotype" w:hAnsi="Palatino Linotype"/>
          <w:sz w:val="22"/>
          <w:szCs w:val="22"/>
        </w:rPr>
        <w:t xml:space="preserve">Representative 40x image of </w:t>
      </w:r>
      <w:r w:rsidRPr="00A73DDF">
        <w:rPr>
          <w:rFonts w:ascii="Palatino Linotype" w:eastAsia="Calibri" w:hAnsi="Palatino Linotype" w:cs="Arial"/>
          <w:sz w:val="22"/>
          <w:szCs w:val="22"/>
        </w:rPr>
        <w:t xml:space="preserve">the </w:t>
      </w:r>
      <w:r w:rsidRPr="00A73DDF">
        <w:rPr>
          <w:rFonts w:ascii="Palatino Linotype" w:hAnsi="Palatino Linotype"/>
          <w:sz w:val="22"/>
          <w:szCs w:val="22"/>
        </w:rPr>
        <w:t xml:space="preserve">RSC of 12-month-old </w:t>
      </w:r>
      <w:r w:rsidRPr="00A73DDF">
        <w:rPr>
          <w:rFonts w:ascii="Palatino Linotype" w:hAnsi="Palatino Linotype"/>
          <w:i/>
          <w:iCs/>
          <w:sz w:val="22"/>
          <w:szCs w:val="22"/>
        </w:rPr>
        <w:t>Col18a1</w:t>
      </w:r>
      <w:r w:rsidRPr="00A73DDF">
        <w:rPr>
          <w:rFonts w:ascii="Palatino Linotype" w:hAnsi="Palatino Linotype"/>
          <w:i/>
          <w:iCs/>
          <w:sz w:val="22"/>
          <w:szCs w:val="22"/>
          <w:vertAlign w:val="superscript"/>
        </w:rPr>
        <w:t>-/-</w:t>
      </w:r>
      <w:r w:rsidRPr="00A73DDF">
        <w:rPr>
          <w:rFonts w:ascii="Palatino Linotype" w:hAnsi="Palatino Linotype"/>
          <w:iCs/>
          <w:sz w:val="22"/>
          <w:szCs w:val="22"/>
        </w:rPr>
        <w:t>and</w:t>
      </w:r>
      <w:r w:rsidRPr="00A73DDF">
        <w:rPr>
          <w:rFonts w:ascii="Palatino Linotype" w:hAnsi="Palatino Linotype"/>
          <w:b/>
          <w:bCs/>
          <w:iCs/>
          <w:sz w:val="22"/>
          <w:szCs w:val="22"/>
        </w:rPr>
        <w:t xml:space="preserve"> </w:t>
      </w:r>
      <w:r w:rsidRPr="00A73DDF">
        <w:rPr>
          <w:rFonts w:ascii="Palatino Linotype" w:hAnsi="Palatino Linotype"/>
          <w:bCs/>
          <w:i/>
          <w:iCs/>
          <w:sz w:val="22"/>
          <w:szCs w:val="22"/>
        </w:rPr>
        <w:t>Col18a1</w:t>
      </w:r>
      <w:r w:rsidRPr="00A73DDF">
        <w:rPr>
          <w:rFonts w:ascii="Palatino Linotype" w:hAnsi="Palatino Linotype"/>
          <w:bCs/>
          <w:i/>
          <w:iCs/>
          <w:sz w:val="22"/>
          <w:szCs w:val="22"/>
          <w:vertAlign w:val="superscript"/>
        </w:rPr>
        <w:t>+/+</w:t>
      </w:r>
      <w:r w:rsidRPr="00A73DDF">
        <w:rPr>
          <w:rFonts w:ascii="Palatino Linotype" w:hAnsi="Palatino Linotype"/>
          <w:bCs/>
          <w:iCs/>
          <w:sz w:val="22"/>
          <w:szCs w:val="22"/>
          <w:vertAlign w:val="superscript"/>
        </w:rPr>
        <w:t xml:space="preserve"> </w:t>
      </w:r>
      <w:r w:rsidRPr="00A73DDF">
        <w:rPr>
          <w:rFonts w:ascii="Palatino Linotype" w:hAnsi="Palatino Linotype"/>
          <w:bCs/>
          <w:sz w:val="22"/>
          <w:szCs w:val="22"/>
        </w:rPr>
        <w:t xml:space="preserve">mice stained with antibodies </w:t>
      </w:r>
      <w:r w:rsidRPr="00A73DDF">
        <w:rPr>
          <w:rFonts w:ascii="Palatino Linotype" w:eastAsia="Calibri" w:hAnsi="Palatino Linotype" w:cs="Arial"/>
          <w:bCs/>
          <w:sz w:val="22"/>
          <w:szCs w:val="22"/>
        </w:rPr>
        <w:t>against</w:t>
      </w:r>
      <w:r w:rsidRPr="00A73DDF">
        <w:rPr>
          <w:rFonts w:ascii="Palatino Linotype" w:hAnsi="Palatino Linotype"/>
          <w:bCs/>
          <w:sz w:val="22"/>
          <w:szCs w:val="22"/>
        </w:rPr>
        <w:t xml:space="preserve"> mouse IgG, fibrinogen and STL-FITC. Visualization of IgG (red), fibrinogen (magenta) and blood vessels (STL-FITC, green) within the RSC area indicates significant colocalization between these three markers in </w:t>
      </w:r>
      <w:r w:rsidRPr="00A73DDF">
        <w:rPr>
          <w:rFonts w:ascii="Palatino Linotype" w:hAnsi="Palatino Linotype"/>
          <w:i/>
          <w:iCs/>
          <w:sz w:val="22"/>
          <w:szCs w:val="22"/>
        </w:rPr>
        <w:t>Col18a1</w:t>
      </w:r>
      <w:r w:rsidRPr="00A73DDF">
        <w:rPr>
          <w:rFonts w:ascii="Palatino Linotype" w:hAnsi="Palatino Linotype"/>
          <w:i/>
          <w:iCs/>
          <w:sz w:val="22"/>
          <w:szCs w:val="22"/>
          <w:vertAlign w:val="superscript"/>
        </w:rPr>
        <w:t>-/-</w:t>
      </w:r>
      <w:r w:rsidRPr="00A73DDF">
        <w:rPr>
          <w:rFonts w:ascii="Palatino Linotype" w:hAnsi="Palatino Linotype"/>
          <w:sz w:val="22"/>
          <w:szCs w:val="22"/>
        </w:rPr>
        <w:t xml:space="preserve"> mice. IgG, </w:t>
      </w:r>
      <w:r w:rsidRPr="00A73DDF">
        <w:rPr>
          <w:rFonts w:ascii="Palatino Linotype" w:eastAsia="Calibri" w:hAnsi="Palatino Linotype" w:cs="Arial"/>
          <w:sz w:val="22"/>
          <w:szCs w:val="22"/>
        </w:rPr>
        <w:t>immunoglobulin</w:t>
      </w:r>
      <w:r w:rsidRPr="00A73DDF">
        <w:rPr>
          <w:rFonts w:ascii="Palatino Linotype" w:hAnsi="Palatino Linotype"/>
          <w:sz w:val="22"/>
          <w:szCs w:val="22"/>
        </w:rPr>
        <w:t xml:space="preserve"> G; RSC, </w:t>
      </w:r>
      <w:proofErr w:type="spellStart"/>
      <w:r w:rsidRPr="00A73DDF">
        <w:rPr>
          <w:rFonts w:ascii="Palatino Linotype" w:hAnsi="Palatino Linotype"/>
          <w:sz w:val="22"/>
          <w:szCs w:val="22"/>
        </w:rPr>
        <w:t>retrosplenial</w:t>
      </w:r>
      <w:proofErr w:type="spellEnd"/>
      <w:r w:rsidRPr="00A73DDF">
        <w:rPr>
          <w:rFonts w:ascii="Palatino Linotype" w:hAnsi="Palatino Linotype"/>
          <w:sz w:val="22"/>
          <w:szCs w:val="22"/>
        </w:rPr>
        <w:t xml:space="preserve"> cortex; STL, </w:t>
      </w:r>
      <w:r w:rsidRPr="00A73DDF">
        <w:rPr>
          <w:rFonts w:ascii="Palatino Linotype" w:hAnsi="Palatino Linotype"/>
          <w:i/>
          <w:sz w:val="22"/>
          <w:szCs w:val="22"/>
        </w:rPr>
        <w:t>Solanum tuberosum lectin</w:t>
      </w:r>
      <w:r w:rsidRPr="00A73DDF">
        <w:rPr>
          <w:rFonts w:ascii="Palatino Linotype" w:hAnsi="Palatino Linotype"/>
          <w:bCs/>
          <w:sz w:val="22"/>
          <w:szCs w:val="22"/>
        </w:rPr>
        <w:t>- fluorescein isothiocyanate (endothelial marker).</w:t>
      </w:r>
      <w:r w:rsidRPr="00A73DDF">
        <w:rPr>
          <w:rFonts w:ascii="Palatino Linotype" w:eastAsia="Calibri" w:hAnsi="Palatino Linotype" w:cs="Arial"/>
          <w:bCs/>
          <w:sz w:val="22"/>
          <w:szCs w:val="22"/>
        </w:rPr>
        <w:t xml:space="preserve"> </w:t>
      </w:r>
      <w:r w:rsidRPr="00A73DDF">
        <w:rPr>
          <w:rFonts w:ascii="Palatino Linotype" w:hAnsi="Palatino Linotype"/>
          <w:bCs/>
          <w:sz w:val="22"/>
          <w:szCs w:val="22"/>
        </w:rPr>
        <w:t>Scale bars = 20 µm.</w:t>
      </w:r>
    </w:p>
    <w:p w:rsidR="00A94D80" w:rsidRPr="00A73DDF" w:rsidRDefault="00A94D80" w:rsidP="00A94D80">
      <w:pPr>
        <w:rPr>
          <w:sz w:val="22"/>
          <w:szCs w:val="22"/>
        </w:rPr>
      </w:pPr>
    </w:p>
    <w:p w:rsidR="00AD3DF4" w:rsidRDefault="00AD3DF4"/>
    <w:sectPr w:rsidR="00AD3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D80"/>
    <w:rsid w:val="002E1990"/>
    <w:rsid w:val="00A94D80"/>
    <w:rsid w:val="00AD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38815E-1EC4-4FC2-ACB6-6E4F1F53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94D8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alexander.dityatev</dc:creator>
  <cp:keywords/>
  <dc:description/>
  <cp:lastModifiedBy>alexander.dityatev</cp:lastModifiedBy>
  <cp:revision>2</cp:revision>
  <dcterms:created xsi:type="dcterms:W3CDTF">2022-08-29T10:25:00Z</dcterms:created>
  <dcterms:modified xsi:type="dcterms:W3CDTF">2022-08-29T10:26:00Z</dcterms:modified>
</cp:coreProperties>
</file>