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9B125" w14:textId="77777777" w:rsidR="00AA1D5D" w:rsidRPr="00AE0C21" w:rsidRDefault="00AA1D5D" w:rsidP="00AA1D5D">
      <w:pPr>
        <w:spacing w:before="240" w:after="240" w:line="360" w:lineRule="auto"/>
        <w:ind w:left="123" w:right="205" w:firstLine="2"/>
        <w:jc w:val="both"/>
        <w:rPr>
          <w:rFonts w:ascii="Times New Roman" w:hAnsi="Times New Roman" w:cs="Times New Roman"/>
          <w:sz w:val="32"/>
          <w:szCs w:val="32"/>
        </w:rPr>
      </w:pPr>
      <w:r w:rsidRPr="00AE0C21">
        <w:rPr>
          <w:rFonts w:ascii="Times New Roman" w:hAnsi="Times New Roman" w:cs="Times New Roman"/>
          <w:sz w:val="32"/>
          <w:szCs w:val="32"/>
        </w:rPr>
        <w:t xml:space="preserve">Evaluation of interactions between the hepatitis C virus NS3/4A and </w:t>
      </w:r>
      <w:proofErr w:type="spellStart"/>
      <w:r w:rsidRPr="00AE0C21">
        <w:rPr>
          <w:rFonts w:ascii="Times New Roman" w:hAnsi="Times New Roman" w:cs="Times New Roman"/>
          <w:sz w:val="32"/>
          <w:szCs w:val="32"/>
        </w:rPr>
        <w:t>sulfonamidobenzamide</w:t>
      </w:r>
      <w:proofErr w:type="spellEnd"/>
      <w:r w:rsidRPr="00AE0C21">
        <w:rPr>
          <w:rFonts w:ascii="Times New Roman" w:hAnsi="Times New Roman" w:cs="Times New Roman"/>
          <w:sz w:val="32"/>
          <w:szCs w:val="32"/>
        </w:rPr>
        <w:t xml:space="preserve"> based molecules using</w:t>
      </w:r>
      <w:r w:rsidRPr="00AE0C21">
        <w:rPr>
          <w:rFonts w:ascii="Times New Roman" w:hAnsi="Times New Roman" w:cs="Times New Roman"/>
          <w:spacing w:val="-9"/>
          <w:sz w:val="32"/>
          <w:szCs w:val="32"/>
        </w:rPr>
        <w:t xml:space="preserve"> </w:t>
      </w:r>
      <w:r w:rsidRPr="00AE0C21">
        <w:rPr>
          <w:rFonts w:ascii="Times New Roman" w:hAnsi="Times New Roman" w:cs="Times New Roman"/>
          <w:sz w:val="32"/>
          <w:szCs w:val="32"/>
        </w:rPr>
        <w:t>molecular</w:t>
      </w:r>
      <w:r w:rsidRPr="00AE0C21">
        <w:rPr>
          <w:rFonts w:ascii="Times New Roman" w:hAnsi="Times New Roman" w:cs="Times New Roman"/>
          <w:spacing w:val="-9"/>
          <w:sz w:val="32"/>
          <w:szCs w:val="32"/>
        </w:rPr>
        <w:t xml:space="preserve"> </w:t>
      </w:r>
      <w:r w:rsidRPr="00AE0C21">
        <w:rPr>
          <w:rFonts w:ascii="Times New Roman" w:hAnsi="Times New Roman" w:cs="Times New Roman"/>
          <w:sz w:val="32"/>
          <w:szCs w:val="32"/>
        </w:rPr>
        <w:t>docking,</w:t>
      </w:r>
      <w:r w:rsidRPr="00AE0C21">
        <w:rPr>
          <w:rFonts w:ascii="Times New Roman" w:hAnsi="Times New Roman" w:cs="Times New Roman"/>
          <w:spacing w:val="-9"/>
          <w:sz w:val="32"/>
          <w:szCs w:val="32"/>
        </w:rPr>
        <w:t xml:space="preserve"> </w:t>
      </w:r>
      <w:r w:rsidRPr="00AE0C21">
        <w:rPr>
          <w:rFonts w:ascii="Times New Roman" w:hAnsi="Times New Roman" w:cs="Times New Roman"/>
          <w:sz w:val="32"/>
          <w:szCs w:val="32"/>
        </w:rPr>
        <w:t>molecular</w:t>
      </w:r>
      <w:r w:rsidRPr="00AE0C21">
        <w:rPr>
          <w:rFonts w:ascii="Times New Roman" w:hAnsi="Times New Roman" w:cs="Times New Roman"/>
          <w:spacing w:val="-9"/>
          <w:sz w:val="32"/>
          <w:szCs w:val="32"/>
        </w:rPr>
        <w:t xml:space="preserve"> </w:t>
      </w:r>
      <w:r w:rsidRPr="00AE0C21">
        <w:rPr>
          <w:rFonts w:ascii="Times New Roman" w:hAnsi="Times New Roman" w:cs="Times New Roman"/>
          <w:sz w:val="32"/>
          <w:szCs w:val="32"/>
        </w:rPr>
        <w:t>dynamics</w:t>
      </w:r>
      <w:r w:rsidRPr="00AE0C21">
        <w:rPr>
          <w:rFonts w:ascii="Times New Roman" w:hAnsi="Times New Roman" w:cs="Times New Roman"/>
          <w:spacing w:val="-8"/>
          <w:sz w:val="32"/>
          <w:szCs w:val="32"/>
        </w:rPr>
        <w:t xml:space="preserve"> </w:t>
      </w:r>
      <w:r w:rsidRPr="00AE0C21">
        <w:rPr>
          <w:rFonts w:ascii="Times New Roman" w:hAnsi="Times New Roman" w:cs="Times New Roman"/>
          <w:sz w:val="32"/>
          <w:szCs w:val="32"/>
        </w:rPr>
        <w:t>simulations and binding free energy calculations</w:t>
      </w:r>
    </w:p>
    <w:p w14:paraId="6BFDB56D" w14:textId="77777777" w:rsidR="00AA1D5D" w:rsidRPr="00AE0C21" w:rsidRDefault="00AA1D5D" w:rsidP="00AA1D5D">
      <w:pPr>
        <w:spacing w:before="240" w:after="240" w:line="360" w:lineRule="auto"/>
        <w:ind w:left="10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AE0C21">
        <w:rPr>
          <w:rFonts w:ascii="Times New Roman" w:hAnsi="Times New Roman" w:cs="Times New Roman"/>
          <w:sz w:val="20"/>
          <w:szCs w:val="20"/>
        </w:rPr>
        <w:t>Jinhong</w:t>
      </w:r>
      <w:proofErr w:type="spellEnd"/>
      <w:r w:rsidRPr="00AE0C21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Ren</w:t>
      </w:r>
      <w:r w:rsidRPr="00AE0C21">
        <w:rPr>
          <w:rFonts w:ascii="Times New Roman" w:hAnsi="Times New Roman" w:cs="Times New Roman"/>
          <w:sz w:val="20"/>
          <w:szCs w:val="20"/>
          <w:vertAlign w:val="superscript"/>
        </w:rPr>
        <w:t>a,</w:t>
      </w:r>
      <w:r w:rsidRPr="00AE0C21">
        <w:rPr>
          <w:rFonts w:ascii="Times New Roman" w:hAnsi="Times New Roman" w:cs="Times New Roman"/>
          <w:sz w:val="20"/>
          <w:szCs w:val="20"/>
          <w:vertAlign w:val="superscript"/>
        </w:rPr>
        <w:sym w:font="Symbol" w:char="F0AD"/>
      </w:r>
      <w:r w:rsidRPr="00AE0C21">
        <w:rPr>
          <w:rFonts w:ascii="Times New Roman" w:hAnsi="Times New Roman" w:cs="Times New Roman"/>
          <w:sz w:val="20"/>
          <w:szCs w:val="20"/>
        </w:rPr>
        <w:t>,</w:t>
      </w:r>
      <w:r w:rsidRPr="00AE0C21">
        <w:rPr>
          <w:rFonts w:ascii="Times New Roman" w:hAnsi="Times New Roman" w:cs="Times New Roman"/>
          <w:spacing w:val="-2"/>
          <w:sz w:val="20"/>
          <w:szCs w:val="20"/>
        </w:rPr>
        <w:t xml:space="preserve"> Tasneem M. Vaid</w:t>
      </w:r>
      <w:r w:rsidRPr="00AE0C21">
        <w:rPr>
          <w:rFonts w:ascii="Times New Roman" w:hAnsi="Times New Roman" w:cs="Times New Roman"/>
          <w:spacing w:val="-2"/>
          <w:sz w:val="20"/>
          <w:szCs w:val="20"/>
          <w:vertAlign w:val="superscript"/>
        </w:rPr>
        <w:t>a,</w:t>
      </w:r>
      <w:r w:rsidRPr="00AE0C21">
        <w:rPr>
          <w:rFonts w:ascii="Times New Roman" w:hAnsi="Times New Roman" w:cs="Times New Roman"/>
          <w:sz w:val="20"/>
          <w:szCs w:val="20"/>
          <w:vertAlign w:val="superscript"/>
        </w:rPr>
        <w:sym w:font="Symbol" w:char="F0AD"/>
      </w:r>
      <w:r w:rsidRPr="00AE0C21">
        <w:rPr>
          <w:rFonts w:ascii="Times New Roman" w:hAnsi="Times New Roman" w:cs="Times New Roman"/>
          <w:spacing w:val="-2"/>
          <w:sz w:val="20"/>
          <w:szCs w:val="20"/>
        </w:rPr>
        <w:t xml:space="preserve">, </w:t>
      </w:r>
      <w:r w:rsidRPr="00AE0C21">
        <w:rPr>
          <w:rFonts w:ascii="Times New Roman" w:hAnsi="Times New Roman" w:cs="Times New Roman"/>
          <w:sz w:val="20"/>
          <w:szCs w:val="20"/>
        </w:rPr>
        <w:t>Hyun</w:t>
      </w:r>
      <w:r w:rsidRPr="00AE0C21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proofErr w:type="gramStart"/>
      <w:r w:rsidRPr="00AE0C21">
        <w:rPr>
          <w:rFonts w:ascii="Times New Roman" w:hAnsi="Times New Roman" w:cs="Times New Roman"/>
          <w:sz w:val="20"/>
          <w:szCs w:val="20"/>
        </w:rPr>
        <w:t>Lee</w:t>
      </w:r>
      <w:r w:rsidRPr="00AE0C21">
        <w:rPr>
          <w:rFonts w:ascii="Times New Roman" w:hAnsi="Times New Roman" w:cs="Times New Roman"/>
          <w:sz w:val="20"/>
          <w:szCs w:val="20"/>
          <w:vertAlign w:val="superscript"/>
        </w:rPr>
        <w:t>a,b</w:t>
      </w:r>
      <w:proofErr w:type="spellEnd"/>
      <w:proofErr w:type="gramEnd"/>
      <w:r w:rsidRPr="00AE0C21">
        <w:rPr>
          <w:rFonts w:ascii="Times New Roman" w:hAnsi="Times New Roman" w:cs="Times New Roman"/>
          <w:sz w:val="20"/>
          <w:szCs w:val="20"/>
        </w:rPr>
        <w:t>,</w:t>
      </w:r>
      <w:r w:rsidRPr="00AE0C21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Isabel</w:t>
      </w:r>
      <w:r w:rsidRPr="00AE0C21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Ojeda</w:t>
      </w:r>
      <w:r w:rsidRPr="00AE0C21">
        <w:rPr>
          <w:rFonts w:ascii="Times New Roman" w:hAnsi="Times New Roman" w:cs="Times New Roman"/>
          <w:spacing w:val="-23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AE0C21">
        <w:rPr>
          <w:rFonts w:ascii="Times New Roman" w:hAnsi="Times New Roman" w:cs="Times New Roman"/>
          <w:sz w:val="20"/>
          <w:szCs w:val="20"/>
        </w:rPr>
        <w:t>,</w:t>
      </w:r>
      <w:r w:rsidRPr="00AE0C21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and</w:t>
      </w:r>
      <w:r w:rsidRPr="00AE0C21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Michael</w:t>
      </w:r>
      <w:r w:rsidRPr="00AE0C21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E.</w:t>
      </w:r>
      <w:r w:rsidRPr="00AE0C21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 w:rsidRPr="00AE0C21">
        <w:rPr>
          <w:rFonts w:ascii="Times New Roman" w:hAnsi="Times New Roman" w:cs="Times New Roman"/>
          <w:spacing w:val="-2"/>
          <w:sz w:val="20"/>
          <w:szCs w:val="20"/>
        </w:rPr>
        <w:t>Johnson</w:t>
      </w:r>
      <w:r w:rsidRPr="00AE0C21">
        <w:rPr>
          <w:rFonts w:ascii="Times New Roman" w:hAnsi="Times New Roman" w:cs="Times New Roman"/>
          <w:spacing w:val="-2"/>
          <w:sz w:val="20"/>
          <w:szCs w:val="20"/>
          <w:vertAlign w:val="superscript"/>
        </w:rPr>
        <w:t>a</w:t>
      </w:r>
      <w:proofErr w:type="spellEnd"/>
      <w:r w:rsidRPr="00AE0C21">
        <w:rPr>
          <w:rFonts w:ascii="Times New Roman" w:hAnsi="Times New Roman" w:cs="Times New Roman"/>
          <w:spacing w:val="-2"/>
          <w:sz w:val="20"/>
          <w:szCs w:val="20"/>
          <w:vertAlign w:val="superscript"/>
        </w:rPr>
        <w:t>,*</w:t>
      </w:r>
    </w:p>
    <w:p w14:paraId="7F260065" w14:textId="77777777" w:rsidR="00AA1D5D" w:rsidRPr="00AE0C21" w:rsidRDefault="00AA1D5D" w:rsidP="00AA1D5D">
      <w:pPr>
        <w:pStyle w:val="BodyText"/>
        <w:spacing w:before="240" w:after="240" w:line="36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14:paraId="6FEA0ECF" w14:textId="77777777" w:rsidR="00AA1D5D" w:rsidRPr="00AE0C21" w:rsidRDefault="00AA1D5D" w:rsidP="00AA1D5D">
      <w:pPr>
        <w:spacing w:before="240" w:after="240" w:line="360" w:lineRule="auto"/>
        <w:ind w:left="100"/>
        <w:jc w:val="both"/>
        <w:rPr>
          <w:rFonts w:ascii="Times New Roman" w:hAnsi="Times New Roman" w:cs="Times New Roman"/>
          <w:sz w:val="20"/>
          <w:szCs w:val="20"/>
        </w:rPr>
      </w:pPr>
      <w:r w:rsidRPr="00AE0C21">
        <w:rPr>
          <w:rFonts w:ascii="Times New Roman" w:hAnsi="Times New Roman" w:cs="Times New Roman"/>
          <w:position w:val="6"/>
          <w:sz w:val="20"/>
          <w:szCs w:val="20"/>
        </w:rPr>
        <w:t>a</w:t>
      </w:r>
      <w:r w:rsidRPr="00AE0C21">
        <w:rPr>
          <w:rFonts w:ascii="Times New Roman" w:hAnsi="Times New Roman" w:cs="Times New Roman"/>
          <w:spacing w:val="10"/>
          <w:position w:val="6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Center</w:t>
      </w:r>
      <w:r w:rsidRPr="00AE0C21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for</w:t>
      </w:r>
      <w:r w:rsidRPr="00AE0C21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Biomolecular</w:t>
      </w:r>
      <w:r w:rsidRPr="00AE0C21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Sciences and Department of Pharmaceutical Sciences,</w:t>
      </w:r>
      <w:r w:rsidRPr="00AE0C21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University</w:t>
      </w:r>
      <w:r w:rsidRPr="00AE0C21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of</w:t>
      </w:r>
      <w:r w:rsidRPr="00AE0C21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Illinois</w:t>
      </w:r>
      <w:r w:rsidRPr="00AE0C21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at</w:t>
      </w:r>
      <w:r w:rsidRPr="00AE0C21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Chicago,</w:t>
      </w:r>
      <w:r w:rsidRPr="00AE0C21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900</w:t>
      </w:r>
      <w:r w:rsidRPr="00AE0C21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S.</w:t>
      </w:r>
      <w:r w:rsidRPr="00AE0C21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Ashland</w:t>
      </w:r>
      <w:r w:rsidRPr="00AE0C21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Ave,</w:t>
      </w:r>
      <w:r w:rsidRPr="00AE0C21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Chicago,</w:t>
      </w:r>
      <w:r w:rsidRPr="00AE0C21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IL</w:t>
      </w:r>
      <w:r w:rsidRPr="00AE0C21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60607,</w:t>
      </w:r>
      <w:r w:rsidRPr="00AE0C21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pacing w:val="-5"/>
          <w:sz w:val="20"/>
          <w:szCs w:val="20"/>
        </w:rPr>
        <w:t>USA</w:t>
      </w:r>
    </w:p>
    <w:p w14:paraId="01471F9A" w14:textId="77777777" w:rsidR="00AA1D5D" w:rsidRPr="00AE0C21" w:rsidRDefault="00AA1D5D" w:rsidP="00AA1D5D">
      <w:pPr>
        <w:spacing w:before="240" w:after="240" w:line="360" w:lineRule="auto"/>
        <w:ind w:left="100"/>
        <w:jc w:val="both"/>
        <w:rPr>
          <w:rFonts w:ascii="Times New Roman" w:hAnsi="Times New Roman" w:cs="Times New Roman"/>
          <w:sz w:val="20"/>
          <w:szCs w:val="20"/>
        </w:rPr>
      </w:pPr>
      <w:r w:rsidRPr="00AE0C21">
        <w:rPr>
          <w:rFonts w:ascii="Times New Roman" w:hAnsi="Times New Roman" w:cs="Times New Roman"/>
          <w:position w:val="6"/>
          <w:sz w:val="20"/>
          <w:szCs w:val="20"/>
        </w:rPr>
        <w:t>b</w:t>
      </w:r>
      <w:r w:rsidRPr="00AE0C21">
        <w:rPr>
          <w:rFonts w:ascii="Times New Roman" w:hAnsi="Times New Roman" w:cs="Times New Roman"/>
          <w:spacing w:val="14"/>
          <w:position w:val="6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Biophysics</w:t>
      </w:r>
      <w:r w:rsidRPr="00AE0C21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Core</w:t>
      </w:r>
      <w:r w:rsidRPr="00AE0C21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at</w:t>
      </w:r>
      <w:r w:rsidRPr="00AE0C21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Research Resource</w:t>
      </w:r>
      <w:r w:rsidRPr="00AE0C21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Center,</w:t>
      </w:r>
      <w:r w:rsidRPr="00AE0C21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University</w:t>
      </w:r>
      <w:r w:rsidRPr="00AE0C21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of</w:t>
      </w:r>
      <w:r w:rsidRPr="00AE0C21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Illinois at</w:t>
      </w:r>
      <w:r w:rsidRPr="00AE0C21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Chicago,</w:t>
      </w:r>
      <w:r w:rsidRPr="00AE0C21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 w:cs="Times New Roman"/>
          <w:spacing w:val="-2"/>
          <w:sz w:val="20"/>
          <w:szCs w:val="20"/>
        </w:rPr>
        <w:t xml:space="preserve">1100 S. Ashland Ave, </w:t>
      </w:r>
      <w:r w:rsidRPr="00AE0C21">
        <w:rPr>
          <w:rFonts w:ascii="Times New Roman" w:hAnsi="Times New Roman" w:cs="Times New Roman"/>
          <w:sz w:val="20"/>
          <w:szCs w:val="20"/>
        </w:rPr>
        <w:t>Chicago,</w:t>
      </w:r>
      <w:r w:rsidRPr="00AE0C21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IL,</w:t>
      </w:r>
      <w:r w:rsidRPr="00AE0C21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606</w:t>
      </w:r>
      <w:r>
        <w:rPr>
          <w:rFonts w:ascii="Times New Roman" w:hAnsi="Times New Roman" w:cs="Times New Roman"/>
          <w:sz w:val="20"/>
          <w:szCs w:val="20"/>
        </w:rPr>
        <w:t>07</w:t>
      </w:r>
      <w:r w:rsidRPr="00AE0C21">
        <w:rPr>
          <w:rFonts w:ascii="Times New Roman" w:hAnsi="Times New Roman" w:cs="Times New Roman"/>
          <w:sz w:val="20"/>
          <w:szCs w:val="20"/>
        </w:rPr>
        <w:t xml:space="preserve">, </w:t>
      </w:r>
      <w:r w:rsidRPr="00AE0C21">
        <w:rPr>
          <w:rFonts w:ascii="Times New Roman" w:hAnsi="Times New Roman" w:cs="Times New Roman"/>
          <w:spacing w:val="-5"/>
          <w:sz w:val="20"/>
          <w:szCs w:val="20"/>
        </w:rPr>
        <w:t>USA</w:t>
      </w:r>
    </w:p>
    <w:p w14:paraId="209408ED" w14:textId="77777777" w:rsidR="00AA1D5D" w:rsidRPr="00AE0C21" w:rsidRDefault="00AA1D5D" w:rsidP="00AA1D5D">
      <w:pPr>
        <w:spacing w:before="240" w:after="240" w:line="360" w:lineRule="auto"/>
        <w:ind w:left="100"/>
        <w:jc w:val="both"/>
        <w:rPr>
          <w:rFonts w:ascii="Times New Roman" w:hAnsi="Times New Roman" w:cs="Times New Roman"/>
          <w:sz w:val="20"/>
          <w:szCs w:val="20"/>
        </w:rPr>
      </w:pPr>
      <w:r w:rsidRPr="00AE0C21">
        <w:rPr>
          <w:rFonts w:ascii="Times New Roman" w:hAnsi="Times New Roman" w:cs="Times New Roman"/>
          <w:sz w:val="20"/>
          <w:szCs w:val="20"/>
          <w:vertAlign w:val="superscript"/>
        </w:rPr>
        <w:sym w:font="Symbol" w:char="F0AD"/>
      </w:r>
      <w:r w:rsidRPr="00AE0C21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Authors providing equal contributions.</w:t>
      </w:r>
    </w:p>
    <w:p w14:paraId="07FCC7D8" w14:textId="77777777" w:rsidR="00AA1D5D" w:rsidRDefault="00AA1D5D" w:rsidP="00AA1D5D">
      <w:pPr>
        <w:spacing w:before="240" w:after="240" w:line="360" w:lineRule="auto"/>
        <w:ind w:left="100"/>
        <w:jc w:val="both"/>
        <w:rPr>
          <w:rFonts w:ascii="Times New Roman" w:hAnsi="Times New Roman" w:cs="Times New Roman"/>
          <w:spacing w:val="-2"/>
          <w:sz w:val="20"/>
          <w:szCs w:val="20"/>
        </w:rPr>
      </w:pPr>
      <w:r w:rsidRPr="00AE0C21">
        <w:rPr>
          <w:rFonts w:ascii="Times New Roman" w:hAnsi="Times New Roman" w:cs="Times New Roman"/>
          <w:sz w:val="20"/>
          <w:szCs w:val="20"/>
        </w:rPr>
        <w:t>*Corresponding</w:t>
      </w:r>
      <w:r w:rsidRPr="00AE0C21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pacing w:val="-2"/>
          <w:sz w:val="20"/>
          <w:szCs w:val="20"/>
        </w:rPr>
        <w:t>author.</w:t>
      </w:r>
      <w:r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</w:p>
    <w:p w14:paraId="078B5FA5" w14:textId="7968EAC2" w:rsidR="00AA1D5D" w:rsidRDefault="00AA1D5D" w:rsidP="00AA1D5D">
      <w:pPr>
        <w:spacing w:before="240" w:after="240" w:line="360" w:lineRule="auto"/>
        <w:ind w:left="100"/>
        <w:jc w:val="both"/>
        <w:rPr>
          <w:rFonts w:ascii="Times New Roman" w:hAnsi="Times New Roman" w:cs="Times New Roman"/>
          <w:spacing w:val="-2"/>
          <w:sz w:val="20"/>
          <w:szCs w:val="20"/>
        </w:rPr>
      </w:pPr>
      <w:r w:rsidRPr="00AE0C21">
        <w:rPr>
          <w:rFonts w:ascii="Times New Roman" w:hAnsi="Times New Roman" w:cs="Times New Roman"/>
          <w:sz w:val="20"/>
          <w:szCs w:val="20"/>
        </w:rPr>
        <w:t>Email</w:t>
      </w:r>
      <w:r w:rsidRPr="00AE0C21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address:</w:t>
      </w:r>
      <w:r w:rsidRPr="00AE0C21">
        <w:rPr>
          <w:rFonts w:ascii="Times New Roman" w:hAnsi="Times New Roman" w:cs="Times New Roman"/>
          <w:spacing w:val="40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Michael</w:t>
      </w:r>
      <w:r w:rsidRPr="00AE0C21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E.</w:t>
      </w:r>
      <w:r w:rsidRPr="00AE0C21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AE0C21">
        <w:rPr>
          <w:rFonts w:ascii="Times New Roman" w:hAnsi="Times New Roman" w:cs="Times New Roman"/>
          <w:sz w:val="20"/>
          <w:szCs w:val="20"/>
        </w:rPr>
        <w:t>Johnson:</w:t>
      </w:r>
      <w:r w:rsidRPr="00AE0C21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hyperlink r:id="rId4" w:history="1">
        <w:r w:rsidRPr="00ED27A6">
          <w:rPr>
            <w:rStyle w:val="Hyperlink"/>
            <w:rFonts w:ascii="Times New Roman" w:hAnsi="Times New Roman" w:cs="Times New Roman"/>
            <w:spacing w:val="-2"/>
            <w:sz w:val="20"/>
            <w:szCs w:val="20"/>
          </w:rPr>
          <w:t>mjohnson@uic.edu</w:t>
        </w:r>
      </w:hyperlink>
    </w:p>
    <w:p w14:paraId="71119FF5" w14:textId="19155E54" w:rsidR="00AA1D5D" w:rsidRDefault="00AA1D5D" w:rsidP="00AA1D5D">
      <w:pPr>
        <w:rPr>
          <w:rFonts w:ascii="Times New Roman" w:hAnsi="Times New Roman" w:cs="Times New Roman"/>
          <w:sz w:val="20"/>
          <w:szCs w:val="20"/>
        </w:rPr>
      </w:pPr>
      <w:r w:rsidRPr="00AE0C21">
        <w:rPr>
          <w:rFonts w:ascii="Times New Roman" w:hAnsi="Times New Roman" w:cs="Times New Roman"/>
          <w:sz w:val="20"/>
          <w:szCs w:val="20"/>
        </w:rPr>
        <w:t xml:space="preserve">ORCID: </w:t>
      </w:r>
      <w:proofErr w:type="spellStart"/>
      <w:r w:rsidRPr="00AE0C21">
        <w:rPr>
          <w:rFonts w:ascii="Times New Roman" w:hAnsi="Times New Roman" w:cs="Times New Roman"/>
          <w:sz w:val="20"/>
          <w:szCs w:val="20"/>
        </w:rPr>
        <w:t>Jinhong</w:t>
      </w:r>
      <w:proofErr w:type="spellEnd"/>
      <w:r w:rsidRPr="00AE0C21">
        <w:rPr>
          <w:rFonts w:ascii="Times New Roman" w:hAnsi="Times New Roman" w:cs="Times New Roman"/>
          <w:sz w:val="20"/>
          <w:szCs w:val="20"/>
        </w:rPr>
        <w:t xml:space="preserve"> Ren</w:t>
      </w:r>
      <w:r w:rsidRPr="00A37B91">
        <w:rPr>
          <w:rFonts w:ascii="Times New Roman" w:hAnsi="Times New Roman" w:cs="Times New Roman"/>
          <w:sz w:val="20"/>
          <w:szCs w:val="20"/>
        </w:rPr>
        <w:t xml:space="preserve">: </w:t>
      </w:r>
      <w:r w:rsidRPr="00970735">
        <w:rPr>
          <w:rFonts w:ascii="Times New Roman" w:hAnsi="Times New Roman" w:cs="Times New Roman"/>
          <w:sz w:val="20"/>
          <w:szCs w:val="20"/>
        </w:rPr>
        <w:t>0000-0003-0328-702X</w:t>
      </w:r>
      <w:r w:rsidRPr="00A37B91">
        <w:rPr>
          <w:rFonts w:ascii="Times New Roman" w:hAnsi="Times New Roman" w:cs="Times New Roman"/>
          <w:sz w:val="20"/>
          <w:szCs w:val="20"/>
        </w:rPr>
        <w:t xml:space="preserve">, </w:t>
      </w:r>
      <w:r w:rsidRPr="00AE0C21">
        <w:rPr>
          <w:rFonts w:ascii="Times New Roman" w:hAnsi="Times New Roman" w:cs="Times New Roman"/>
          <w:sz w:val="20"/>
          <w:szCs w:val="20"/>
        </w:rPr>
        <w:t>Tasneem M. Vaid: 0000-0001-9825-9026, H</w:t>
      </w:r>
      <w:r>
        <w:rPr>
          <w:rFonts w:ascii="Times New Roman" w:hAnsi="Times New Roman" w:cs="Times New Roman"/>
          <w:sz w:val="20"/>
          <w:szCs w:val="20"/>
        </w:rPr>
        <w:t>y</w:t>
      </w:r>
      <w:r w:rsidRPr="00AE0C21">
        <w:rPr>
          <w:rFonts w:ascii="Times New Roman" w:hAnsi="Times New Roman" w:cs="Times New Roman"/>
          <w:sz w:val="20"/>
          <w:szCs w:val="20"/>
        </w:rPr>
        <w:t>un Lee: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D1BCC">
        <w:rPr>
          <w:rFonts w:ascii="Times New Roman" w:hAnsi="Times New Roman" w:cs="Times New Roman"/>
          <w:sz w:val="20"/>
          <w:szCs w:val="20"/>
        </w:rPr>
        <w:t>0000-0003-2570-8120</w:t>
      </w:r>
      <w:r w:rsidRPr="00AE0C21">
        <w:rPr>
          <w:rFonts w:ascii="Times New Roman" w:hAnsi="Times New Roman" w:cs="Times New Roman"/>
          <w:sz w:val="20"/>
          <w:szCs w:val="20"/>
        </w:rPr>
        <w:t xml:space="preserve">, Isabel Ojeda: </w:t>
      </w:r>
      <w:r w:rsidRPr="00F42978">
        <w:rPr>
          <w:rFonts w:ascii="Times New Roman" w:hAnsi="Times New Roman" w:cs="Times New Roman"/>
          <w:sz w:val="20"/>
          <w:szCs w:val="20"/>
        </w:rPr>
        <w:t>0000-0002-1737-168X</w:t>
      </w:r>
      <w:r w:rsidRPr="00AE0C21">
        <w:rPr>
          <w:rFonts w:ascii="Times New Roman" w:hAnsi="Times New Roman" w:cs="Times New Roman"/>
          <w:sz w:val="20"/>
          <w:szCs w:val="20"/>
        </w:rPr>
        <w:t xml:space="preserve">, Michael E. Johnson: </w:t>
      </w:r>
      <w:r w:rsidRPr="00243BAE">
        <w:rPr>
          <w:rFonts w:ascii="Times New Roman" w:hAnsi="Times New Roman" w:cs="Times New Roman"/>
          <w:sz w:val="20"/>
          <w:szCs w:val="20"/>
        </w:rPr>
        <w:t>0000-0002-8246-4081</w:t>
      </w:r>
    </w:p>
    <w:p w14:paraId="4C326AC5" w14:textId="77777777" w:rsidR="00AA1D5D" w:rsidRPr="00970735" w:rsidRDefault="00AA1D5D" w:rsidP="00AA1D5D"/>
    <w:p w14:paraId="7C0D8C7E" w14:textId="77777777" w:rsidR="00C433A6" w:rsidRPr="001B6A6C" w:rsidRDefault="00C433A6" w:rsidP="001B6A6C">
      <w:pPr>
        <w:pStyle w:val="Default"/>
        <w:spacing w:line="480" w:lineRule="auto"/>
        <w:jc w:val="both"/>
        <w:rPr>
          <w:sz w:val="20"/>
          <w:szCs w:val="20"/>
        </w:rPr>
      </w:pPr>
    </w:p>
    <w:p w14:paraId="2ED3B642" w14:textId="77777777" w:rsidR="00C433A6" w:rsidRPr="001B6A6C" w:rsidRDefault="00C433A6" w:rsidP="00C433A6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 w:rsidRPr="001B6A6C">
        <w:rPr>
          <w:rFonts w:ascii="Times New Roman" w:hAnsi="Times New Roman" w:cs="Times New Roman"/>
          <w:noProof/>
          <w:sz w:val="20"/>
          <w:szCs w:val="20"/>
          <w:lang w:eastAsia="zh-CN"/>
        </w:rPr>
        <w:drawing>
          <wp:inline distT="0" distB="0" distL="0" distR="0" wp14:anchorId="428DC040" wp14:editId="3AD19CE9">
            <wp:extent cx="3707584" cy="2217420"/>
            <wp:effectExtent l="0" t="0" r="762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4A92-ITMN191redocking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5073" cy="222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3DED1" w14:textId="1209AAF5" w:rsidR="00C433A6" w:rsidRPr="001B6A6C" w:rsidRDefault="00C433A6" w:rsidP="00C433A6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A61CF">
        <w:rPr>
          <w:rFonts w:ascii="Times New Roman" w:hAnsi="Times New Roman" w:cs="Times New Roman"/>
          <w:bCs/>
          <w:sz w:val="20"/>
          <w:szCs w:val="20"/>
        </w:rPr>
        <w:t>Fig</w:t>
      </w:r>
      <w:r w:rsidR="00EA61CF" w:rsidRPr="00EA61CF">
        <w:rPr>
          <w:rFonts w:ascii="Times New Roman" w:hAnsi="Times New Roman" w:cs="Times New Roman"/>
          <w:bCs/>
          <w:sz w:val="20"/>
          <w:szCs w:val="20"/>
        </w:rPr>
        <w:t>ure</w:t>
      </w:r>
      <w:r w:rsidRPr="00EA61CF">
        <w:rPr>
          <w:rFonts w:ascii="Times New Roman" w:hAnsi="Times New Roman" w:cs="Times New Roman"/>
          <w:bCs/>
          <w:sz w:val="20"/>
          <w:szCs w:val="20"/>
        </w:rPr>
        <w:t xml:space="preserve"> S1</w:t>
      </w:r>
      <w:r w:rsidR="00EA61CF" w:rsidRPr="00EA61CF">
        <w:rPr>
          <w:rFonts w:ascii="Times New Roman" w:hAnsi="Times New Roman" w:cs="Times New Roman"/>
          <w:bCs/>
          <w:sz w:val="20"/>
          <w:szCs w:val="20"/>
        </w:rPr>
        <w:t>:</w:t>
      </w:r>
      <w:r w:rsidRPr="001B6A6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B6A6C">
        <w:rPr>
          <w:rFonts w:ascii="Times New Roman" w:hAnsi="Times New Roman" w:cs="Times New Roman"/>
          <w:sz w:val="20"/>
          <w:szCs w:val="20"/>
        </w:rPr>
        <w:t xml:space="preserve">Overlapping the docking pose (sky blue) of </w:t>
      </w:r>
      <w:r w:rsidR="007A1B72" w:rsidRPr="0067422A">
        <w:rPr>
          <w:rFonts w:ascii="Times New Roman" w:hAnsi="Times New Roman" w:cs="Times New Roman"/>
          <w:bCs/>
          <w:sz w:val="20"/>
          <w:szCs w:val="20"/>
        </w:rPr>
        <w:t>F9K</w:t>
      </w:r>
      <w:r w:rsidR="007A1B72" w:rsidRPr="001B6A6C">
        <w:rPr>
          <w:rFonts w:ascii="Times New Roman" w:hAnsi="Times New Roman" w:cs="Times New Roman"/>
          <w:sz w:val="20"/>
          <w:szCs w:val="20"/>
        </w:rPr>
        <w:t xml:space="preserve"> </w:t>
      </w:r>
      <w:r w:rsidRPr="001B6A6C">
        <w:rPr>
          <w:rFonts w:ascii="Times New Roman" w:hAnsi="Times New Roman" w:cs="Times New Roman"/>
          <w:sz w:val="20"/>
          <w:szCs w:val="20"/>
        </w:rPr>
        <w:t>with its crystal binding pose (</w:t>
      </w:r>
      <w:r w:rsidR="007A1B72">
        <w:rPr>
          <w:rFonts w:ascii="Times New Roman" w:hAnsi="Times New Roman" w:cs="Times New Roman"/>
          <w:sz w:val="20"/>
          <w:szCs w:val="20"/>
        </w:rPr>
        <w:t>PDB</w:t>
      </w:r>
      <w:r w:rsidR="0067422A">
        <w:rPr>
          <w:rFonts w:ascii="Times New Roman" w:hAnsi="Times New Roman" w:cs="Times New Roman"/>
          <w:sz w:val="20"/>
          <w:szCs w:val="20"/>
        </w:rPr>
        <w:t xml:space="preserve"> ID</w:t>
      </w:r>
      <w:r w:rsidR="007A1B72">
        <w:rPr>
          <w:rFonts w:ascii="Times New Roman" w:hAnsi="Times New Roman" w:cs="Times New Roman"/>
          <w:sz w:val="20"/>
          <w:szCs w:val="20"/>
        </w:rPr>
        <w:t xml:space="preserve"> 4A92, </w:t>
      </w:r>
      <w:r w:rsidRPr="001B6A6C">
        <w:rPr>
          <w:rFonts w:ascii="Times New Roman" w:hAnsi="Times New Roman" w:cs="Times New Roman"/>
          <w:sz w:val="20"/>
          <w:szCs w:val="20"/>
        </w:rPr>
        <w:t>hot pink).  HCV NS3/4A is shown in light gray surface.</w:t>
      </w:r>
    </w:p>
    <w:p w14:paraId="2E87AD6D" w14:textId="77777777" w:rsidR="00C433A6" w:rsidRPr="001B6A6C" w:rsidRDefault="00C433A6" w:rsidP="00C433A6">
      <w:pPr>
        <w:widowControl w:val="0"/>
        <w:autoSpaceDE w:val="0"/>
        <w:autoSpaceDN w:val="0"/>
        <w:adjustRightInd w:val="0"/>
        <w:spacing w:after="240" w:line="360" w:lineRule="auto"/>
        <w:ind w:firstLine="360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614FC9A" w14:textId="77777777" w:rsidR="00C433A6" w:rsidRPr="001B6A6C" w:rsidRDefault="00C433A6" w:rsidP="00C433A6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 w:rsidRPr="001B6A6C">
        <w:rPr>
          <w:rFonts w:ascii="Times New Roman" w:hAnsi="Times New Roman" w:cs="Times New Roman"/>
          <w:noProof/>
          <w:sz w:val="20"/>
          <w:szCs w:val="20"/>
          <w:lang w:eastAsia="zh-CN"/>
        </w:rPr>
        <w:drawing>
          <wp:inline distT="0" distB="0" distL="0" distR="0" wp14:anchorId="6CBEAB68" wp14:editId="69C2B13C">
            <wp:extent cx="3861707" cy="221429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A92-ITMN19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9570" cy="2218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B56CC" w14:textId="573CDB8C" w:rsidR="00C433A6" w:rsidRPr="001B6A6C" w:rsidRDefault="00C433A6" w:rsidP="00C433A6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A61CF">
        <w:rPr>
          <w:rFonts w:ascii="Times New Roman" w:hAnsi="Times New Roman" w:cs="Times New Roman"/>
          <w:bCs/>
          <w:sz w:val="20"/>
          <w:szCs w:val="20"/>
        </w:rPr>
        <w:t>Fig</w:t>
      </w:r>
      <w:r w:rsidR="00EA61CF" w:rsidRPr="00EA61CF">
        <w:rPr>
          <w:rFonts w:ascii="Times New Roman" w:hAnsi="Times New Roman" w:cs="Times New Roman"/>
          <w:bCs/>
          <w:sz w:val="20"/>
          <w:szCs w:val="20"/>
        </w:rPr>
        <w:t>ure</w:t>
      </w:r>
      <w:r w:rsidRPr="00EA61CF">
        <w:rPr>
          <w:rFonts w:ascii="Times New Roman" w:hAnsi="Times New Roman" w:cs="Times New Roman"/>
          <w:bCs/>
          <w:sz w:val="20"/>
          <w:szCs w:val="20"/>
        </w:rPr>
        <w:t xml:space="preserve"> S2</w:t>
      </w:r>
      <w:r w:rsidR="00EA61CF">
        <w:rPr>
          <w:rFonts w:ascii="Times New Roman" w:hAnsi="Times New Roman" w:cs="Times New Roman"/>
          <w:bCs/>
          <w:sz w:val="20"/>
          <w:szCs w:val="20"/>
        </w:rPr>
        <w:t>:</w:t>
      </w:r>
      <w:r w:rsidRPr="00EA61CF">
        <w:rPr>
          <w:rFonts w:ascii="Times New Roman" w:hAnsi="Times New Roman" w:cs="Times New Roman"/>
          <w:sz w:val="20"/>
          <w:szCs w:val="20"/>
        </w:rPr>
        <w:t xml:space="preserve"> </w:t>
      </w:r>
      <w:r w:rsidRPr="001B6A6C">
        <w:rPr>
          <w:rFonts w:ascii="Times New Roman" w:hAnsi="Times New Roman" w:cs="Times New Roman"/>
          <w:sz w:val="20"/>
          <w:szCs w:val="20"/>
        </w:rPr>
        <w:t xml:space="preserve">The hydrogen bond interactions between the sulfonamide moiety of </w:t>
      </w:r>
      <w:r w:rsidR="007A1B72" w:rsidRPr="007A1B72">
        <w:rPr>
          <w:rFonts w:ascii="Times New Roman" w:hAnsi="Times New Roman" w:cs="Times New Roman"/>
          <w:bCs/>
          <w:sz w:val="20"/>
          <w:szCs w:val="20"/>
        </w:rPr>
        <w:t>F9K</w:t>
      </w:r>
      <w:r w:rsidRPr="001B6A6C">
        <w:rPr>
          <w:rFonts w:ascii="Times New Roman" w:hAnsi="Times New Roman" w:cs="Times New Roman"/>
          <w:sz w:val="20"/>
          <w:szCs w:val="20"/>
        </w:rPr>
        <w:t xml:space="preserve"> and HCV NS3/4A in the crystal structure</w:t>
      </w:r>
      <w:r w:rsidR="007A1B72">
        <w:rPr>
          <w:rFonts w:ascii="Times New Roman" w:hAnsi="Times New Roman" w:cs="Times New Roman"/>
          <w:sz w:val="20"/>
          <w:szCs w:val="20"/>
        </w:rPr>
        <w:t xml:space="preserve"> (PDB ID </w:t>
      </w:r>
      <w:r w:rsidRPr="001B6A6C">
        <w:rPr>
          <w:rFonts w:ascii="Times New Roman" w:hAnsi="Times New Roman" w:cs="Times New Roman"/>
          <w:sz w:val="20"/>
          <w:szCs w:val="20"/>
        </w:rPr>
        <w:t>4A92</w:t>
      </w:r>
      <w:r w:rsidR="007A1B72">
        <w:rPr>
          <w:rFonts w:ascii="Times New Roman" w:hAnsi="Times New Roman" w:cs="Times New Roman"/>
          <w:sz w:val="20"/>
          <w:szCs w:val="20"/>
        </w:rPr>
        <w:t>)</w:t>
      </w:r>
      <w:r w:rsidRPr="001B6A6C">
        <w:rPr>
          <w:rFonts w:ascii="Times New Roman" w:hAnsi="Times New Roman" w:cs="Times New Roman"/>
          <w:sz w:val="20"/>
          <w:szCs w:val="20"/>
        </w:rPr>
        <w:t xml:space="preserve">.  Hydrogen bond interactions are shown in dashed lines and HCV NS3/4A is shown in a light gray surface. </w:t>
      </w:r>
    </w:p>
    <w:p w14:paraId="133BF084" w14:textId="77777777" w:rsidR="00431569" w:rsidRDefault="00431569" w:rsidP="00532D79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58C2090A" w14:textId="013CC41B" w:rsidR="00532D79" w:rsidRPr="001B6A6C" w:rsidRDefault="00532D79" w:rsidP="00532D79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B6A6C">
        <w:rPr>
          <w:rFonts w:ascii="Times New Roman" w:hAnsi="Times New Roman" w:cs="Times New Roman"/>
          <w:i/>
          <w:sz w:val="20"/>
          <w:szCs w:val="20"/>
        </w:rPr>
        <w:t xml:space="preserve">Binding free energy calculations by MM/PBSA </w:t>
      </w:r>
      <w:r w:rsidR="00EC1B70" w:rsidRPr="001B6A6C">
        <w:rPr>
          <w:rFonts w:ascii="Times New Roman" w:hAnsi="Times New Roman" w:cs="Times New Roman"/>
          <w:i/>
          <w:sz w:val="20"/>
          <w:szCs w:val="20"/>
        </w:rPr>
        <w:t xml:space="preserve">and MM/GBSA </w:t>
      </w:r>
      <w:r w:rsidRPr="001B6A6C">
        <w:rPr>
          <w:rFonts w:ascii="Times New Roman" w:hAnsi="Times New Roman" w:cs="Times New Roman"/>
          <w:i/>
          <w:sz w:val="20"/>
          <w:szCs w:val="20"/>
        </w:rPr>
        <w:t>approache</w:t>
      </w:r>
      <w:r w:rsidR="00EC1B70" w:rsidRPr="001B6A6C">
        <w:rPr>
          <w:rFonts w:ascii="Times New Roman" w:hAnsi="Times New Roman" w:cs="Times New Roman"/>
          <w:i/>
          <w:sz w:val="20"/>
          <w:szCs w:val="20"/>
        </w:rPr>
        <w:t>s</w:t>
      </w:r>
      <w:r w:rsidRPr="001B6A6C">
        <w:rPr>
          <w:rFonts w:ascii="Times New Roman" w:hAnsi="Times New Roman" w:cs="Times New Roman"/>
          <w:i/>
          <w:sz w:val="20"/>
          <w:szCs w:val="20"/>
        </w:rPr>
        <w:t xml:space="preserve"> based on 20-ns MD simulations and correlation with experimental results.</w:t>
      </w:r>
    </w:p>
    <w:p w14:paraId="26E19CC0" w14:textId="14F6F764" w:rsidR="00532D79" w:rsidRPr="001B6A6C" w:rsidRDefault="00532D79" w:rsidP="00532D79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B6A6C">
        <w:rPr>
          <w:rFonts w:ascii="Times New Roman" w:hAnsi="Times New Roman" w:cs="Times New Roman"/>
          <w:sz w:val="20"/>
          <w:szCs w:val="20"/>
        </w:rPr>
        <w:t xml:space="preserve">Our calculations reveal that MM/PBSA </w:t>
      </w:r>
      <w:r w:rsidR="00EC1B70" w:rsidRPr="001B6A6C">
        <w:rPr>
          <w:rFonts w:ascii="Times New Roman" w:hAnsi="Times New Roman" w:cs="Times New Roman"/>
          <w:sz w:val="20"/>
          <w:szCs w:val="20"/>
        </w:rPr>
        <w:t xml:space="preserve">with </w:t>
      </w:r>
      <w:proofErr w:type="spellStart"/>
      <w:r w:rsidR="00EC1B70" w:rsidRPr="001B6A6C">
        <w:rPr>
          <w:rFonts w:ascii="Times New Roman" w:hAnsi="Times New Roman" w:cs="Times New Roman"/>
          <w:sz w:val="20"/>
          <w:szCs w:val="20"/>
        </w:rPr>
        <w:t>bondi</w:t>
      </w:r>
      <w:proofErr w:type="spellEnd"/>
      <w:r w:rsidR="00EC1B70" w:rsidRPr="001B6A6C">
        <w:rPr>
          <w:rFonts w:ascii="Times New Roman" w:hAnsi="Times New Roman" w:cs="Times New Roman"/>
          <w:sz w:val="20"/>
          <w:szCs w:val="20"/>
        </w:rPr>
        <w:t xml:space="preserve"> radii </w:t>
      </w:r>
      <w:r w:rsidRPr="001B6A6C">
        <w:rPr>
          <w:rFonts w:ascii="Times New Roman" w:hAnsi="Times New Roman" w:cs="Times New Roman"/>
          <w:sz w:val="20"/>
          <w:szCs w:val="20"/>
        </w:rPr>
        <w:t>showed good correlation with experimental data for the 12 inhibitors (</w:t>
      </w:r>
      <w:r w:rsidRPr="001B6A6C">
        <w:rPr>
          <w:rFonts w:ascii="Times New Roman" w:hAnsi="Times New Roman" w:cs="Times New Roman"/>
          <w:b/>
          <w:sz w:val="20"/>
          <w:szCs w:val="20"/>
        </w:rPr>
        <w:t>Fig. 4B</w:t>
      </w:r>
      <w:r w:rsidRPr="001B6A6C">
        <w:rPr>
          <w:rFonts w:ascii="Times New Roman" w:hAnsi="Times New Roman" w:cs="Times New Roman"/>
          <w:sz w:val="20"/>
          <w:szCs w:val="20"/>
        </w:rPr>
        <w:t xml:space="preserve">) based on the 20-ns MD simulations.  </w:t>
      </w:r>
      <w:r w:rsidR="00EC1B70" w:rsidRPr="001B6A6C">
        <w:rPr>
          <w:rFonts w:ascii="Times New Roman" w:hAnsi="Times New Roman" w:cs="Times New Roman"/>
          <w:sz w:val="20"/>
          <w:szCs w:val="20"/>
        </w:rPr>
        <w:t>In addition, d</w:t>
      </w:r>
      <w:r w:rsidRPr="001B6A6C">
        <w:rPr>
          <w:rFonts w:ascii="Times New Roman" w:hAnsi="Times New Roman" w:cs="Times New Roman"/>
          <w:sz w:val="20"/>
          <w:szCs w:val="20"/>
        </w:rPr>
        <w:t xml:space="preserve">ifferent atomic radii </w:t>
      </w:r>
      <w:proofErr w:type="gramStart"/>
      <w:r w:rsidRPr="001B6A6C">
        <w:rPr>
          <w:rFonts w:ascii="Times New Roman" w:hAnsi="Times New Roman" w:cs="Times New Roman"/>
          <w:sz w:val="20"/>
          <w:szCs w:val="20"/>
        </w:rPr>
        <w:t>sets</w:t>
      </w:r>
      <w:proofErr w:type="gramEnd"/>
      <w:r w:rsidRPr="001B6A6C">
        <w:rPr>
          <w:rFonts w:ascii="Times New Roman" w:hAnsi="Times New Roman" w:cs="Times New Roman"/>
          <w:sz w:val="20"/>
          <w:szCs w:val="20"/>
        </w:rPr>
        <w:t xml:space="preserve">, including </w:t>
      </w:r>
      <w:proofErr w:type="spellStart"/>
      <w:r w:rsidRPr="001B6A6C">
        <w:rPr>
          <w:rFonts w:ascii="Times New Roman" w:hAnsi="Times New Roman" w:cs="Times New Roman"/>
          <w:sz w:val="20"/>
          <w:szCs w:val="20"/>
        </w:rPr>
        <w:t>mbondi</w:t>
      </w:r>
      <w:proofErr w:type="spellEnd"/>
      <w:r w:rsidRPr="001B6A6C">
        <w:rPr>
          <w:rFonts w:ascii="Times New Roman" w:hAnsi="Times New Roman" w:cs="Times New Roman"/>
          <w:sz w:val="20"/>
          <w:szCs w:val="20"/>
        </w:rPr>
        <w:t xml:space="preserve">, mbondi2, and PARSE, were </w:t>
      </w:r>
      <w:r w:rsidR="00EC1B70" w:rsidRPr="001B6A6C">
        <w:rPr>
          <w:rFonts w:ascii="Times New Roman" w:hAnsi="Times New Roman" w:cs="Times New Roman"/>
          <w:sz w:val="20"/>
          <w:szCs w:val="20"/>
        </w:rPr>
        <w:t xml:space="preserve">also </w:t>
      </w:r>
      <w:r w:rsidRPr="001B6A6C">
        <w:rPr>
          <w:rFonts w:ascii="Times New Roman" w:hAnsi="Times New Roman" w:cs="Times New Roman"/>
          <w:sz w:val="20"/>
          <w:szCs w:val="20"/>
        </w:rPr>
        <w:t>used to explore their ability to calculate the solvation contributions</w:t>
      </w:r>
      <w:r w:rsidR="00A43A18" w:rsidRPr="001B6A6C">
        <w:rPr>
          <w:rFonts w:ascii="Times New Roman" w:hAnsi="Times New Roman" w:cs="Times New Roman"/>
          <w:sz w:val="20"/>
          <w:szCs w:val="20"/>
        </w:rPr>
        <w:t xml:space="preserve"> in PB model</w:t>
      </w:r>
      <w:r w:rsidRPr="001B6A6C">
        <w:rPr>
          <w:rFonts w:ascii="Times New Roman" w:hAnsi="Times New Roman" w:cs="Times New Roman"/>
          <w:sz w:val="20"/>
          <w:szCs w:val="20"/>
        </w:rPr>
        <w:t xml:space="preserve">.  </w:t>
      </w:r>
      <w:r w:rsidR="00FC1A22" w:rsidRPr="001B6A6C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For GB model, atomic radii of </w:t>
      </w:r>
      <w:proofErr w:type="spellStart"/>
      <w:r w:rsidR="00FC1A22" w:rsidRPr="001B6A6C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bondi</w:t>
      </w:r>
      <w:proofErr w:type="spellEnd"/>
      <w:r w:rsidR="00FC1A22" w:rsidRPr="001B6A6C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</w:t>
      </w:r>
      <w:proofErr w:type="gramStart"/>
      <w:r w:rsidR="00FC1A22" w:rsidRPr="001B6A6C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was</w:t>
      </w:r>
      <w:proofErr w:type="gramEnd"/>
      <w:r w:rsidR="00FC1A22" w:rsidRPr="001B6A6C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used in </w:t>
      </w:r>
      <w:proofErr w:type="spellStart"/>
      <w:r w:rsidR="00FC1A22" w:rsidRPr="001B6A6C">
        <w:rPr>
          <w:rFonts w:ascii="Times New Roman" w:hAnsi="Times New Roman" w:cs="Times New Roman"/>
          <w:sz w:val="20"/>
          <w:szCs w:val="20"/>
        </w:rPr>
        <w:t>GB</w:t>
      </w:r>
      <w:r w:rsidR="00FC1A22" w:rsidRPr="001B6A6C">
        <w:rPr>
          <w:rFonts w:ascii="Times New Roman" w:hAnsi="Times New Roman" w:cs="Times New Roman"/>
          <w:sz w:val="20"/>
          <w:szCs w:val="20"/>
          <w:vertAlign w:val="superscript"/>
        </w:rPr>
        <w:t>Neck</w:t>
      </w:r>
      <w:proofErr w:type="spellEnd"/>
      <w:r w:rsidR="00FC1A22" w:rsidRPr="001B6A6C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, </w:t>
      </w:r>
      <w:proofErr w:type="spellStart"/>
      <w:r w:rsidR="00FC1A22" w:rsidRPr="001B6A6C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>mbondi</w:t>
      </w:r>
      <w:proofErr w:type="spellEnd"/>
      <w:r w:rsidR="00FC1A22" w:rsidRPr="001B6A6C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 was used in </w:t>
      </w:r>
      <w:r w:rsidR="00FC1A22" w:rsidRPr="001B6A6C">
        <w:rPr>
          <w:rFonts w:ascii="Times New Roman" w:hAnsi="Times New Roman" w:cs="Times New Roman"/>
          <w:sz w:val="20"/>
          <w:szCs w:val="20"/>
        </w:rPr>
        <w:t>GB</w:t>
      </w:r>
      <w:r w:rsidR="00FC1A22" w:rsidRPr="001B6A6C">
        <w:rPr>
          <w:rFonts w:ascii="Times New Roman" w:hAnsi="Times New Roman" w:cs="Times New Roman"/>
          <w:sz w:val="20"/>
          <w:szCs w:val="20"/>
          <w:vertAlign w:val="superscript"/>
          <w:lang w:eastAsia="zh-CN"/>
        </w:rPr>
        <w:t>HCT</w:t>
      </w:r>
      <w:r w:rsidR="00FC1A22" w:rsidRPr="001B6A6C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, mbondi2 was used in </w:t>
      </w:r>
      <w:r w:rsidR="00FC1A22" w:rsidRPr="001B6A6C">
        <w:rPr>
          <w:rFonts w:ascii="Times New Roman" w:hAnsi="Times New Roman" w:cs="Times New Roman"/>
          <w:sz w:val="20"/>
          <w:szCs w:val="20"/>
        </w:rPr>
        <w:t>GB</w:t>
      </w:r>
      <w:r w:rsidR="00FC1A22" w:rsidRPr="001B6A6C">
        <w:rPr>
          <w:rFonts w:ascii="Times New Roman" w:hAnsi="Times New Roman" w:cs="Times New Roman"/>
          <w:sz w:val="20"/>
          <w:szCs w:val="20"/>
          <w:vertAlign w:val="superscript"/>
        </w:rPr>
        <w:t>OBC</w:t>
      </w:r>
      <w:r w:rsidR="00FC1A22" w:rsidRPr="001B6A6C">
        <w:rPr>
          <w:rFonts w:ascii="Times New Roman" w:hAnsi="Times New Roman" w:cs="Times New Roman"/>
          <w:sz w:val="20"/>
          <w:szCs w:val="20"/>
        </w:rPr>
        <w:t xml:space="preserve"> and GB</w:t>
      </w:r>
      <w:r w:rsidR="00FC1A22" w:rsidRPr="001B6A6C">
        <w:rPr>
          <w:rFonts w:ascii="Times New Roman" w:hAnsi="Times New Roman" w:cs="Times New Roman"/>
          <w:sz w:val="20"/>
          <w:szCs w:val="20"/>
          <w:vertAlign w:val="superscript"/>
        </w:rPr>
        <w:t>OBC2</w:t>
      </w:r>
      <w:r w:rsidR="00FC1A22" w:rsidRPr="001B6A6C">
        <w:rPr>
          <w:rFonts w:ascii="Times New Roman" w:hAnsi="Times New Roman" w:cs="Times New Roman"/>
          <w:sz w:val="20"/>
          <w:szCs w:val="20"/>
        </w:rPr>
        <w:t>, which was recommended by Amber</w:t>
      </w:r>
      <w:r w:rsidR="00FC1A22" w:rsidRPr="001B6A6C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FC1A22" w:rsidRPr="001B6A6C"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  <w:t xml:space="preserve">tutorial </w:t>
      </w:r>
      <w:r w:rsidR="00FC1A22" w:rsidRPr="001B6A6C">
        <w:rPr>
          <w:rFonts w:ascii="Times New Roman" w:hAnsi="Times New Roman" w:cs="Times New Roman"/>
          <w:iCs/>
          <w:sz w:val="20"/>
          <w:szCs w:val="20"/>
        </w:rPr>
        <w:t>to extensively explore the binding free energies for the inhibitors with HCV NS3/4A</w:t>
      </w:r>
      <w:r w:rsidR="00FC1A22" w:rsidRPr="001B6A6C">
        <w:rPr>
          <w:rFonts w:ascii="Times New Roman" w:hAnsi="Times New Roman" w:cs="Times New Roman"/>
          <w:sz w:val="20"/>
          <w:szCs w:val="20"/>
        </w:rPr>
        <w:t>.</w:t>
      </w:r>
    </w:p>
    <w:p w14:paraId="38473C9B" w14:textId="71E2842D" w:rsidR="00532D79" w:rsidRPr="001B6A6C" w:rsidRDefault="00532D79" w:rsidP="00532D79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B6A6C">
        <w:rPr>
          <w:rFonts w:ascii="Times New Roman" w:hAnsi="Times New Roman" w:cs="Times New Roman"/>
          <w:sz w:val="20"/>
          <w:szCs w:val="20"/>
        </w:rPr>
        <w:t>A slight difference occurred with different atomic radii parameters in the MM/PBSA approach.  Bondi radii exhibit the best predictive ability in MM/PBSA calculation with an R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B6A6C">
        <w:rPr>
          <w:rFonts w:ascii="Times New Roman" w:hAnsi="Times New Roman" w:cs="Times New Roman"/>
          <w:sz w:val="20"/>
          <w:szCs w:val="20"/>
        </w:rPr>
        <w:t xml:space="preserve"> of 0.92, which is marginally better than that of </w:t>
      </w:r>
      <w:proofErr w:type="spellStart"/>
      <w:r w:rsidRPr="001B6A6C">
        <w:rPr>
          <w:rFonts w:ascii="Times New Roman" w:hAnsi="Times New Roman" w:cs="Times New Roman"/>
          <w:sz w:val="20"/>
          <w:szCs w:val="20"/>
        </w:rPr>
        <w:t>mbondi</w:t>
      </w:r>
      <w:proofErr w:type="spellEnd"/>
      <w:r w:rsidRPr="001B6A6C">
        <w:rPr>
          <w:rFonts w:ascii="Times New Roman" w:hAnsi="Times New Roman" w:cs="Times New Roman"/>
          <w:sz w:val="20"/>
          <w:szCs w:val="20"/>
        </w:rPr>
        <w:t xml:space="preserve"> and mbondi2, whose R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B6A6C">
        <w:rPr>
          <w:rFonts w:ascii="Times New Roman" w:hAnsi="Times New Roman" w:cs="Times New Roman"/>
          <w:sz w:val="20"/>
          <w:szCs w:val="20"/>
        </w:rPr>
        <w:t xml:space="preserve"> is 0.90.  PARSE shows the lowest prediction in MM/PBSA with an R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B6A6C">
        <w:rPr>
          <w:rFonts w:ascii="Times New Roman" w:hAnsi="Times New Roman" w:cs="Times New Roman"/>
          <w:sz w:val="20"/>
          <w:szCs w:val="20"/>
        </w:rPr>
        <w:t xml:space="preserve"> of 0.82 between predicted and experimental binding free energy.  Although MM/GBSA shows slightly lower coefficient</w:t>
      </w:r>
      <w:r w:rsidR="00016189">
        <w:rPr>
          <w:rFonts w:ascii="Times New Roman" w:hAnsi="Times New Roman" w:cs="Times New Roman"/>
          <w:sz w:val="20"/>
          <w:szCs w:val="20"/>
        </w:rPr>
        <w:t xml:space="preserve"> of determination (R</w:t>
      </w:r>
      <w:r w:rsidR="00016189" w:rsidRPr="00016189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016189">
        <w:rPr>
          <w:rFonts w:ascii="Times New Roman" w:hAnsi="Times New Roman" w:cs="Times New Roman"/>
          <w:sz w:val="20"/>
          <w:szCs w:val="20"/>
        </w:rPr>
        <w:t>)</w:t>
      </w:r>
      <w:r w:rsidRPr="001B6A6C">
        <w:rPr>
          <w:rFonts w:ascii="Times New Roman" w:hAnsi="Times New Roman" w:cs="Times New Roman"/>
          <w:sz w:val="20"/>
          <w:szCs w:val="20"/>
        </w:rPr>
        <w:t xml:space="preserve"> values compared with those of MM/PBSA, the predictive ability (R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B6A6C">
        <w:rPr>
          <w:rFonts w:ascii="Times New Roman" w:hAnsi="Times New Roman" w:cs="Times New Roman"/>
          <w:sz w:val="20"/>
          <w:szCs w:val="20"/>
        </w:rPr>
        <w:t xml:space="preserve"> = 0.90) was retained by choosing </w:t>
      </w:r>
      <w:proofErr w:type="spellStart"/>
      <w:r w:rsidRPr="001B6A6C">
        <w:rPr>
          <w:rFonts w:ascii="Times New Roman" w:hAnsi="Times New Roman" w:cs="Times New Roman"/>
          <w:sz w:val="20"/>
          <w:szCs w:val="20"/>
        </w:rPr>
        <w:t>bondi</w:t>
      </w:r>
      <w:proofErr w:type="spellEnd"/>
      <w:r w:rsidRPr="001B6A6C">
        <w:rPr>
          <w:rFonts w:ascii="Times New Roman" w:hAnsi="Times New Roman" w:cs="Times New Roman"/>
          <w:sz w:val="20"/>
          <w:szCs w:val="20"/>
        </w:rPr>
        <w:t xml:space="preserve"> for atomic radii in the </w:t>
      </w:r>
      <w:proofErr w:type="spellStart"/>
      <w:r w:rsidRPr="001B6A6C">
        <w:rPr>
          <w:rFonts w:ascii="Times New Roman" w:hAnsi="Times New Roman" w:cs="Times New Roman"/>
          <w:sz w:val="20"/>
          <w:szCs w:val="20"/>
        </w:rPr>
        <w:t>GB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Neck</w:t>
      </w:r>
      <w:proofErr w:type="spellEnd"/>
      <w:r w:rsidRPr="001B6A6C">
        <w:rPr>
          <w:rFonts w:ascii="Times New Roman" w:hAnsi="Times New Roman" w:cs="Times New Roman"/>
          <w:sz w:val="20"/>
          <w:szCs w:val="20"/>
        </w:rPr>
        <w:t xml:space="preserve"> model.  In comparison, the GB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HCT</w:t>
      </w:r>
      <w:r w:rsidRPr="001B6A6C">
        <w:rPr>
          <w:rFonts w:ascii="Times New Roman" w:hAnsi="Times New Roman" w:cs="Times New Roman"/>
          <w:sz w:val="20"/>
          <w:szCs w:val="20"/>
        </w:rPr>
        <w:t>, GB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OBC</w:t>
      </w:r>
      <w:r w:rsidRPr="001B6A6C">
        <w:rPr>
          <w:rFonts w:ascii="Times New Roman" w:hAnsi="Times New Roman" w:cs="Times New Roman"/>
          <w:sz w:val="20"/>
          <w:szCs w:val="20"/>
        </w:rPr>
        <w:t>, and GB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OBC2</w:t>
      </w:r>
      <w:r w:rsidRPr="001B6A6C">
        <w:rPr>
          <w:rFonts w:ascii="Times New Roman" w:hAnsi="Times New Roman" w:cs="Times New Roman"/>
          <w:sz w:val="20"/>
          <w:szCs w:val="20"/>
        </w:rPr>
        <w:t xml:space="preserve"> models do not perform as well as the PB model, since the R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B6A6C">
        <w:rPr>
          <w:rFonts w:ascii="Times New Roman" w:hAnsi="Times New Roman" w:cs="Times New Roman"/>
          <w:sz w:val="20"/>
          <w:szCs w:val="20"/>
        </w:rPr>
        <w:t xml:space="preserve"> is relatively lower than the corresponding atomic radii of the PB model</w:t>
      </w:r>
      <w:r w:rsidR="00B92978" w:rsidRPr="001B6A6C">
        <w:rPr>
          <w:rFonts w:ascii="Times New Roman" w:hAnsi="Times New Roman" w:cs="Times New Roman"/>
          <w:sz w:val="20"/>
          <w:szCs w:val="20"/>
        </w:rPr>
        <w:t xml:space="preserve"> (</w:t>
      </w:r>
      <w:r w:rsidR="00B92978" w:rsidRPr="001B6A6C">
        <w:rPr>
          <w:rFonts w:ascii="Times New Roman" w:hAnsi="Times New Roman" w:cs="Times New Roman"/>
          <w:b/>
          <w:bCs/>
          <w:sz w:val="20"/>
          <w:szCs w:val="20"/>
        </w:rPr>
        <w:t>Fig. S3</w:t>
      </w:r>
      <w:r w:rsidR="00B92978" w:rsidRPr="001B6A6C">
        <w:rPr>
          <w:rFonts w:ascii="Times New Roman" w:hAnsi="Times New Roman" w:cs="Times New Roman"/>
          <w:sz w:val="20"/>
          <w:szCs w:val="20"/>
        </w:rPr>
        <w:t>)</w:t>
      </w:r>
      <w:r w:rsidRPr="001B6A6C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1FECCB65" w14:textId="16EFD0A9" w:rsidR="00532D79" w:rsidRPr="001B6A6C" w:rsidRDefault="00DC77DC" w:rsidP="00532D79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924AEDA" wp14:editId="6C19FA3A">
            <wp:extent cx="3313651" cy="2260097"/>
            <wp:effectExtent l="0" t="0" r="1270" b="0"/>
            <wp:docPr id="2" name="Picture 2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ar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0907" cy="2265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3A74C" w14:textId="50F49AA8" w:rsidR="00532D79" w:rsidRPr="001B6A6C" w:rsidRDefault="00532D79" w:rsidP="00532D79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A61CF">
        <w:rPr>
          <w:rFonts w:ascii="Times New Roman" w:hAnsi="Times New Roman" w:cs="Times New Roman"/>
          <w:bCs/>
          <w:sz w:val="20"/>
          <w:szCs w:val="20"/>
        </w:rPr>
        <w:t>Fig</w:t>
      </w:r>
      <w:r w:rsidR="00EA61CF" w:rsidRPr="00EA61CF">
        <w:rPr>
          <w:rFonts w:ascii="Times New Roman" w:hAnsi="Times New Roman" w:cs="Times New Roman"/>
          <w:bCs/>
          <w:sz w:val="20"/>
          <w:szCs w:val="20"/>
        </w:rPr>
        <w:t>ure</w:t>
      </w:r>
      <w:r w:rsidRPr="00EA61CF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340261" w:rsidRPr="00EA61CF">
        <w:rPr>
          <w:rFonts w:ascii="Times New Roman" w:hAnsi="Times New Roman" w:cs="Times New Roman"/>
          <w:bCs/>
          <w:sz w:val="20"/>
          <w:szCs w:val="20"/>
        </w:rPr>
        <w:t>S3</w:t>
      </w:r>
      <w:r w:rsidR="00EA61CF" w:rsidRPr="00EA61CF">
        <w:rPr>
          <w:rFonts w:ascii="Times New Roman" w:hAnsi="Times New Roman" w:cs="Times New Roman"/>
          <w:bCs/>
          <w:sz w:val="20"/>
          <w:szCs w:val="20"/>
        </w:rPr>
        <w:t>:</w:t>
      </w:r>
      <w:r w:rsidRPr="001B6A6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B6A6C">
        <w:rPr>
          <w:rFonts w:ascii="Times New Roman" w:hAnsi="Times New Roman" w:cs="Times New Roman"/>
          <w:sz w:val="20"/>
          <w:szCs w:val="20"/>
        </w:rPr>
        <w:t xml:space="preserve">The </w:t>
      </w:r>
      <w:r w:rsidR="00016189" w:rsidRPr="001B6A6C">
        <w:rPr>
          <w:rFonts w:ascii="Times New Roman" w:hAnsi="Times New Roman" w:cs="Times New Roman"/>
          <w:sz w:val="20"/>
          <w:szCs w:val="20"/>
        </w:rPr>
        <w:t>coefficient</w:t>
      </w:r>
      <w:r w:rsidR="00016189">
        <w:rPr>
          <w:rFonts w:ascii="Times New Roman" w:hAnsi="Times New Roman" w:cs="Times New Roman"/>
          <w:sz w:val="20"/>
          <w:szCs w:val="20"/>
        </w:rPr>
        <w:t xml:space="preserve"> of determination</w:t>
      </w:r>
      <w:r w:rsidR="00016189" w:rsidRPr="001B6A6C">
        <w:rPr>
          <w:rFonts w:ascii="Times New Roman" w:hAnsi="Times New Roman" w:cs="Times New Roman"/>
          <w:sz w:val="20"/>
          <w:szCs w:val="20"/>
        </w:rPr>
        <w:t xml:space="preserve"> </w:t>
      </w:r>
      <w:r w:rsidRPr="001B6A6C">
        <w:rPr>
          <w:rFonts w:ascii="Times New Roman" w:hAnsi="Times New Roman" w:cs="Times New Roman"/>
          <w:sz w:val="20"/>
          <w:szCs w:val="20"/>
        </w:rPr>
        <w:t>(R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B6A6C">
        <w:rPr>
          <w:rFonts w:ascii="Times New Roman" w:hAnsi="Times New Roman" w:cs="Times New Roman"/>
          <w:sz w:val="20"/>
          <w:szCs w:val="20"/>
        </w:rPr>
        <w:t>) between the experimental binding free energy and predicted binding free energy based on 20-ns MD simulations.  The R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B6A6C">
        <w:rPr>
          <w:rFonts w:ascii="Times New Roman" w:hAnsi="Times New Roman" w:cs="Times New Roman"/>
          <w:sz w:val="20"/>
          <w:szCs w:val="20"/>
        </w:rPr>
        <w:t xml:space="preserve"> values from MM/PBSA and MM/GBSA are shown in red and black colors, respectively.</w:t>
      </w:r>
    </w:p>
    <w:p w14:paraId="7AAA842C" w14:textId="0FBE97CD" w:rsidR="00532D79" w:rsidRPr="001B6A6C" w:rsidRDefault="00532D79" w:rsidP="00532D79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B6A6C">
        <w:rPr>
          <w:rFonts w:ascii="Times New Roman" w:hAnsi="Times New Roman" w:cs="Times New Roman"/>
          <w:sz w:val="20"/>
          <w:szCs w:val="20"/>
        </w:rPr>
        <w:t xml:space="preserve">Since the </w:t>
      </w:r>
      <w:proofErr w:type="spellStart"/>
      <w:r w:rsidRPr="001B6A6C">
        <w:rPr>
          <w:rFonts w:ascii="Times New Roman" w:hAnsi="Times New Roman" w:cs="Times New Roman"/>
          <w:sz w:val="20"/>
          <w:szCs w:val="20"/>
        </w:rPr>
        <w:t>bondi</w:t>
      </w:r>
      <w:proofErr w:type="spellEnd"/>
      <w:r w:rsidRPr="001B6A6C">
        <w:rPr>
          <w:rFonts w:ascii="Times New Roman" w:hAnsi="Times New Roman" w:cs="Times New Roman"/>
          <w:sz w:val="20"/>
          <w:szCs w:val="20"/>
        </w:rPr>
        <w:t xml:space="preserve"> radii with MM/PBSA shows the best predictive results for the full 20-ns calculations, it was selected to probe the predictive ability as a function of the simulation time.  We can see that the </w:t>
      </w:r>
      <w:r w:rsidR="00016189" w:rsidRPr="001B6A6C">
        <w:rPr>
          <w:rFonts w:ascii="Times New Roman" w:hAnsi="Times New Roman" w:cs="Times New Roman"/>
          <w:sz w:val="20"/>
          <w:szCs w:val="20"/>
        </w:rPr>
        <w:t>R</w:t>
      </w:r>
      <w:r w:rsidR="00016189" w:rsidRPr="001B6A6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016189" w:rsidRPr="001B6A6C">
        <w:rPr>
          <w:rFonts w:ascii="Times New Roman" w:hAnsi="Times New Roman" w:cs="Times New Roman"/>
          <w:sz w:val="20"/>
          <w:szCs w:val="20"/>
        </w:rPr>
        <w:t xml:space="preserve"> </w:t>
      </w:r>
      <w:r w:rsidRPr="001B6A6C">
        <w:rPr>
          <w:rFonts w:ascii="Times New Roman" w:hAnsi="Times New Roman" w:cs="Times New Roman"/>
          <w:sz w:val="20"/>
          <w:szCs w:val="20"/>
        </w:rPr>
        <w:t>values gradually improved with little fluctuation during the MD simulation time from 1 ns to 14 ns and then maintained good performance of R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B6A6C">
        <w:rPr>
          <w:rFonts w:ascii="Times New Roman" w:hAnsi="Times New Roman" w:cs="Times New Roman"/>
          <w:sz w:val="20"/>
          <w:szCs w:val="20"/>
        </w:rPr>
        <w:t xml:space="preserve"> = 0.92 until 20 ns (</w:t>
      </w:r>
      <w:r w:rsidRPr="001B6A6C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="00340261" w:rsidRPr="001B6A6C">
        <w:rPr>
          <w:rFonts w:ascii="Times New Roman" w:hAnsi="Times New Roman" w:cs="Times New Roman"/>
          <w:b/>
          <w:sz w:val="20"/>
          <w:szCs w:val="20"/>
        </w:rPr>
        <w:t>S4</w:t>
      </w:r>
      <w:r w:rsidRPr="001B6A6C">
        <w:rPr>
          <w:rFonts w:ascii="Times New Roman" w:hAnsi="Times New Roman" w:cs="Times New Roman"/>
          <w:sz w:val="20"/>
          <w:szCs w:val="20"/>
        </w:rPr>
        <w:t>), which further validates the docking results and the reliability of the MM/PBSA for this system.  Even in the first ns of MD simulation, the R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B6A6C">
        <w:rPr>
          <w:rFonts w:ascii="Times New Roman" w:hAnsi="Times New Roman" w:cs="Times New Roman"/>
          <w:sz w:val="20"/>
          <w:szCs w:val="20"/>
        </w:rPr>
        <w:t xml:space="preserve"> is higher than that predicted from GOLD </w:t>
      </w:r>
      <w:proofErr w:type="spellStart"/>
      <w:r w:rsidRPr="001B6A6C">
        <w:rPr>
          <w:rFonts w:ascii="Times New Roman" w:hAnsi="Times New Roman" w:cs="Times New Roman"/>
          <w:sz w:val="20"/>
          <w:szCs w:val="20"/>
        </w:rPr>
        <w:t>ChemPLP</w:t>
      </w:r>
      <w:proofErr w:type="spellEnd"/>
      <w:r w:rsidRPr="001B6A6C">
        <w:rPr>
          <w:rFonts w:ascii="Times New Roman" w:hAnsi="Times New Roman" w:cs="Times New Roman"/>
          <w:sz w:val="20"/>
          <w:szCs w:val="20"/>
        </w:rPr>
        <w:t xml:space="preserve"> score (R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B6A6C">
        <w:rPr>
          <w:rFonts w:ascii="Times New Roman" w:hAnsi="Times New Roman" w:cs="Times New Roman"/>
          <w:sz w:val="20"/>
          <w:szCs w:val="20"/>
        </w:rPr>
        <w:t xml:space="preserve"> = 0.56) (</w:t>
      </w:r>
      <w:r w:rsidRPr="001B6A6C">
        <w:rPr>
          <w:rFonts w:ascii="Times New Roman" w:hAnsi="Times New Roman" w:cs="Times New Roman"/>
          <w:b/>
          <w:sz w:val="20"/>
          <w:szCs w:val="20"/>
        </w:rPr>
        <w:t>Fig. 4A</w:t>
      </w:r>
      <w:r w:rsidRPr="001B6A6C">
        <w:rPr>
          <w:rFonts w:ascii="Times New Roman" w:hAnsi="Times New Roman" w:cs="Times New Roman"/>
          <w:sz w:val="20"/>
          <w:szCs w:val="20"/>
        </w:rPr>
        <w:t>), which can be attributed to the incorporation of solvent effects in the MM/PBSA calculation.  It can be easily observed that remarkable improvement was achieved by MM/PBSA calculation by considering the full 20-ns MD simulations (</w:t>
      </w:r>
      <w:r w:rsidRPr="001B6A6C">
        <w:rPr>
          <w:rFonts w:ascii="Times New Roman" w:hAnsi="Times New Roman" w:cs="Times New Roman"/>
          <w:b/>
          <w:sz w:val="20"/>
          <w:szCs w:val="20"/>
        </w:rPr>
        <w:t>Fig. 4B</w:t>
      </w:r>
      <w:r w:rsidR="00455889" w:rsidRPr="001B6A6C">
        <w:rPr>
          <w:rFonts w:ascii="Times New Roman" w:hAnsi="Times New Roman" w:cs="Times New Roman"/>
          <w:sz w:val="20"/>
          <w:szCs w:val="20"/>
        </w:rPr>
        <w:t>) compared</w:t>
      </w:r>
      <w:r w:rsidRPr="001B6A6C">
        <w:rPr>
          <w:rFonts w:ascii="Times New Roman" w:hAnsi="Times New Roman" w:cs="Times New Roman"/>
          <w:sz w:val="20"/>
          <w:szCs w:val="20"/>
        </w:rPr>
        <w:t xml:space="preserve"> with the docking score evaluation (</w:t>
      </w:r>
      <w:r w:rsidRPr="001B6A6C">
        <w:rPr>
          <w:rFonts w:ascii="Times New Roman" w:hAnsi="Times New Roman" w:cs="Times New Roman"/>
          <w:b/>
          <w:sz w:val="20"/>
          <w:szCs w:val="20"/>
        </w:rPr>
        <w:t>Fig. 4A</w:t>
      </w:r>
      <w:r w:rsidRPr="001B6A6C">
        <w:rPr>
          <w:rFonts w:ascii="Times New Roman" w:hAnsi="Times New Roman" w:cs="Times New Roman"/>
          <w:sz w:val="20"/>
          <w:szCs w:val="20"/>
        </w:rPr>
        <w:t xml:space="preserve">). </w:t>
      </w:r>
    </w:p>
    <w:p w14:paraId="7A9D8E95" w14:textId="7D5D9B03" w:rsidR="00532D79" w:rsidRPr="001B6A6C" w:rsidRDefault="005945BC" w:rsidP="00532D79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B10C66B" wp14:editId="47F58887">
            <wp:extent cx="3129094" cy="2080858"/>
            <wp:effectExtent l="0" t="0" r="0" b="0"/>
            <wp:docPr id="3" name="Picture 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5956" cy="2085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3DB0D" w14:textId="690DFE53" w:rsidR="00532D79" w:rsidRPr="001B6A6C" w:rsidRDefault="00532D79" w:rsidP="00532D79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A61CF">
        <w:rPr>
          <w:rFonts w:ascii="Times New Roman" w:hAnsi="Times New Roman" w:cs="Times New Roman"/>
          <w:bCs/>
          <w:sz w:val="20"/>
          <w:szCs w:val="20"/>
        </w:rPr>
        <w:t>Fig</w:t>
      </w:r>
      <w:r w:rsidR="00EA61CF" w:rsidRPr="00EA61CF">
        <w:rPr>
          <w:rFonts w:ascii="Times New Roman" w:hAnsi="Times New Roman" w:cs="Times New Roman"/>
          <w:bCs/>
          <w:sz w:val="20"/>
          <w:szCs w:val="20"/>
        </w:rPr>
        <w:t>ure</w:t>
      </w:r>
      <w:r w:rsidRPr="00EA61CF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340261" w:rsidRPr="00EA61CF">
        <w:rPr>
          <w:rFonts w:ascii="Times New Roman" w:hAnsi="Times New Roman" w:cs="Times New Roman"/>
          <w:bCs/>
          <w:sz w:val="20"/>
          <w:szCs w:val="20"/>
        </w:rPr>
        <w:t>S4</w:t>
      </w:r>
      <w:r w:rsidR="00EA61CF" w:rsidRPr="00EA61CF">
        <w:rPr>
          <w:rFonts w:ascii="Times New Roman" w:hAnsi="Times New Roman" w:cs="Times New Roman"/>
          <w:bCs/>
          <w:sz w:val="20"/>
          <w:szCs w:val="20"/>
        </w:rPr>
        <w:t>:</w:t>
      </w:r>
      <w:r w:rsidRPr="001B6A6C">
        <w:rPr>
          <w:rFonts w:ascii="Times New Roman" w:hAnsi="Times New Roman" w:cs="Times New Roman"/>
          <w:sz w:val="20"/>
          <w:szCs w:val="20"/>
        </w:rPr>
        <w:t xml:space="preserve"> The coefficient</w:t>
      </w:r>
      <w:r w:rsidR="0043095B">
        <w:rPr>
          <w:rFonts w:ascii="Times New Roman" w:hAnsi="Times New Roman" w:cs="Times New Roman"/>
          <w:sz w:val="20"/>
          <w:szCs w:val="20"/>
        </w:rPr>
        <w:t xml:space="preserve"> of determination</w:t>
      </w:r>
      <w:r w:rsidRPr="001B6A6C">
        <w:rPr>
          <w:rFonts w:ascii="Times New Roman" w:hAnsi="Times New Roman" w:cs="Times New Roman"/>
          <w:sz w:val="20"/>
          <w:szCs w:val="20"/>
        </w:rPr>
        <w:t xml:space="preserve"> (R</w:t>
      </w:r>
      <w:r w:rsidRPr="001B6A6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B6A6C">
        <w:rPr>
          <w:rFonts w:ascii="Times New Roman" w:hAnsi="Times New Roman" w:cs="Times New Roman"/>
          <w:sz w:val="20"/>
          <w:szCs w:val="20"/>
        </w:rPr>
        <w:t xml:space="preserve">) between calculated (MM/PBSA) and experimental binding free energy for the twelve compounds with HCV NS2B/NS3 protease during the 20-ns MD simulations. </w:t>
      </w:r>
    </w:p>
    <w:p w14:paraId="2FAD8216" w14:textId="339AED13" w:rsidR="00C433A6" w:rsidRPr="001B6A6C" w:rsidRDefault="00C433A6" w:rsidP="00C433A6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</w:pPr>
      <w:r w:rsidRPr="001B6A6C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zh-CN"/>
        </w:rPr>
        <w:lastRenderedPageBreak/>
        <w:drawing>
          <wp:inline distT="0" distB="0" distL="0" distR="0" wp14:anchorId="6D163FC2" wp14:editId="0998E413">
            <wp:extent cx="5943600" cy="4198620"/>
            <wp:effectExtent l="0" t="0" r="0" b="0"/>
            <wp:docPr id="10" name="Picture 10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0325-0077-NMR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Fig</w:t>
      </w:r>
      <w:r w:rsidR="00EA61CF"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ure</w:t>
      </w:r>
      <w:r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S</w:t>
      </w:r>
      <w:r w:rsidR="00340261"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5</w:t>
      </w:r>
      <w:r w:rsidR="00EA61CF"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:</w:t>
      </w:r>
      <w:r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The NMR spectrum for F0325-0077.</w:t>
      </w:r>
    </w:p>
    <w:p w14:paraId="2E6465C0" w14:textId="77777777" w:rsidR="00C433A6" w:rsidRPr="001B6A6C" w:rsidRDefault="00C433A6" w:rsidP="00C433A6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 w:rsidRPr="001B6A6C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zh-CN"/>
        </w:rPr>
        <w:lastRenderedPageBreak/>
        <w:drawing>
          <wp:inline distT="0" distB="0" distL="0" distR="0" wp14:anchorId="49726446" wp14:editId="447DB42F">
            <wp:extent cx="5452281" cy="7714987"/>
            <wp:effectExtent l="0" t="0" r="0" b="635"/>
            <wp:docPr id="11" name="Picture 11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2708-0139-M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8389" cy="7723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055D5" w14:textId="6FBDB37C" w:rsidR="00C433A6" w:rsidRPr="00EA61CF" w:rsidRDefault="00C433A6" w:rsidP="00C433A6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  <w:lang w:eastAsia="zh-CN"/>
        </w:rPr>
      </w:pPr>
      <w:r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Fig</w:t>
      </w:r>
      <w:r w:rsidR="00EA61CF"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ure</w:t>
      </w:r>
      <w:r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S</w:t>
      </w:r>
      <w:r w:rsidR="00340261"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6</w:t>
      </w:r>
      <w:r w:rsidR="00EA61CF"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:</w:t>
      </w:r>
      <w:r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The MS spectrum for F2708-0139.</w:t>
      </w:r>
    </w:p>
    <w:p w14:paraId="0E09B97A" w14:textId="77777777" w:rsidR="00C433A6" w:rsidRPr="001B6A6C" w:rsidRDefault="00C433A6" w:rsidP="00C433A6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eastAsia="zh-CN"/>
        </w:rPr>
      </w:pPr>
      <w:r w:rsidRPr="001B6A6C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zh-CN"/>
        </w:rPr>
        <w:lastRenderedPageBreak/>
        <w:drawing>
          <wp:inline distT="0" distB="0" distL="0" distR="0" wp14:anchorId="2576585A" wp14:editId="4828300A">
            <wp:extent cx="5943600" cy="4148455"/>
            <wp:effectExtent l="0" t="0" r="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2708-0139-NMR.em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4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D42C8" w14:textId="6B6D752E" w:rsidR="00C433A6" w:rsidRPr="00EA61CF" w:rsidRDefault="00C433A6" w:rsidP="00C433A6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Fig</w:t>
      </w:r>
      <w:r w:rsidR="00EA61CF"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ure</w:t>
      </w:r>
      <w:r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S</w:t>
      </w:r>
      <w:r w:rsidR="00340261"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7</w:t>
      </w:r>
      <w:r w:rsidR="00EA61CF"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:</w:t>
      </w:r>
      <w:r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The NMR spectrum for F2708-0139.</w:t>
      </w:r>
    </w:p>
    <w:p w14:paraId="4B97B4BE" w14:textId="77777777" w:rsidR="00C433A6" w:rsidRPr="001B6A6C" w:rsidRDefault="00C433A6" w:rsidP="00C433A6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B6A6C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zh-CN"/>
        </w:rPr>
        <w:lastRenderedPageBreak/>
        <w:drawing>
          <wp:inline distT="0" distB="0" distL="0" distR="0" wp14:anchorId="48C7C414" wp14:editId="32BA01F1">
            <wp:extent cx="5415695" cy="7663218"/>
            <wp:effectExtent l="0" t="0" r="0" b="0"/>
            <wp:docPr id="17" name="Picture 17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2708-0140-M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1350" cy="767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813E2" w14:textId="2969445A" w:rsidR="008475E9" w:rsidRPr="00EA61CF" w:rsidRDefault="00C433A6" w:rsidP="00C433A6">
      <w:pPr>
        <w:ind w:firstLine="360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  <w:lang w:eastAsia="zh-CN"/>
        </w:rPr>
      </w:pPr>
      <w:r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Fig</w:t>
      </w:r>
      <w:r w:rsidR="00EA61CF"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ure </w:t>
      </w:r>
      <w:r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S</w:t>
      </w:r>
      <w:r w:rsidR="00340261"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8</w:t>
      </w:r>
      <w:r w:rsid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:</w:t>
      </w:r>
      <w:r w:rsidRPr="00EA61C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The MS spectrum for F2708-0140.</w:t>
      </w:r>
    </w:p>
    <w:sectPr w:rsidR="008475E9" w:rsidRPr="00EA61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3A6"/>
    <w:rsid w:val="00016189"/>
    <w:rsid w:val="00065FF1"/>
    <w:rsid w:val="001B6A6C"/>
    <w:rsid w:val="00340261"/>
    <w:rsid w:val="0043095B"/>
    <w:rsid w:val="00431569"/>
    <w:rsid w:val="00455889"/>
    <w:rsid w:val="00476163"/>
    <w:rsid w:val="00532D79"/>
    <w:rsid w:val="005945BC"/>
    <w:rsid w:val="005A6378"/>
    <w:rsid w:val="0067422A"/>
    <w:rsid w:val="006766FD"/>
    <w:rsid w:val="007A1B72"/>
    <w:rsid w:val="008475E9"/>
    <w:rsid w:val="00A43A18"/>
    <w:rsid w:val="00AA1D5D"/>
    <w:rsid w:val="00B76A79"/>
    <w:rsid w:val="00B92978"/>
    <w:rsid w:val="00B96E5C"/>
    <w:rsid w:val="00C433A6"/>
    <w:rsid w:val="00DC77DC"/>
    <w:rsid w:val="00EA61CF"/>
    <w:rsid w:val="00EC1B70"/>
    <w:rsid w:val="00FA747F"/>
    <w:rsid w:val="00FC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AF3BE"/>
  <w15:chartTrackingRefBased/>
  <w15:docId w15:val="{1428E322-44AB-4B39-8722-52403AB95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433A6"/>
    <w:pPr>
      <w:spacing w:after="0" w:line="240" w:lineRule="auto"/>
    </w:pPr>
    <w:rPr>
      <w:rFonts w:eastAsia="SimSu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5FF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33A6"/>
    <w:rPr>
      <w:color w:val="0563C1" w:themeColor="hyperlink"/>
      <w:u w:val="single"/>
    </w:rPr>
  </w:style>
  <w:style w:type="paragraph" w:customStyle="1" w:styleId="Default">
    <w:name w:val="Default"/>
    <w:rsid w:val="00C433A6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065FF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1B6A6C"/>
    <w:pPr>
      <w:widowControl w:val="0"/>
      <w:autoSpaceDE w:val="0"/>
      <w:autoSpaceDN w:val="0"/>
      <w:ind w:left="100"/>
    </w:pPr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1B6A6C"/>
    <w:rPr>
      <w:rFonts w:ascii="Calibri" w:eastAsia="Calibri" w:hAnsi="Calibri" w:cs="Calibri"/>
      <w:sz w:val="24"/>
      <w:szCs w:val="24"/>
    </w:rPr>
  </w:style>
  <w:style w:type="paragraph" w:styleId="Revision">
    <w:name w:val="Revision"/>
    <w:hidden/>
    <w:uiPriority w:val="99"/>
    <w:semiHidden/>
    <w:rsid w:val="006766FD"/>
    <w:pPr>
      <w:spacing w:after="0" w:line="240" w:lineRule="auto"/>
    </w:pPr>
    <w:rPr>
      <w:rFonts w:eastAsia="SimSun"/>
      <w:sz w:val="24"/>
      <w:szCs w:val="24"/>
    </w:rPr>
  </w:style>
  <w:style w:type="character" w:styleId="UnresolvedMention">
    <w:name w:val="Unresolved Mention"/>
    <w:basedOn w:val="DefaultParagraphFont"/>
    <w:uiPriority w:val="99"/>
    <w:rsid w:val="00AA1D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12" Type="http://schemas.openxmlformats.org/officeDocument/2006/relationships/image" Target="media/image8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7.emf"/><Relationship Id="rId5" Type="http://schemas.openxmlformats.org/officeDocument/2006/relationships/image" Target="media/image1.tiff"/><Relationship Id="rId10" Type="http://schemas.openxmlformats.org/officeDocument/2006/relationships/image" Target="media/image6.jpg"/><Relationship Id="rId4" Type="http://schemas.openxmlformats.org/officeDocument/2006/relationships/hyperlink" Target="mailto:mjohnson@uic.edu" TargetMode="External"/><Relationship Id="rId9" Type="http://schemas.openxmlformats.org/officeDocument/2006/relationships/image" Target="media/image5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651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Vaid, Tasneem</cp:lastModifiedBy>
  <cp:revision>12</cp:revision>
  <dcterms:created xsi:type="dcterms:W3CDTF">2022-08-13T20:35:00Z</dcterms:created>
  <dcterms:modified xsi:type="dcterms:W3CDTF">2022-08-18T21:51:00Z</dcterms:modified>
</cp:coreProperties>
</file>