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BCA" w:rsidRPr="007106B7" w:rsidRDefault="00E55BCA" w:rsidP="00E55BCA">
      <w:pPr>
        <w:widowControl w:val="0"/>
        <w:autoSpaceDE w:val="0"/>
        <w:autoSpaceDN w:val="0"/>
        <w:adjustRightInd w:val="0"/>
        <w:spacing w:after="0" w:line="480" w:lineRule="auto"/>
        <w:ind w:left="480" w:hanging="480"/>
        <w:jc w:val="both"/>
        <w:rPr>
          <w:sz w:val="24"/>
          <w:lang w:val="en-US"/>
        </w:rPr>
      </w:pPr>
      <w:r w:rsidRPr="00765712">
        <w:rPr>
          <w:rFonts w:ascii="Times New Roman" w:hAnsi="Times New Roman" w:cs="Times New Roman"/>
          <w:b/>
          <w:bCs/>
          <w:sz w:val="24"/>
          <w:szCs w:val="24"/>
          <w:lang w:val="en-GB"/>
        </w:rPr>
        <w:t>Additional file 1:</w:t>
      </w:r>
      <w:r w:rsidRPr="00765712">
        <w:rPr>
          <w:rFonts w:ascii="Times New Roman" w:hAnsi="Times New Roman" w:cs="Times New Roman"/>
          <w:b/>
          <w:bCs/>
          <w:color w:val="000000"/>
          <w:sz w:val="24"/>
          <w:szCs w:val="24"/>
          <w:lang w:val="en-GB"/>
        </w:rPr>
        <w:t xml:space="preserve"> </w:t>
      </w:r>
      <w:r w:rsidRPr="00765712">
        <w:rPr>
          <w:rFonts w:ascii="Times New Roman" w:hAnsi="Times New Roman" w:cs="Times New Roman"/>
          <w:b/>
          <w:bCs/>
          <w:sz w:val="24"/>
          <w:szCs w:val="24"/>
          <w:lang w:val="en-GB"/>
        </w:rPr>
        <w:t>Table S1</w:t>
      </w:r>
      <w:r w:rsidRPr="007106B7">
        <w:rPr>
          <w:b/>
          <w:bCs/>
          <w:sz w:val="24"/>
          <w:lang w:val="en-US"/>
        </w:rPr>
        <w:t>:</w:t>
      </w:r>
      <w:r w:rsidRPr="007106B7">
        <w:rPr>
          <w:lang w:val="en-US"/>
        </w:rPr>
        <w:t xml:space="preserve"> </w:t>
      </w:r>
      <w:r w:rsidRPr="007106B7">
        <w:rPr>
          <w:sz w:val="24"/>
          <w:lang w:val="en-US"/>
        </w:rPr>
        <w:t xml:space="preserve">List of primers sequences used for detecting V410L, F1534C and V1016I kdr mutations of </w:t>
      </w:r>
      <w:r w:rsidRPr="007106B7">
        <w:rPr>
          <w:i/>
          <w:iCs/>
          <w:sz w:val="24"/>
          <w:lang w:val="en-US"/>
        </w:rPr>
        <w:t>Aedes aegypti</w:t>
      </w:r>
      <w:r w:rsidRPr="007106B7">
        <w:rPr>
          <w:sz w:val="24"/>
          <w:lang w:val="en-US"/>
        </w:rPr>
        <w:t xml:space="preserve"> from Ouagadougou health district.</w:t>
      </w:r>
    </w:p>
    <w:tbl>
      <w:tblPr>
        <w:tblStyle w:val="PlainTable2"/>
        <w:tblW w:w="11125" w:type="dxa"/>
        <w:tblInd w:w="-964" w:type="dxa"/>
        <w:tblLook w:val="04A0" w:firstRow="1" w:lastRow="0" w:firstColumn="1" w:lastColumn="0" w:noHBand="0" w:noVBand="1"/>
      </w:tblPr>
      <w:tblGrid>
        <w:gridCol w:w="1706"/>
        <w:gridCol w:w="6963"/>
        <w:gridCol w:w="2456"/>
      </w:tblGrid>
      <w:tr w:rsidR="00E55BCA" w:rsidRPr="00765712" w:rsidTr="000514FD">
        <w:trPr>
          <w:cnfStyle w:val="100000000000" w:firstRow="1" w:lastRow="0" w:firstColumn="0" w:lastColumn="0" w:oddVBand="0" w:evenVBand="0" w:oddHBand="0"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1706" w:type="dxa"/>
          </w:tcPr>
          <w:p w:rsidR="00E55BCA" w:rsidRPr="00765712" w:rsidRDefault="00E55BCA" w:rsidP="000514FD">
            <w:pPr>
              <w:pStyle w:val="NormalWeb"/>
              <w:spacing w:line="480" w:lineRule="auto"/>
              <w:jc w:val="both"/>
              <w:rPr>
                <w:b w:val="0"/>
                <w:bCs w:val="0"/>
                <w:sz w:val="24"/>
                <w:szCs w:val="24"/>
              </w:rPr>
            </w:pPr>
            <w:r w:rsidRPr="00765712">
              <w:rPr>
                <w:b w:val="0"/>
                <w:bCs w:val="0"/>
                <w:sz w:val="24"/>
                <w:szCs w:val="24"/>
              </w:rPr>
              <w:t>Kdr mutations</w:t>
            </w:r>
          </w:p>
        </w:tc>
        <w:tc>
          <w:tcPr>
            <w:tcW w:w="6963" w:type="dxa"/>
          </w:tcPr>
          <w:p w:rsidR="00E55BCA" w:rsidRPr="00765712" w:rsidRDefault="00E55BCA" w:rsidP="000514FD">
            <w:pPr>
              <w:pStyle w:val="NormalWeb"/>
              <w:spacing w:line="480" w:lineRule="auto"/>
              <w:jc w:val="both"/>
              <w:cnfStyle w:val="100000000000" w:firstRow="1" w:lastRow="0" w:firstColumn="0" w:lastColumn="0" w:oddVBand="0" w:evenVBand="0" w:oddHBand="0" w:evenHBand="0" w:firstRowFirstColumn="0" w:firstRowLastColumn="0" w:lastRowFirstColumn="0" w:lastRowLastColumn="0"/>
              <w:rPr>
                <w:b w:val="0"/>
                <w:bCs w:val="0"/>
                <w:sz w:val="24"/>
                <w:szCs w:val="24"/>
              </w:rPr>
            </w:pPr>
            <w:r w:rsidRPr="00765712">
              <w:rPr>
                <w:b w:val="0"/>
                <w:bCs w:val="0"/>
                <w:sz w:val="24"/>
                <w:szCs w:val="24"/>
              </w:rPr>
              <w:t>Primers sequences</w:t>
            </w:r>
          </w:p>
        </w:tc>
        <w:tc>
          <w:tcPr>
            <w:tcW w:w="2456" w:type="dxa"/>
          </w:tcPr>
          <w:p w:rsidR="00E55BCA" w:rsidRPr="00765712" w:rsidRDefault="00E55BCA" w:rsidP="000514FD">
            <w:pPr>
              <w:pStyle w:val="NormalWeb"/>
              <w:spacing w:line="480" w:lineRule="auto"/>
              <w:jc w:val="both"/>
              <w:cnfStyle w:val="100000000000" w:firstRow="1" w:lastRow="0" w:firstColumn="0" w:lastColumn="0" w:oddVBand="0" w:evenVBand="0" w:oddHBand="0" w:evenHBand="0" w:firstRowFirstColumn="0" w:firstRowLastColumn="0" w:lastRowFirstColumn="0" w:lastRowLastColumn="0"/>
              <w:rPr>
                <w:b w:val="0"/>
                <w:bCs w:val="0"/>
                <w:sz w:val="24"/>
                <w:szCs w:val="24"/>
              </w:rPr>
            </w:pPr>
            <w:r w:rsidRPr="00765712">
              <w:rPr>
                <w:b w:val="0"/>
                <w:bCs w:val="0"/>
                <w:sz w:val="24"/>
                <w:szCs w:val="24"/>
              </w:rPr>
              <w:t xml:space="preserve">References </w:t>
            </w:r>
          </w:p>
        </w:tc>
      </w:tr>
      <w:tr w:rsidR="00E55BCA" w:rsidRPr="00765712" w:rsidTr="000514FD">
        <w:trPr>
          <w:cnfStyle w:val="000000100000" w:firstRow="0" w:lastRow="0" w:firstColumn="0" w:lastColumn="0" w:oddVBand="0" w:evenVBand="0" w:oddHBand="1" w:evenHBand="0" w:firstRowFirstColumn="0" w:firstRowLastColumn="0" w:lastRowFirstColumn="0" w:lastRowLastColumn="0"/>
          <w:trHeight w:val="1898"/>
        </w:trPr>
        <w:tc>
          <w:tcPr>
            <w:cnfStyle w:val="001000000000" w:firstRow="0" w:lastRow="0" w:firstColumn="1" w:lastColumn="0" w:oddVBand="0" w:evenVBand="0" w:oddHBand="0" w:evenHBand="0" w:firstRowFirstColumn="0" w:firstRowLastColumn="0" w:lastRowFirstColumn="0" w:lastRowLastColumn="0"/>
            <w:tcW w:w="1706" w:type="dxa"/>
          </w:tcPr>
          <w:p w:rsidR="00E55BCA" w:rsidRPr="00765712" w:rsidRDefault="00E55BCA" w:rsidP="000514FD">
            <w:pPr>
              <w:pStyle w:val="NormalWeb"/>
              <w:spacing w:before="0" w:beforeAutospacing="0" w:after="0" w:afterAutospacing="0" w:line="480" w:lineRule="auto"/>
              <w:jc w:val="both"/>
              <w:rPr>
                <w:b w:val="0"/>
                <w:bCs w:val="0"/>
                <w:sz w:val="24"/>
                <w:szCs w:val="24"/>
              </w:rPr>
            </w:pPr>
            <w:r w:rsidRPr="00765712">
              <w:rPr>
                <w:b w:val="0"/>
                <w:bCs w:val="0"/>
                <w:sz w:val="24"/>
                <w:szCs w:val="24"/>
              </w:rPr>
              <w:t>V410L</w:t>
            </w:r>
          </w:p>
        </w:tc>
        <w:tc>
          <w:tcPr>
            <w:tcW w:w="6963" w:type="dxa"/>
          </w:tcPr>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i/>
                <w:iCs/>
                <w:sz w:val="24"/>
                <w:szCs w:val="24"/>
              </w:rPr>
            </w:pPr>
            <w:r w:rsidRPr="00765712">
              <w:rPr>
                <w:i/>
                <w:iCs/>
                <w:sz w:val="24"/>
                <w:szCs w:val="24"/>
              </w:rPr>
              <w:t>kdr genotyping</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 xml:space="preserve">PM1_Ext_419F: GAT TCC TCC AGA ACT CCA CC </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 xml:space="preserve">PM1_Ext_419R: TCA ATG GAT TTG GGT GAC AA </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 xml:space="preserve">PM1_F_419Wt: CTT GGG TTC GTT CTA CCT TG </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PM1_F_419Mut: CTT GGG TTC GTT CTA CCT TT</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i/>
                <w:iCs/>
                <w:sz w:val="24"/>
                <w:szCs w:val="24"/>
              </w:rPr>
            </w:pPr>
            <w:r w:rsidRPr="00765712">
              <w:rPr>
                <w:i/>
                <w:iCs/>
                <w:sz w:val="24"/>
                <w:szCs w:val="24"/>
              </w:rPr>
              <w:t>Direct sequencing</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rPr>
            </w:pPr>
            <w:r w:rsidRPr="00765712">
              <w:rPr>
                <w:sz w:val="24"/>
              </w:rPr>
              <w:t>PM1_Ext_419R: TCA ATG GAT TTG GGT GAC AA</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rPr>
              <w:t>BF113F: CGC CAA CGT GAA ATA CCA TG</w:t>
            </w:r>
          </w:p>
        </w:tc>
        <w:tc>
          <w:tcPr>
            <w:tcW w:w="2456" w:type="dxa"/>
            <w:vAlign w:val="center"/>
          </w:tcPr>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rStyle w:val="FootnoteReference"/>
                <w:sz w:val="24"/>
                <w:szCs w:val="24"/>
              </w:rPr>
              <w:fldChar w:fldCharType="begin" w:fldLock="1"/>
            </w:r>
            <w:r w:rsidRPr="00765712">
              <w:rPr>
                <w:sz w:val="24"/>
                <w:szCs w:val="24"/>
              </w:rPr>
              <w:instrText>ADDIN CSL_CITATION {"citationItems":[{"id":"ITEM-1","itemData":{"DOI":"10.3390/insects9010023","ISBN":"5742196520","author":[{"dropping-particle":"","family":"Granada","given":"Yurany","non-dropping-particle":"","parse-names":false,"suffix":""},{"dropping-particle":"","family":"Mar","given":"Ana","non-dropping-particle":"","parse-names":false,"suffix":""},{"dropping-particle":"","family":"Strode","given":"Clare","non-dropping-particle":"","parse-names":false,"suffix":""},{"dropping-particle":"","family":"Triana-chavez","given":"Omar","non-dropping-particle":"","parse-names":false,"suffix":""}],"container-title":"Insects","id":"ITEM-1","issued":{"date-parts":[["2018"]]},"page":"23","title":"A point mutation V419L in the sodium channel gene from natural populations of Aedes aegypti is involved in resistance to λ -cyhalothrin in Colombia","type":"article-journal","volume":"9"},"uris":["http://www.mendeley.com/documents/?uuid=bcdb028a-c4d3-4ae1-849f-875db80df371"]}],"mendeley":{"formattedCitation":"[17]","plainTextFormattedCitation":"[17]","previouslyFormattedCitation":"[17]"},"properties":{"noteIndex":0},"schema":"https://github.com/citation-style-language/schema/raw/master/csl-citation.json"}</w:instrText>
            </w:r>
            <w:r w:rsidRPr="00765712">
              <w:rPr>
                <w:rStyle w:val="FootnoteReference"/>
                <w:sz w:val="24"/>
                <w:szCs w:val="24"/>
              </w:rPr>
              <w:fldChar w:fldCharType="separate"/>
            </w:r>
            <w:r w:rsidRPr="00765712">
              <w:rPr>
                <w:noProof/>
                <w:sz w:val="24"/>
                <w:szCs w:val="24"/>
              </w:rPr>
              <w:t>[17]</w:t>
            </w:r>
            <w:r w:rsidRPr="00765712">
              <w:rPr>
                <w:rStyle w:val="FootnoteReference"/>
                <w:sz w:val="24"/>
                <w:szCs w:val="24"/>
              </w:rPr>
              <w:fldChar w:fldCharType="end"/>
            </w:r>
            <w:r w:rsidRPr="00765712">
              <w:rPr>
                <w:sz w:val="24"/>
                <w:szCs w:val="24"/>
              </w:rPr>
              <w:t xml:space="preserve"> </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lang w:val="fr-FR"/>
              </w:rPr>
            </w:pP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lang w:val="fr-FR"/>
              </w:rPr>
            </w:pP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rStyle w:val="FootnoteReference"/>
                <w:sz w:val="24"/>
                <w:szCs w:val="24"/>
              </w:rPr>
              <w:fldChar w:fldCharType="begin" w:fldLock="1"/>
            </w:r>
            <w:r w:rsidRPr="00765712">
              <w:rPr>
                <w:sz w:val="24"/>
                <w:szCs w:val="24"/>
              </w:rPr>
              <w:instrText>ADDIN CSL_CITATION {"citationItems":[{"id":"ITEM-1","itemData":{"DOI":"10.3390/insects9010023","ISBN":"5742196520","author":[{"dropping-particle":"","family":"Granada","given":"Yurany","non-dropping-particle":"","parse-names":false,"suffix":""},{"dropping-particle":"","family":"Mar","given":"Ana","non-dropping-particle":"","parse-names":false,"suffix":""},{"dropping-particle":"","family":"Strode","given":"Clare","non-dropping-particle":"","parse-names":false,"suffix":""},{"dropping-particle":"","family":"Triana-chavez","given":"Omar","non-dropping-particle":"","parse-names":false,"suffix":""}],"container-title":"Insects","id":"ITEM-1","issued":{"date-parts":[["2018"]]},"page":"23","title":"A point mutation V419L in the sodium channel gene from natural populations of Aedes aegypti is involved in resistance to λ -cyhalothrin in Colombia","type":"article-journal","volume":"9"},"uris":["http://www.mendeley.com/documents/?uuid=bcdb028a-c4d3-4ae1-849f-875db80df371"]}],"mendeley":{"formattedCitation":"[17]","plainTextFormattedCitation":"[17]","previouslyFormattedCitation":"[17]"},"properties":{"noteIndex":0},"schema":"https://github.com/citation-style-language/schema/raw/master/csl-citation.json"}</w:instrText>
            </w:r>
            <w:r w:rsidRPr="00765712">
              <w:rPr>
                <w:rStyle w:val="FootnoteReference"/>
                <w:sz w:val="24"/>
                <w:szCs w:val="24"/>
              </w:rPr>
              <w:fldChar w:fldCharType="separate"/>
            </w:r>
            <w:r w:rsidRPr="00765712">
              <w:rPr>
                <w:noProof/>
                <w:sz w:val="24"/>
                <w:szCs w:val="24"/>
              </w:rPr>
              <w:t>[17]</w:t>
            </w:r>
            <w:r w:rsidRPr="00765712">
              <w:rPr>
                <w:rStyle w:val="FootnoteReference"/>
                <w:sz w:val="24"/>
                <w:szCs w:val="24"/>
              </w:rPr>
              <w:fldChar w:fldCharType="end"/>
            </w:r>
            <w:r w:rsidRPr="00765712">
              <w:rPr>
                <w:sz w:val="24"/>
                <w:szCs w:val="24"/>
              </w:rPr>
              <w:t xml:space="preserve"> </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This study</w:t>
            </w:r>
          </w:p>
        </w:tc>
      </w:tr>
      <w:tr w:rsidR="00E55BCA" w:rsidRPr="000D6DA6" w:rsidTr="000514FD">
        <w:trPr>
          <w:trHeight w:val="210"/>
        </w:trPr>
        <w:tc>
          <w:tcPr>
            <w:cnfStyle w:val="001000000000" w:firstRow="0" w:lastRow="0" w:firstColumn="1" w:lastColumn="0" w:oddVBand="0" w:evenVBand="0" w:oddHBand="0" w:evenHBand="0" w:firstRowFirstColumn="0" w:firstRowLastColumn="0" w:lastRowFirstColumn="0" w:lastRowLastColumn="0"/>
            <w:tcW w:w="1706" w:type="dxa"/>
          </w:tcPr>
          <w:p w:rsidR="00E55BCA" w:rsidRPr="00765712" w:rsidRDefault="00E55BCA" w:rsidP="000514FD">
            <w:pPr>
              <w:pStyle w:val="NormalWeb"/>
              <w:spacing w:line="480" w:lineRule="auto"/>
              <w:jc w:val="both"/>
              <w:rPr>
                <w:b w:val="0"/>
                <w:bCs w:val="0"/>
                <w:sz w:val="24"/>
                <w:szCs w:val="24"/>
              </w:rPr>
            </w:pPr>
            <w:r w:rsidRPr="00765712">
              <w:rPr>
                <w:b w:val="0"/>
                <w:bCs w:val="0"/>
                <w:sz w:val="24"/>
                <w:szCs w:val="24"/>
              </w:rPr>
              <w:t>F1534C</w:t>
            </w:r>
          </w:p>
        </w:tc>
        <w:tc>
          <w:tcPr>
            <w:tcW w:w="6963" w:type="dxa"/>
          </w:tcPr>
          <w:p w:rsidR="00E55BCA" w:rsidRPr="00765712" w:rsidRDefault="00E55BCA" w:rsidP="000514FD">
            <w:pPr>
              <w:pStyle w:val="NormalWeb"/>
              <w:spacing w:before="0" w:beforeAutospacing="0" w:after="0" w:afterAutospacing="0" w:line="480" w:lineRule="auto"/>
              <w:jc w:val="both"/>
              <w:cnfStyle w:val="000000000000" w:firstRow="0" w:lastRow="0" w:firstColumn="0" w:lastColumn="0" w:oddVBand="0" w:evenVBand="0" w:oddHBand="0" w:evenHBand="0" w:firstRowFirstColumn="0" w:firstRowLastColumn="0" w:lastRowFirstColumn="0" w:lastRowLastColumn="0"/>
              <w:rPr>
                <w:i/>
                <w:iCs/>
                <w:sz w:val="24"/>
                <w:szCs w:val="24"/>
              </w:rPr>
            </w:pPr>
            <w:r w:rsidRPr="00765712">
              <w:rPr>
                <w:i/>
                <w:iCs/>
                <w:sz w:val="24"/>
                <w:szCs w:val="24"/>
              </w:rPr>
              <w:t>kdr genotyping</w:t>
            </w:r>
          </w:p>
          <w:p w:rsidR="00E55BCA" w:rsidRPr="00765712" w:rsidRDefault="00E55BCA" w:rsidP="000514FD">
            <w:pPr>
              <w:pStyle w:val="NormalWeb"/>
              <w:spacing w:before="0" w:beforeAutospacing="0" w:after="0" w:afterAutospacing="0"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FR"/>
              </w:rPr>
            </w:pPr>
            <w:r w:rsidRPr="00765712">
              <w:rPr>
                <w:rFonts w:eastAsia="Times New Roman"/>
                <w:sz w:val="24"/>
                <w:szCs w:val="24"/>
                <w:lang w:eastAsia="fr-FR"/>
              </w:rPr>
              <w:t>c1534-f: GCG TAC CTG TGT CTG TTC CA</w:t>
            </w:r>
          </w:p>
          <w:p w:rsidR="00E55BCA" w:rsidRPr="00765712" w:rsidRDefault="00E55BCA" w:rsidP="000514FD">
            <w:pPr>
              <w:pStyle w:val="NormalWeb"/>
              <w:spacing w:before="0" w:beforeAutospacing="0" w:after="0" w:afterAutospacing="0"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FR"/>
              </w:rPr>
            </w:pPr>
            <w:r w:rsidRPr="00765712">
              <w:rPr>
                <w:rFonts w:eastAsia="Times New Roman"/>
                <w:sz w:val="24"/>
                <w:szCs w:val="24"/>
                <w:lang w:eastAsia="fr-FR"/>
              </w:rPr>
              <w:t>c1534-r: GGC TTC TTC GAG CCC ATC TT</w:t>
            </w:r>
          </w:p>
          <w:p w:rsidR="00E55BCA" w:rsidRPr="00765712" w:rsidRDefault="00E55BCA" w:rsidP="000514FD">
            <w:pPr>
              <w:pStyle w:val="NormalWeb"/>
              <w:spacing w:before="0" w:beforeAutospacing="0" w:after="0" w:afterAutospacing="0" w:line="480" w:lineRule="auto"/>
              <w:jc w:val="both"/>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FR"/>
              </w:rPr>
            </w:pPr>
            <w:r w:rsidRPr="00765712">
              <w:rPr>
                <w:rFonts w:eastAsia="Times New Roman"/>
                <w:sz w:val="24"/>
                <w:szCs w:val="24"/>
                <w:lang w:eastAsia="fr-FR"/>
              </w:rPr>
              <w:t>Ae1534F-r: GCG TGA AGA ACG ACC CGA</w:t>
            </w:r>
          </w:p>
          <w:p w:rsidR="00E55BCA" w:rsidRPr="00765712" w:rsidRDefault="00E55BCA" w:rsidP="000514FD">
            <w:pPr>
              <w:pStyle w:val="NormalWeb"/>
              <w:spacing w:before="0" w:beforeAutospacing="0" w:after="0" w:afterAutospacing="0" w:line="48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765712">
              <w:rPr>
                <w:rFonts w:eastAsia="Times New Roman"/>
                <w:sz w:val="24"/>
                <w:szCs w:val="24"/>
                <w:lang w:eastAsia="fr-FR"/>
              </w:rPr>
              <w:t>Ae1534C-f: CCT CTA CTT TGT GTT CTT CAT CAT CTG</w:t>
            </w:r>
          </w:p>
        </w:tc>
        <w:tc>
          <w:tcPr>
            <w:tcW w:w="2456" w:type="dxa"/>
            <w:vAlign w:val="center"/>
          </w:tcPr>
          <w:p w:rsidR="00E55BCA" w:rsidRPr="00765712" w:rsidRDefault="00E55BCA" w:rsidP="000514FD">
            <w:pPr>
              <w:pStyle w:val="NormalWeb"/>
              <w:spacing w:line="480"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765712">
              <w:rPr>
                <w:rStyle w:val="FootnoteReference"/>
                <w:sz w:val="24"/>
                <w:szCs w:val="24"/>
              </w:rPr>
              <w:fldChar w:fldCharType="begin" w:fldLock="1"/>
            </w:r>
            <w:r w:rsidRPr="00765712">
              <w:rPr>
                <w:sz w:val="24"/>
                <w:szCs w:val="24"/>
              </w:rPr>
              <w:instrText>ADDIN CSL_CITATION {"citationItems":[{"id":"ITEM-1","itemData":{"DOI":"10.1186/s13071-017-2416-x","ISSN":"17563305","PMID":"29017613","abstract":"© 2017 The Author(s). Background: Mutation of the voltage-gated sodium channel (VGSC) gene, or knockdown resistance (kdr) gene, is an important resistance mechanism of the dengue vector Aedes aegypti mosquitoes against pyrethroids. In many countries in Asia, a valine to glycine substitution (V1016G) and a phenylalanine to cysteine substitution (F1534C) are common in Ae. aegypti populations. The G1016 and C1534 allele frequencies have been increasing in recent years, and hence there is a need to have a simple and inexpensive tool to monitor the alleles in large scale. Methods: A multiplex PCR to detect V1016G and F1534C mutations has been developed in the current study. This study utilized primers from previous studies for detecting the mutation at position 1016 and newly designed primers to detect variants at position 1534. The PCR conditions were validated and compared with DNA sequencing using known kdr mutant laboratory strains and field collected mosquitoes. The efficacy of this method was also compared with allele-specific PCR (AS-PCR). Results: The results of our multiplex PCR were in complete agreement with sequencing data and better than the AS-PCR. In addition, the efficiency of two non-toxic DNA staining dyes, Ultrapower™ and RedSafe™, were evaluated by comparing with ethidium bromide (EtBr) and the results were satisfactory. Conclusions: Our multiplex PCR method is highly reliable and useful for implementing vector surveillance in locations where the two alleles co-occur.","author":[{"dropping-particle":"","family":"Saingamsook","given":"Jassada","non-dropping-particle":"","parse-names":false,"suffix":""},{"dropping-particle":"","family":"Saeung","given":"Atiporn","non-dropping-particle":"","parse-names":false,"suffix":""},{"dropping-particle":"","family":"Yanola","given":"Jintana","non-dropping-particle":"","parse-names":false,"suffix":""},{"dropping-particle":"","family":"Lumjuan","given":"Nongkran","non-dropping-particle":"","parse-names":false,"suffix":""},{"dropping-particle":"","family":"Walton","given":"Catherine","non-dropping-particle":"","parse-names":false,"suffix":""},{"dropping-particle":"","family":"Somboon","given":"Pradya","non-dropping-particle":"","parse-names":false,"suffix":""}],"container-title":"Parasites &amp; Vectors","id":"ITEM-1","issued":{"date-parts":[["2017"]]},"page":"465","publisher":"Parasites &amp; Vectors","title":"A multiplex PCR for detection of knockdown resistance mutations, V1016G and F1534C, in pyrethroid-resistant Aedes aegypti","type":"article-journal","volume":"10"},"uris":["http://www.mendeley.com/documents/?uuid=61b75efd-acf4-473d-9319-8622a7aad69e"]}],"mendeley":{"formattedCitation":"[28]","plainTextFormattedCitation":"[28]","previouslyFormattedCitation":"[28]"},"properties":{"noteIndex":0},"schema":"https://github.com/citation-style-language/schema/raw/master/csl-citation.json"}</w:instrText>
            </w:r>
            <w:r w:rsidRPr="00765712">
              <w:rPr>
                <w:rStyle w:val="FootnoteReference"/>
                <w:sz w:val="24"/>
                <w:szCs w:val="24"/>
              </w:rPr>
              <w:fldChar w:fldCharType="separate"/>
            </w:r>
            <w:r w:rsidRPr="00765712">
              <w:rPr>
                <w:noProof/>
                <w:sz w:val="24"/>
                <w:szCs w:val="24"/>
              </w:rPr>
              <w:t>[28]</w:t>
            </w:r>
            <w:r w:rsidRPr="00765712">
              <w:rPr>
                <w:rStyle w:val="FootnoteReference"/>
                <w:sz w:val="24"/>
                <w:szCs w:val="24"/>
              </w:rPr>
              <w:fldChar w:fldCharType="end"/>
            </w:r>
          </w:p>
        </w:tc>
      </w:tr>
      <w:tr w:rsidR="00E55BCA" w:rsidRPr="00765712" w:rsidTr="000514FD">
        <w:trPr>
          <w:cnfStyle w:val="000000100000" w:firstRow="0" w:lastRow="0" w:firstColumn="0" w:lastColumn="0" w:oddVBand="0" w:evenVBand="0" w:oddHBand="1" w:evenHBand="0"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1706" w:type="dxa"/>
          </w:tcPr>
          <w:p w:rsidR="00E55BCA" w:rsidRPr="00765712" w:rsidRDefault="00E55BCA" w:rsidP="000514FD">
            <w:pPr>
              <w:pStyle w:val="NormalWeb"/>
              <w:spacing w:line="480" w:lineRule="auto"/>
              <w:jc w:val="both"/>
              <w:rPr>
                <w:b w:val="0"/>
                <w:bCs w:val="0"/>
                <w:sz w:val="24"/>
                <w:szCs w:val="24"/>
              </w:rPr>
            </w:pPr>
            <w:r w:rsidRPr="00765712">
              <w:rPr>
                <w:b w:val="0"/>
                <w:bCs w:val="0"/>
                <w:sz w:val="24"/>
                <w:szCs w:val="24"/>
              </w:rPr>
              <w:t>V1016I</w:t>
            </w:r>
          </w:p>
        </w:tc>
        <w:tc>
          <w:tcPr>
            <w:tcW w:w="6963" w:type="dxa"/>
          </w:tcPr>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i/>
                <w:iCs/>
                <w:sz w:val="24"/>
                <w:szCs w:val="24"/>
              </w:rPr>
            </w:pPr>
            <w:r w:rsidRPr="00765712">
              <w:rPr>
                <w:i/>
                <w:iCs/>
                <w:sz w:val="24"/>
                <w:szCs w:val="24"/>
              </w:rPr>
              <w:t>Kdr genotyping</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Val1016f: GCG GGC AGG GCG GCG GGG GCG GGG CCA CAA ATT GTT TCC CAC CCG CAC CGG</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Iso1016f: GCG GGC ACA AAT TGT TTC CCA CCC GCA CTG A</w:t>
            </w:r>
          </w:p>
          <w:p w:rsidR="00E55BCA" w:rsidRPr="00765712" w:rsidRDefault="00E55BCA" w:rsidP="000514FD">
            <w:pPr>
              <w:pStyle w:val="NormalWeb"/>
              <w:spacing w:before="0" w:beforeAutospacing="0" w:after="0" w:afterAutospacing="0"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sz w:val="24"/>
                <w:szCs w:val="24"/>
              </w:rPr>
              <w:t>Iso1016r: GGA TGA ACC GAA ATT GGA CAA AAG C</w:t>
            </w:r>
          </w:p>
        </w:tc>
        <w:tc>
          <w:tcPr>
            <w:tcW w:w="2456" w:type="dxa"/>
            <w:vAlign w:val="center"/>
          </w:tcPr>
          <w:p w:rsidR="00E55BCA" w:rsidRPr="00765712" w:rsidRDefault="00E55BCA" w:rsidP="000514FD">
            <w:pPr>
              <w:pStyle w:val="NormalWeb"/>
              <w:spacing w:line="480"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765712">
              <w:rPr>
                <w:rStyle w:val="FootnoteReference"/>
                <w:sz w:val="24"/>
                <w:szCs w:val="24"/>
              </w:rPr>
              <w:fldChar w:fldCharType="begin" w:fldLock="1"/>
            </w:r>
            <w:r w:rsidRPr="00765712">
              <w:rPr>
                <w:sz w:val="24"/>
                <w:szCs w:val="24"/>
              </w:rPr>
              <w:instrText>ADDIN CSL_CITATION {"citationItems":[{"id":"ITEM-1","itemData":{"author":[{"dropping-particle":"","family":"Saavedra-Rodriguez","given":"K.","non-dropping-particle":"","parse-names":false,"suffix":""},{"dropping-particle":"","family":"Urdaneta-Marquez","given":"L.","non-dropping-particle":"","parse-names":false,"suffix":""},{"dropping-particle":"","family":"Rajatileka","given":"S.","non-dropping-particle":"","parse-names":false,"suffix":""},{"dropping-particle":"","family":"Moulton","given":"M.","non-dropping-particle":"","parse-names":false,"suffix":""},{"dropping-particle":"","family":"Flores","given":"A. E.","non-dropping-particle":"","parse-names":false,"suffix":""},{"dropping-particle":"","family":"I. Fernandez- Salas","given":"","non-dropping-particle":"","parse-names":false,"suffix":""},{"dropping-particle":"","family":"Bisset","given":"J","non-dropping-particle":"","parse-names":false,"suffix":""},{"dropping-particle":"","family":"Rodriguez","given":"M","non-dropping-particle":"","parse-names":false,"suffix":""},{"dropping-particle":"","family":"Mccall","given":"P J","non-dropping-particle":"","parse-names":false,"suffix":""},{"dropping-particle":"","family":"Donnelly","given":"M J","non-dropping-particle":"","parse-names":false,"suffix":""},{"dropping-particle":"","family":"Ranson","given":"H","non-dropping-particle":"","parse-names":false,"suffix":""},{"dropping-particle":"","family":"Hemingway","given":"J","non-dropping-particle":"","parse-names":false,"suffix":""},{"dropping-particle":"","family":"Iv","given":"W C Black","non-dropping-particle":"","parse-names":false,"suffix":""}],"container-title":"Insect Molecular Biology","id":"ITEM-1","issued":{"date-parts":[["2007"]]},"page":"785-798","title":"A mutation in the voltage-gated sodium channel gene associated with pyrethroid resistance in Latin American Aedes aegypti","type":"article-journal","volume":"16"},"uris":["http://www.mendeley.com/documents/?uuid=25079d04-ff9b-4061-b4fd-210d87f7e4bc"]}],"mendeley":{"formattedCitation":"[29]","plainTextFormattedCitation":"[29]","previouslyFormattedCitation":"[29]"},"properties":{"noteIndex":0},"schema":"https://github.com/citation-style-language/schema/raw/master/csl-citation.json"}</w:instrText>
            </w:r>
            <w:r w:rsidRPr="00765712">
              <w:rPr>
                <w:rStyle w:val="FootnoteReference"/>
                <w:sz w:val="24"/>
                <w:szCs w:val="24"/>
              </w:rPr>
              <w:fldChar w:fldCharType="separate"/>
            </w:r>
            <w:r w:rsidRPr="00765712">
              <w:rPr>
                <w:noProof/>
                <w:sz w:val="24"/>
                <w:szCs w:val="24"/>
              </w:rPr>
              <w:t>[29]</w:t>
            </w:r>
            <w:r w:rsidRPr="00765712">
              <w:rPr>
                <w:rStyle w:val="FootnoteReference"/>
                <w:sz w:val="24"/>
                <w:szCs w:val="24"/>
              </w:rPr>
              <w:fldChar w:fldCharType="end"/>
            </w:r>
          </w:p>
        </w:tc>
      </w:tr>
    </w:tbl>
    <w:p w:rsidR="00E55BCA" w:rsidRPr="00A9475E" w:rsidRDefault="00E55BCA" w:rsidP="00E55BCA">
      <w:pPr>
        <w:spacing w:line="360" w:lineRule="auto"/>
        <w:rPr>
          <w:rFonts w:ascii="Times New Roman" w:hAnsi="Times New Roman" w:cs="Times New Roman"/>
          <w:sz w:val="24"/>
          <w:szCs w:val="24"/>
          <w:lang w:val="en-US"/>
        </w:rPr>
      </w:pPr>
    </w:p>
    <w:p w:rsidR="001760E5" w:rsidRDefault="00E55BCA">
      <w:bookmarkStart w:id="0" w:name="_GoBack"/>
      <w:bookmarkEnd w:id="0"/>
    </w:p>
    <w:sectPr w:rsidR="001760E5" w:rsidSect="0086224E">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2409471"/>
      <w:docPartObj>
        <w:docPartGallery w:val="Page Numbers (Bottom of Page)"/>
        <w:docPartUnique/>
      </w:docPartObj>
    </w:sdtPr>
    <w:sdtEndPr/>
    <w:sdtContent>
      <w:p w:rsidR="001D51B3" w:rsidRDefault="00E55BCA">
        <w:pPr>
          <w:pStyle w:val="Footer"/>
          <w:jc w:val="center"/>
        </w:pPr>
        <w:r>
          <w:fldChar w:fldCharType="begin"/>
        </w:r>
        <w:r>
          <w:instrText>PAGE   \* MERGEFORMAT</w:instrText>
        </w:r>
        <w:r>
          <w:fldChar w:fldCharType="separate"/>
        </w:r>
        <w:r>
          <w:rPr>
            <w:noProof/>
          </w:rPr>
          <w:t>1</w:t>
        </w:r>
        <w:r>
          <w:fldChar w:fldCharType="end"/>
        </w:r>
      </w:p>
    </w:sdtContent>
  </w:sdt>
  <w:p w:rsidR="001D51B3" w:rsidRDefault="00E55BC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BCA"/>
    <w:rsid w:val="008A3324"/>
    <w:rsid w:val="00996CDB"/>
    <w:rsid w:val="00BA546E"/>
    <w:rsid w:val="00E55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026C72-49AD-4E47-A959-A3D1274E7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BCA"/>
    <w:rPr>
      <w:rFonts w:eastAsia="MS Mincho"/>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99"/>
    <w:rsid w:val="00E55BCA"/>
    <w:pPr>
      <w:spacing w:after="0" w:line="240" w:lineRule="auto"/>
    </w:pPr>
    <w:rPr>
      <w:rFonts w:eastAsia="MS Mincho"/>
      <w:lang w:val="fr-F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E55B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5BCA"/>
    <w:rPr>
      <w:rFonts w:eastAsia="MS Mincho"/>
      <w:lang w:val="fr-FR"/>
    </w:rPr>
  </w:style>
  <w:style w:type="paragraph" w:styleId="NormalWeb">
    <w:name w:val="Normal (Web)"/>
    <w:basedOn w:val="Normal"/>
    <w:uiPriority w:val="99"/>
    <w:unhideWhenUsed/>
    <w:rsid w:val="00E55BCA"/>
    <w:pPr>
      <w:spacing w:before="100" w:beforeAutospacing="1" w:after="100" w:afterAutospacing="1" w:line="240" w:lineRule="auto"/>
    </w:pPr>
    <w:rPr>
      <w:rFonts w:ascii="Times New Roman" w:eastAsiaTheme="minorEastAsia" w:hAnsi="Times New Roman" w:cs="Times New Roman"/>
      <w:sz w:val="20"/>
      <w:szCs w:val="20"/>
      <w:lang w:val="en-US"/>
    </w:rPr>
  </w:style>
  <w:style w:type="character" w:styleId="FootnoteReference">
    <w:name w:val="footnote reference"/>
    <w:basedOn w:val="DefaultParagraphFont"/>
    <w:uiPriority w:val="99"/>
    <w:semiHidden/>
    <w:unhideWhenUsed/>
    <w:rsid w:val="00E55BCA"/>
    <w:rPr>
      <w:vertAlign w:val="superscript"/>
    </w:rPr>
  </w:style>
  <w:style w:type="character" w:styleId="LineNumber">
    <w:name w:val="line number"/>
    <w:basedOn w:val="DefaultParagraphFont"/>
    <w:uiPriority w:val="99"/>
    <w:semiHidden/>
    <w:unhideWhenUsed/>
    <w:rsid w:val="00E55B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1281</Words>
  <Characters>7303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2022-08-24T06:56:00Z</dcterms:created>
  <dcterms:modified xsi:type="dcterms:W3CDTF">2022-08-24T06:57:00Z</dcterms:modified>
</cp:coreProperties>
</file>