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1"/>
          <w:szCs w:val="24"/>
          <w:lang w:val="en-US"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Raw data of case1 Pathological examination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Hematoxylin-eosin staining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1" name="图片 1" descr="滤泡癌（血管、内膜侵犯），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滤泡癌（血管、内膜侵犯），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77640"/>
            <wp:effectExtent l="0" t="0" r="10160" b="3810"/>
            <wp:docPr id="3" name="图片 3" descr="滤泡癌（血管、内膜侵犯）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滤泡癌（血管、内膜侵犯），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MWEzYjNiY2Y5Zjk2Y2MzMzhlMmE3NjUzNmEwOTEifQ=="/>
  </w:docVars>
  <w:rsids>
    <w:rsidRoot w:val="00000000"/>
    <w:rsid w:val="482603AC"/>
    <w:rsid w:val="64F8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2022-08-31T11:26:00Z</dcterms:created>
  <dc:creator>Administrator</dc:creator>
  <cp:lastModifiedBy>S靠着阳光走</cp:lastModifiedBy>
  <dcterms:modified xsi:type="dcterms:W3CDTF">2022-08-31T11:36:47Z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9DDDE325D2F9458A952BB71E2D9992AB</vt:lpwstr>
  </property>
</Properties>
</file>