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625B" w:rsidRPr="00AF3393" w:rsidRDefault="002B625B" w:rsidP="002B625B">
      <w:pPr>
        <w:jc w:val="both"/>
        <w:rPr>
          <w:rFonts w:ascii="Segoe UI" w:hAnsi="Segoe UI" w:cs="Segoe UI"/>
          <w:color w:val="000000" w:themeColor="text1"/>
          <w:sz w:val="20"/>
          <w:szCs w:val="20"/>
          <w:lang w:val="en-GB"/>
        </w:rPr>
      </w:pPr>
      <w:r w:rsidRPr="00AF3393">
        <w:rPr>
          <w:rFonts w:ascii="Segoe UI" w:hAnsi="Segoe UI" w:cs="Segoe UI"/>
          <w:b/>
          <w:bCs/>
          <w:color w:val="000000" w:themeColor="text1"/>
          <w:sz w:val="20"/>
          <w:szCs w:val="20"/>
          <w:lang w:val="en-GB"/>
        </w:rPr>
        <w:t>Supplementary Table.</w:t>
      </w:r>
      <w:r w:rsidRPr="00AF3393">
        <w:rPr>
          <w:rFonts w:ascii="Segoe UI" w:hAnsi="Segoe UI" w:cs="Segoe UI"/>
          <w:color w:val="000000" w:themeColor="text1"/>
          <w:sz w:val="20"/>
          <w:szCs w:val="20"/>
          <w:lang w:val="en-GB"/>
        </w:rPr>
        <w:t xml:space="preserve"> Odds ratio (OR) and corresponding 95% confidence intervals (CI)</w:t>
      </w:r>
      <w:r w:rsidRPr="00AF3393">
        <w:rPr>
          <w:rFonts w:ascii="Segoe UI" w:hAnsi="Segoe UI" w:cs="Segoe UI"/>
          <w:color w:val="000000" w:themeColor="text1"/>
          <w:sz w:val="20"/>
          <w:szCs w:val="20"/>
          <w:vertAlign w:val="superscript"/>
          <w:lang w:val="en-GB"/>
        </w:rPr>
        <w:t>a</w:t>
      </w:r>
      <w:r w:rsidRPr="00AF3393">
        <w:rPr>
          <w:rFonts w:ascii="Segoe UI" w:hAnsi="Segoe UI" w:cs="Segoe UI"/>
          <w:color w:val="000000" w:themeColor="text1"/>
          <w:sz w:val="20"/>
          <w:szCs w:val="20"/>
          <w:lang w:val="en-GB"/>
        </w:rPr>
        <w:t xml:space="preserve"> for chemosensory impairment (SNOT-22) at COVID-19 diagnosis according to socio-demographic and clinical characteristics</w:t>
      </w:r>
    </w:p>
    <w:p w:rsidR="002B625B" w:rsidRPr="00AF3393" w:rsidRDefault="002B625B" w:rsidP="002B625B">
      <w:pPr>
        <w:jc w:val="both"/>
        <w:rPr>
          <w:rFonts w:ascii="Segoe UI" w:hAnsi="Segoe UI" w:cs="Segoe UI"/>
          <w:b/>
          <w:color w:val="000000" w:themeColor="text1"/>
          <w:sz w:val="20"/>
          <w:szCs w:val="20"/>
          <w:lang w:val="en-US"/>
        </w:rPr>
      </w:pPr>
    </w:p>
    <w:tbl>
      <w:tblPr>
        <w:tblStyle w:val="TableGrid"/>
        <w:tblW w:w="1431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9"/>
        <w:gridCol w:w="698"/>
        <w:gridCol w:w="842"/>
        <w:gridCol w:w="558"/>
        <w:gridCol w:w="841"/>
        <w:gridCol w:w="1934"/>
        <w:gridCol w:w="1818"/>
        <w:gridCol w:w="558"/>
        <w:gridCol w:w="841"/>
        <w:gridCol w:w="1949"/>
        <w:gridCol w:w="1958"/>
      </w:tblGrid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2195" w:type="dxa"/>
            <w:gridSpan w:val="10"/>
            <w:tcBorders>
              <w:bottom w:val="nil"/>
            </w:tcBorders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  <w:t>Chemosensory impairment (SNOT-22)</w:t>
            </w:r>
          </w:p>
        </w:tc>
      </w:tr>
      <w:tr w:rsidR="002B625B" w:rsidRPr="00960485" w:rsidTr="00897F3E">
        <w:trPr>
          <w:trHeight w:val="241"/>
        </w:trPr>
        <w:tc>
          <w:tcPr>
            <w:tcW w:w="2121" w:type="dxa"/>
            <w:tcBorders>
              <w:bottom w:val="nil"/>
            </w:tcBorders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  <w:t>None</w:t>
            </w:r>
          </w:p>
        </w:tc>
        <w:tc>
          <w:tcPr>
            <w:tcW w:w="5237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  <w:t>Very mild to Light</w:t>
            </w:r>
          </w:p>
        </w:tc>
        <w:tc>
          <w:tcPr>
            <w:tcW w:w="5400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  <w:t>Moderate to “As bad as it can be”</w:t>
            </w: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  <w:t>(%)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  <w:t>n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  <w:t>(%)</w:t>
            </w:r>
          </w:p>
        </w:tc>
        <w:tc>
          <w:tcPr>
            <w:tcW w:w="1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  <w:t>Univariate</w:t>
            </w:r>
          </w:p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  <w:t>Multivariable</w:t>
            </w:r>
          </w:p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  <w:t>n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  <w:t>(%)</w:t>
            </w:r>
          </w:p>
        </w:tc>
        <w:tc>
          <w:tcPr>
            <w:tcW w:w="19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  <w:t>Univariate</w:t>
            </w:r>
          </w:p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1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  <w:t>Multivariable</w:t>
            </w:r>
          </w:p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color w:val="000000" w:themeColor="text1"/>
                <w:sz w:val="20"/>
                <w:szCs w:val="20"/>
                <w:lang w:val="en-GB"/>
              </w:rPr>
              <w:t>OR (95% CI)</w:t>
            </w: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sz w:val="20"/>
                <w:szCs w:val="20"/>
                <w:lang w:val="en-GB"/>
              </w:rPr>
              <w:t>Gender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ind w:left="142"/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Male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91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(69.5)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23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(17.6)</w:t>
            </w: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(13.0)</w:t>
            </w: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ind w:left="142"/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102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(62.6)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22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(13.5)</w:t>
            </w: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0.85 (0.45-1.63)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0.86 (0.45-1.68)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39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(23.9)</w:t>
            </w: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2.05 (1.08-3.87)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2.14 (1.11-4.14)</w:t>
            </w: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sz w:val="20"/>
                <w:szCs w:val="20"/>
                <w:lang w:val="en-GB"/>
              </w:rPr>
              <w:t xml:space="preserve">Age </w:t>
            </w:r>
            <w:r w:rsidRPr="00AF3393">
              <w:rPr>
                <w:rFonts w:ascii="Segoe UI" w:hAnsi="Segoe UI" w:cs="Segoe UI"/>
                <w:bCs/>
                <w:sz w:val="20"/>
                <w:szCs w:val="20"/>
                <w:lang w:val="en-GB"/>
              </w:rPr>
              <w:t>(years)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ind w:left="142"/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&lt;35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47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(62.7)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(18.7)</w:t>
            </w: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(18.7)</w:t>
            </w: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ind w:left="142"/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35 to 54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72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(60.5)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(16.0)</w:t>
            </w: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0.89 (0.41-1.94)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28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(23.5)</w:t>
            </w: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1.31 (0.62-2.74)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ind w:left="142"/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≥55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74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(74.0)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(12.0)</w:t>
            </w: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0.54 (0.23-1.28)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(14.0)</w:t>
            </w: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0.64 (0.28-1.45)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</w:tr>
      <w:tr w:rsidR="002B625B" w:rsidRPr="00960485" w:rsidTr="00897F3E">
        <w:trPr>
          <w:trHeight w:val="241"/>
        </w:trPr>
        <w:tc>
          <w:tcPr>
            <w:tcW w:w="7076" w:type="dxa"/>
            <w:gridSpan w:val="6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sz w:val="20"/>
                <w:szCs w:val="20"/>
                <w:lang w:val="en-GB"/>
              </w:rPr>
              <w:t xml:space="preserve">Body Mass Index </w:t>
            </w:r>
            <w:r w:rsidRPr="00AF3393">
              <w:rPr>
                <w:rFonts w:ascii="Segoe UI" w:hAnsi="Segoe UI" w:cs="Segoe UI"/>
                <w:bCs/>
                <w:sz w:val="20"/>
                <w:szCs w:val="20"/>
                <w:lang w:val="en-GB"/>
              </w:rPr>
              <w:t>(kg/m</w:t>
            </w:r>
            <w:r w:rsidRPr="00AF3393">
              <w:rPr>
                <w:rFonts w:ascii="Segoe UI" w:hAnsi="Segoe UI" w:cs="Segoe UI"/>
                <w:bCs/>
                <w:sz w:val="20"/>
                <w:szCs w:val="20"/>
                <w:vertAlign w:val="superscript"/>
                <w:lang w:val="en-GB"/>
              </w:rPr>
              <w:t>2</w:t>
            </w:r>
            <w:r w:rsidRPr="00AF3393">
              <w:rPr>
                <w:rFonts w:ascii="Segoe UI" w:hAnsi="Segoe UI" w:cs="Segoe UI"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ind w:left="142"/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&lt;25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174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(67.7)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39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(15.2)</w:t>
            </w: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44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(14.1)</w:t>
            </w: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ind w:left="142"/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≥25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(51.4)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(16.2)</w:t>
            </w: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1.41 (0.53-3.76)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2.21 (0.73-6.69)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(32.4)</w:t>
            </w: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2.50 (1.13-5.53)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1.77 (0.69-4.54)</w:t>
            </w: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sz w:val="20"/>
                <w:szCs w:val="20"/>
                <w:lang w:val="en-GB"/>
              </w:rPr>
              <w:t>Tobacco smoking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ind w:left="142"/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Never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121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(67.2)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27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(15.0)</w:t>
            </w: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32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(17.8)</w:t>
            </w: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ind w:left="142"/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Ever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72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(63.2)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(15.8)</w:t>
            </w: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1.12 (0.58-2.18)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24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(21.1)</w:t>
            </w: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1.26 (0.69-2.31)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sz w:val="20"/>
                <w:szCs w:val="20"/>
                <w:lang w:val="en-GB"/>
              </w:rPr>
              <w:t>Alcohol drinking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sz w:val="20"/>
                <w:szCs w:val="20"/>
                <w:lang w:val="en-GB"/>
              </w:rPr>
            </w:pP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ind w:left="142"/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Never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138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(64.5)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30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(14.0)</w:t>
            </w: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46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(21.5)</w:t>
            </w: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ind w:left="142"/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Ever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55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(68.8)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(18.8)</w:t>
            </w: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1.26 (0.63-2.51)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(12.5)</w:t>
            </w: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0.55 (0.26-1.16)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</w:tr>
      <w:tr w:rsidR="002B625B" w:rsidRPr="00AF3393" w:rsidTr="00897F3E">
        <w:trPr>
          <w:trHeight w:val="241"/>
        </w:trPr>
        <w:tc>
          <w:tcPr>
            <w:tcW w:w="7076" w:type="dxa"/>
            <w:gridSpan w:val="6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bCs/>
                <w:sz w:val="20"/>
                <w:szCs w:val="20"/>
                <w:lang w:val="en-GB"/>
              </w:rPr>
              <w:t>Number of comorbidities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ind w:left="142"/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0-1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168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(66.7)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42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(16.7)</w:t>
            </w: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42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(16.7)</w:t>
            </w: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ind w:left="142"/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≥2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25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(59.5)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(7.1)</w:t>
            </w: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0.48 (0.14-1.67)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0.39 (0.10-1.58)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(33.3)</w:t>
            </w: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2.24 (1.07-4.68)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1.77 (0.71-4.39)</w:t>
            </w: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b/>
                <w:bCs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b/>
                <w:bCs/>
                <w:sz w:val="20"/>
                <w:szCs w:val="20"/>
                <w:lang w:val="en-GB"/>
              </w:rPr>
              <w:t>Vaccination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ind w:left="142"/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Partially/Unvaccinated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34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(68.0)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(14.0)</w:t>
            </w: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(18.0)</w:t>
            </w: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ind w:left="142"/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Fully vaccinated</w:t>
            </w:r>
            <w:r w:rsidRPr="00AF3393">
              <w:rPr>
                <w:rFonts w:ascii="Segoe UI" w:hAnsi="Segoe UI" w:cs="Segoe UI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159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(65.2)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38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(15.6)</w:t>
            </w: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1.16 (0.48-2.82)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47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(19.3)</w:t>
            </w: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AF3393">
              <w:rPr>
                <w:rFonts w:ascii="Segoe UI" w:hAnsi="Segoe UI" w:cs="Segoe UI"/>
                <w:sz w:val="20"/>
                <w:szCs w:val="20"/>
                <w:lang w:val="en-GB"/>
              </w:rPr>
              <w:t>1.12 (0.50-2.49)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</w:tr>
      <w:tr w:rsidR="002B625B" w:rsidRPr="00AF3393" w:rsidTr="00897F3E">
        <w:trPr>
          <w:trHeight w:val="241"/>
        </w:trPr>
        <w:tc>
          <w:tcPr>
            <w:tcW w:w="2121" w:type="dxa"/>
            <w:shd w:val="clear" w:color="auto" w:fill="auto"/>
            <w:vAlign w:val="center"/>
          </w:tcPr>
          <w:p w:rsidR="002B625B" w:rsidRPr="00AF3393" w:rsidRDefault="002B625B" w:rsidP="00897F3E">
            <w:pPr>
              <w:ind w:left="142"/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707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1996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  <w:tc>
          <w:tcPr>
            <w:tcW w:w="1988" w:type="dxa"/>
            <w:shd w:val="clear" w:color="auto" w:fill="auto"/>
            <w:vAlign w:val="center"/>
          </w:tcPr>
          <w:p w:rsidR="002B625B" w:rsidRPr="00AF3393" w:rsidRDefault="002B625B" w:rsidP="00897F3E">
            <w:pPr>
              <w:jc w:val="both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</w:tc>
      </w:tr>
    </w:tbl>
    <w:p w:rsidR="002B625B" w:rsidRPr="00AF3393" w:rsidRDefault="002B625B" w:rsidP="002B625B">
      <w:pPr>
        <w:jc w:val="both"/>
        <w:rPr>
          <w:rFonts w:ascii="Segoe UI" w:hAnsi="Segoe UI" w:cs="Segoe UI"/>
          <w:color w:val="000000" w:themeColor="text1"/>
          <w:sz w:val="20"/>
          <w:szCs w:val="20"/>
          <w:lang w:val="en-US"/>
        </w:rPr>
      </w:pPr>
      <w:r w:rsidRPr="00AF3393">
        <w:rPr>
          <w:rFonts w:ascii="Segoe UI" w:hAnsi="Segoe UI" w:cs="Segoe UI"/>
          <w:color w:val="000000" w:themeColor="text1"/>
          <w:sz w:val="20"/>
          <w:szCs w:val="20"/>
          <w:vertAlign w:val="superscript"/>
          <w:lang w:val="en-US"/>
        </w:rPr>
        <w:t>a</w:t>
      </w:r>
      <w:r w:rsidRPr="00AF3393">
        <w:rPr>
          <w:rFonts w:ascii="Segoe UI" w:hAnsi="Segoe UI" w:cs="Segoe UI"/>
          <w:color w:val="000000" w:themeColor="text1"/>
          <w:sz w:val="20"/>
          <w:szCs w:val="20"/>
          <w:lang w:val="en-US"/>
        </w:rPr>
        <w:t xml:space="preserve">Estimated from multinomial logistic regression model. </w:t>
      </w:r>
    </w:p>
    <w:p w:rsidR="002B625B" w:rsidRPr="00AF3393" w:rsidRDefault="002B625B" w:rsidP="002B625B">
      <w:pPr>
        <w:rPr>
          <w:rFonts w:ascii="Segoe UI" w:hAnsi="Segoe UI" w:cs="Segoe UI"/>
          <w:color w:val="000000" w:themeColor="text1"/>
          <w:sz w:val="20"/>
          <w:szCs w:val="20"/>
          <w:lang w:val="en-US"/>
        </w:rPr>
      </w:pPr>
      <w:r w:rsidRPr="00AF3393">
        <w:rPr>
          <w:rFonts w:ascii="Segoe UI" w:hAnsi="Segoe UI" w:cs="Segoe UI"/>
          <w:color w:val="000000" w:themeColor="text1"/>
          <w:sz w:val="20"/>
          <w:szCs w:val="20"/>
          <w:vertAlign w:val="superscript"/>
          <w:lang w:val="en-US"/>
        </w:rPr>
        <w:t>b</w:t>
      </w:r>
      <w:r w:rsidRPr="00AF3393">
        <w:rPr>
          <w:rFonts w:ascii="Segoe UI" w:hAnsi="Segoe UI" w:cs="Segoe UI"/>
          <w:color w:val="000000" w:themeColor="text1"/>
          <w:sz w:val="20"/>
          <w:szCs w:val="20"/>
          <w:lang w:val="en-GB"/>
        </w:rPr>
        <w:t>Individuals were considered fully vaccinated if they had received the required dose(s) of a SARS-CoV-2 vaccine and were at least 14 days after completion.</w:t>
      </w:r>
    </w:p>
    <w:p w:rsidR="002B625B" w:rsidRPr="00AF3393" w:rsidRDefault="002B625B" w:rsidP="002B625B">
      <w:pPr>
        <w:jc w:val="both"/>
        <w:rPr>
          <w:rFonts w:ascii="Segoe UI" w:eastAsiaTheme="minorHAnsi" w:hAnsi="Segoe UI" w:cs="Segoe UI"/>
          <w:bCs/>
          <w:sz w:val="20"/>
          <w:szCs w:val="20"/>
          <w:lang w:val="en-US" w:eastAsia="en-US"/>
        </w:rPr>
      </w:pPr>
      <w:bookmarkStart w:id="0" w:name="_GoBack"/>
      <w:bookmarkEnd w:id="0"/>
    </w:p>
    <w:sectPr w:rsidR="002B625B" w:rsidRPr="00AF3393" w:rsidSect="002B625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25B"/>
    <w:rsid w:val="00117E38"/>
    <w:rsid w:val="002B6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C24BA1-313E-45F0-9532-4AC4E34E5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62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625B"/>
    <w:pPr>
      <w:spacing w:after="0" w:line="240" w:lineRule="auto"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297</Words>
  <Characters>1693</Characters>
  <Application>Microsoft Office Word</Application>
  <DocSecurity>0</DocSecurity>
  <Lines>14</Lines>
  <Paragraphs>3</Paragraphs>
  <ScaleCrop>false</ScaleCrop>
  <Company>Springer Nature</Company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2022-08-24T10:25:00Z</dcterms:created>
  <dcterms:modified xsi:type="dcterms:W3CDTF">2022-08-24T10:26:00Z</dcterms:modified>
</cp:coreProperties>
</file>