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3351" w:rsidRDefault="00EF3351" w:rsidP="00EF3351">
      <w:pPr>
        <w:pStyle w:val="Heading1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070C1C">
        <w:rPr>
          <w:rFonts w:ascii="Times New Roman" w:hAnsi="Times New Roman" w:cs="Times New Roman"/>
          <w:b/>
          <w:bCs/>
          <w:color w:val="auto"/>
          <w:sz w:val="24"/>
          <w:szCs w:val="24"/>
        </w:rPr>
        <w:t>APPENDIX</w:t>
      </w:r>
    </w:p>
    <w:p w:rsidR="00EF3351" w:rsidRDefault="00EF3351" w:rsidP="00EF3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2E3C6D">
        <w:rPr>
          <w:rFonts w:ascii="Times New Roman" w:hAnsi="Times New Roman" w:cs="Times New Roman"/>
          <w:b/>
          <w:bCs/>
        </w:rPr>
        <w:t>Table A1</w:t>
      </w:r>
      <w:r>
        <w:rPr>
          <w:rFonts w:ascii="Times New Roman" w:hAnsi="Times New Roman" w:cs="Times New Roman"/>
        </w:rPr>
        <w:t xml:space="preserve"> Description of target variables </w:t>
      </w:r>
    </w:p>
    <w:p w:rsidR="00EF3351" w:rsidRDefault="00EF3351" w:rsidP="00EF33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54"/>
        <w:gridCol w:w="9603"/>
        <w:gridCol w:w="893"/>
      </w:tblGrid>
      <w:tr w:rsidR="00EF3351" w:rsidRPr="0033199C" w:rsidTr="008F6341">
        <w:trPr>
          <w:trHeight w:val="290"/>
        </w:trPr>
        <w:tc>
          <w:tcPr>
            <w:tcW w:w="0" w:type="auto"/>
            <w:shd w:val="clear" w:color="auto" w:fill="D9D9D9" w:themeFill="background1" w:themeFillShade="D9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variables</w:t>
            </w:r>
          </w:p>
        </w:tc>
        <w:tc>
          <w:tcPr>
            <w:tcW w:w="0" w:type="auto"/>
            <w:shd w:val="clear" w:color="auto" w:fill="D9D9D9" w:themeFill="background1" w:themeFillShade="D9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Description of variables</w:t>
            </w:r>
          </w:p>
        </w:tc>
        <w:tc>
          <w:tcPr>
            <w:tcW w:w="0" w:type="auto"/>
            <w:shd w:val="clear" w:color="auto" w:fill="D9D9D9" w:themeFill="background1" w:themeFillShade="D9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Donor survey</w:t>
            </w: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Risk of being outside</w:t>
            </w:r>
          </w:p>
        </w:tc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there are more risks associated with leaving my home than before the pandemic</w:t>
            </w:r>
          </w:p>
        </w:tc>
        <w:tc>
          <w:tcPr>
            <w:tcW w:w="0" w:type="auto"/>
            <w:vMerge w:val="restart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SiSTM</w:t>
            </w: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 xml:space="preserve">Risk of ridesourcing 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there is more risk associated with using ridesourcing services than before the pandemic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Risk of taxi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there is more risk associated with using taxi services than before the pandemic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Risk of carpooling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there is more risk associated with carpooling than before the pandemic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Risk of car-sharing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there is more risk associated with using car-sharing services (e.g. Zipcar, Communauto) than before the pandemic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Less willing to travel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am less willing to spend time travelling within the Greater Toronto Area than I was before the pandemic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Less willing to visit distant places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am less willing to visit places that are far from my home than I was before the pandemic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 xml:space="preserve">Prefer social distancing </w:t>
            </w:r>
          </w:p>
        </w:tc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prefer to stay away from others while travelling during the pandemic</w:t>
            </w:r>
          </w:p>
        </w:tc>
        <w:tc>
          <w:tcPr>
            <w:tcW w:w="0" w:type="auto"/>
            <w:vMerge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Concerned about daily new cases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am concerned about the number of daily new cases in Ontario, Canada</w:t>
            </w:r>
          </w:p>
        </w:tc>
        <w:tc>
          <w:tcPr>
            <w:tcW w:w="0" w:type="auto"/>
            <w:vMerge w:val="restart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SPETT</w:t>
            </w: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Concerned about new variants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am concerned about the emergence of the new variant of COVID-19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Concerned about mortality rate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am concerned about the mortality rate of the disease which is causing the pandemic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Concerned about vaccine efficacy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am concerned about the efficacy of the vaccine/medical interventions currently available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Concerned about community vaccination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am concerned about the update on community vaccination rate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Risk of public transit</w:t>
            </w:r>
          </w:p>
        </w:tc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that there is a high risk of getting infected while using public transit</w:t>
            </w:r>
          </w:p>
        </w:tc>
        <w:tc>
          <w:tcPr>
            <w:tcW w:w="0" w:type="auto"/>
            <w:vMerge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Bus/streetcar safe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perceive bus/streetcar to be mostly safe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Subway safe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perceive subway to be mostly safe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Regional transit safe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perceive GO Train (regional transit) to be mostly safe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Use transit during Stage 1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will feel safe to ride public transit during Stage 1 (60% adults vaccinated with one dose, outdoor open with limited, well managed crowding) of the three-stage reopening plan of Ontario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Use transit during Stage 2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 xml:space="preserve">I will feel safe to ride public transit during Stage 2 (70% adults vaccinated with one dose and 20% fully vaccinated, indoors open with small capacity and face coverings and outdoor capacity expanded) 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Use transit during Stage 3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will feel safe to ride public transit during Stage 3 (70-80% adults vaccinated with one dose and 25% fully vaccinated, indoors expanded where face coverings can’t always be worn)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Use transit after first dose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will feel safe to ride public transit after I have been vaccinated with first dose, while many still wait for the dose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Use transit after fully vaccinated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will feel safe to ride public transit after I have been fully vaccinated, but before enough people have been vaccinated to formally end the crisis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Telecommuting is advantageous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that telecommuting has more advantages than disadvantages</w:t>
            </w:r>
          </w:p>
        </w:tc>
        <w:tc>
          <w:tcPr>
            <w:tcW w:w="0" w:type="auto"/>
            <w:vMerge w:val="restart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CASAS</w:t>
            </w: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Telecommuting more common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believe that telecommuting should be more common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hybrid work for social connections</w:t>
            </w:r>
          </w:p>
        </w:tc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If I have the option to work from home, I will still go to office once or twice a week to maintain social connections</w:t>
            </w:r>
          </w:p>
        </w:tc>
        <w:tc>
          <w:tcPr>
            <w:tcW w:w="0" w:type="auto"/>
            <w:vMerge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hybrid work for professional connections</w:t>
            </w:r>
          </w:p>
        </w:tc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If I have the option to work from home, I will still go to office once or twice a week to maintain professional connections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hybrid work for not losing opportunities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If I have the option to work from home, I will still go to office once or twice a week to not lose the opportunities and promotions by being out of sight, out of mind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online shopping for saving time and cost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prefer to buy groceries online because I can save travel time and travel cost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online shopping because always open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prefer to buy groceries online because e-shopping does not have a closing time (open 24/7)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online shopping because safer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prefer to buy groceries online because the risk of getting sick is higher in physical purchasing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in-store shopping for assessing freshness</w:t>
            </w:r>
          </w:p>
        </w:tc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prefer in-store grocery shopping because I can assess the freshness of the product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in-store shopping for being reminded</w:t>
            </w:r>
          </w:p>
        </w:tc>
        <w:tc>
          <w:tcPr>
            <w:tcW w:w="0" w:type="auto"/>
            <w:noWrap/>
            <w:hideMark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prefer in-store grocery shopping because I can be reminded to buy something (by seeing it on the shelves) that I need to buy but it is not on my list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3351" w:rsidRPr="0033199C" w:rsidTr="008F6341">
        <w:trPr>
          <w:trHeight w:val="290"/>
        </w:trPr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Prefer in-store shopping for leisure</w:t>
            </w:r>
          </w:p>
        </w:tc>
        <w:tc>
          <w:tcPr>
            <w:tcW w:w="0" w:type="auto"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3199C">
              <w:rPr>
                <w:rFonts w:ascii="Times New Roman" w:hAnsi="Times New Roman" w:cs="Times New Roman"/>
                <w:sz w:val="20"/>
                <w:szCs w:val="20"/>
              </w:rPr>
              <w:t>I prefer in-store grocery shopping because in-store purchasing is a kind of leisure for me</w:t>
            </w:r>
          </w:p>
        </w:tc>
        <w:tc>
          <w:tcPr>
            <w:tcW w:w="0" w:type="auto"/>
            <w:vMerge/>
            <w:noWrap/>
          </w:tcPr>
          <w:p w:rsidR="00EF3351" w:rsidRPr="0033199C" w:rsidRDefault="00EF3351" w:rsidP="008F63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F3351" w:rsidRDefault="00EF3351" w:rsidP="00EF3351"/>
    <w:p w:rsidR="00EF3351" w:rsidRDefault="00EF3351" w:rsidP="00EF3351">
      <w:pPr>
        <w:rPr>
          <w:rFonts w:ascii="Times New Roman" w:hAnsi="Times New Roman" w:cs="Times New Roman"/>
        </w:rPr>
      </w:pPr>
      <w:r w:rsidRPr="002E3C6D">
        <w:rPr>
          <w:rFonts w:ascii="Times New Roman" w:hAnsi="Times New Roman" w:cs="Times New Roman"/>
          <w:b/>
          <w:bCs/>
        </w:rPr>
        <w:t>Table A2</w:t>
      </w:r>
      <w:r w:rsidRPr="0084414F">
        <w:rPr>
          <w:rFonts w:ascii="Times New Roman" w:hAnsi="Times New Roman" w:cs="Times New Roman"/>
        </w:rPr>
        <w:t xml:space="preserve"> Summary results of the </w:t>
      </w:r>
      <w:r>
        <w:rPr>
          <w:rFonts w:ascii="Times New Roman" w:hAnsi="Times New Roman" w:cs="Times New Roman"/>
        </w:rPr>
        <w:t xml:space="preserve">data </w:t>
      </w:r>
      <w:r w:rsidRPr="0084414F">
        <w:rPr>
          <w:rFonts w:ascii="Times New Roman" w:hAnsi="Times New Roman" w:cs="Times New Roman"/>
        </w:rPr>
        <w:t xml:space="preserve">fusion process (for variables imputed from the </w:t>
      </w:r>
      <w:r>
        <w:rPr>
          <w:rFonts w:ascii="Times New Roman" w:hAnsi="Times New Roman" w:cs="Times New Roman"/>
        </w:rPr>
        <w:t>SPETT</w:t>
      </w:r>
      <w:r w:rsidRPr="0084414F">
        <w:rPr>
          <w:rFonts w:ascii="Times New Roman" w:hAnsi="Times New Roman" w:cs="Times New Roman"/>
        </w:rPr>
        <w:t xml:space="preserve"> survey)</w:t>
      </w:r>
    </w:p>
    <w:tbl>
      <w:tblPr>
        <w:tblW w:w="127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992"/>
        <w:gridCol w:w="936"/>
        <w:gridCol w:w="637"/>
        <w:gridCol w:w="639"/>
        <w:gridCol w:w="708"/>
        <w:gridCol w:w="851"/>
        <w:gridCol w:w="709"/>
        <w:gridCol w:w="708"/>
        <w:gridCol w:w="851"/>
        <w:gridCol w:w="709"/>
        <w:gridCol w:w="850"/>
        <w:gridCol w:w="851"/>
        <w:gridCol w:w="748"/>
      </w:tblGrid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  <w:t>Target variable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(%)</w:t>
            </w:r>
          </w:p>
        </w:tc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Age</w:t>
            </w:r>
          </w:p>
        </w:tc>
        <w:tc>
          <w:tcPr>
            <w:tcW w:w="36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Average trip rates (trips per person)</w:t>
            </w:r>
          </w:p>
        </w:tc>
        <w:tc>
          <w:tcPr>
            <w:tcW w:w="40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Modal share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6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Total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Work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School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Shopping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Other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Driver 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Passenger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Transit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Walk &amp; cycle</w:t>
            </w:r>
          </w:p>
        </w:tc>
        <w:tc>
          <w:tcPr>
            <w:tcW w:w="7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Other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Concerned about daily new cases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(31.7%)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44.7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0.974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0.196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0.030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0.125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63.23%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7.85%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13.66%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13.55%</w:t>
            </w:r>
          </w:p>
        </w:tc>
        <w:tc>
          <w:tcPr>
            <w:tcW w:w="7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1.71%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(68.3%)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50.2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1.022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0.177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0.021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0.149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64.01%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8.92%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12.63%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13.45%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0.98%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Concerned about new variants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(23.3%)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41.0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0.957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0.219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0.034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0.109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0.145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59.28%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7.75%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16.78%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15.20%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0.99%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(76.7%)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50.7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1.022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0.172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0.021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0.152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0.210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65.05%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8.83%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11.85%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12.99%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1.27%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Concerned about mortality rate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(28.4%)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42.5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0.966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0.204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0.035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0.121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0.153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60.97%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6.58%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16.69%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14.24%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1.52%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(71.6%)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50.8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1.023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0.174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0.019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0.150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0.211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64.83%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9.35%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11.54%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13.20%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1.08%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lastRenderedPageBreak/>
              <w:t>Concerned about vaccine efficacy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(41.7%)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47.8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0.989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0.188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0.133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0.188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62.98%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7.75%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13.98%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13.85%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1.44%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(58.3%)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48.9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1.020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0.179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0.025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0.148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64.33%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9.17%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12.23%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13.23%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1.04%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Concerned about community vaccination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(40.9%)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48.1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1.026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0.186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0.026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0.150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0.193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61.03%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9.06%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14.05%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14.50%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1.37%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(59.1%)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48.7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0.994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0.181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0.136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65.73%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8.26%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12.16%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12.76%</w:t>
            </w: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1.09%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Risk of public transit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(38.3%)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47.4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1.005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0.027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0.136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59.50%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7.96%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15.18%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15.75%</w:t>
            </w:r>
          </w:p>
        </w:tc>
        <w:tc>
          <w:tcPr>
            <w:tcW w:w="7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1.60%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(61.7%)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1.008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0.180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0.145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66.42%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8.98%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11.57%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12.08%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0.96%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Bus/streetcar safe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(82.9%)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49.1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0.997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0.171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0.146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0.198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65.10%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8.64%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11.58%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13.51%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1.17%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(17.1%)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45.0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1.058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0.238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0.030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0.121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57.72%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8.36%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19.22%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13.36%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1.34%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Subway safe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(77.7%)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48.5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1.002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0.178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0.025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0.143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0.195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66.57%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8.98%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11.57%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11.81%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1.06%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(22.3%)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48.1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1.024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0.201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0.020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0.137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54.23%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7.25%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17.64%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19.19%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1.69%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Regional transit safe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(67.3%)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48.5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1.037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0.189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0.026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0.145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0.202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64.93%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8.33%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12.20%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13.29%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1.25%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(32.7%)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48.4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0.945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0.020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0.135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61.16%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9.18%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14.64%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13.92%</w:t>
            </w:r>
          </w:p>
        </w:tc>
        <w:tc>
          <w:tcPr>
            <w:tcW w:w="74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1.11%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Use transit during Stage 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(64.8%)</w:t>
            </w:r>
          </w:p>
        </w:tc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49.7</w:t>
            </w: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0.995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0.146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65.71%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8.81%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11.62%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12.69%</w:t>
            </w:r>
          </w:p>
        </w:tc>
        <w:tc>
          <w:tcPr>
            <w:tcW w:w="74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1.16%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(35.2%)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46.2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1.029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0.199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0.026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0.133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60.33%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8.20%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15.31%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14.88%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1.28%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Use transit during Stage 2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(61.7%)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49.6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1.007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0.172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0.025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0.148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0.199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64.80%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8.78%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11.83%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13.67%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0.92%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(38.3%)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46.5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1.007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0.201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0.021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0.132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62.12%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8.29%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14.75%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13.18%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1.66%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Use transit during Stage 3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(63.0%)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49.4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0.991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0.168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0.024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0.146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0.199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65.13%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8.81%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11.63%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13.28%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1.15%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(37.0%)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46.8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1.034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0.208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0.024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0.135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61.56%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8.23%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15.09%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13.82%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1.30%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Use transit after first dose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(73.7%)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49.5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1.001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0.178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0.023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0.142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0.199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65.47%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8.74%</w:t>
            </w:r>
          </w:p>
        </w:tc>
        <w:tc>
          <w:tcPr>
            <w:tcW w:w="850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11.54%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13.15%</w:t>
            </w:r>
          </w:p>
        </w:tc>
        <w:tc>
          <w:tcPr>
            <w:tcW w:w="74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1.09%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(26.3%)</w:t>
            </w:r>
          </w:p>
        </w:tc>
        <w:tc>
          <w:tcPr>
            <w:tcW w:w="637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45.4</w:t>
            </w:r>
          </w:p>
        </w:tc>
        <w:tc>
          <w:tcPr>
            <w:tcW w:w="639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1.025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0.195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0.026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0.140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59.13%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8.17%</w:t>
            </w:r>
          </w:p>
        </w:tc>
        <w:tc>
          <w:tcPr>
            <w:tcW w:w="850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16.80%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14.38%</w:t>
            </w:r>
          </w:p>
        </w:tc>
        <w:tc>
          <w:tcPr>
            <w:tcW w:w="74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1.51%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Use transit after fully vaccinated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(65.5%)</w:t>
            </w:r>
          </w:p>
        </w:tc>
        <w:tc>
          <w:tcPr>
            <w:tcW w:w="637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48.6</w:t>
            </w:r>
          </w:p>
        </w:tc>
        <w:tc>
          <w:tcPr>
            <w:tcW w:w="639" w:type="dxa"/>
            <w:tcBorders>
              <w:top w:val="dashed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0.990</w:t>
            </w:r>
          </w:p>
        </w:tc>
        <w:tc>
          <w:tcPr>
            <w:tcW w:w="708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0.178</w:t>
            </w:r>
          </w:p>
        </w:tc>
        <w:tc>
          <w:tcPr>
            <w:tcW w:w="851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0.026</w:t>
            </w:r>
          </w:p>
        </w:tc>
        <w:tc>
          <w:tcPr>
            <w:tcW w:w="709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0.141</w:t>
            </w:r>
          </w:p>
        </w:tc>
        <w:tc>
          <w:tcPr>
            <w:tcW w:w="708" w:type="dxa"/>
            <w:tcBorders>
              <w:top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0.190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64.98%</w:t>
            </w:r>
          </w:p>
        </w:tc>
        <w:tc>
          <w:tcPr>
            <w:tcW w:w="709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8.30%</w:t>
            </w:r>
          </w:p>
        </w:tc>
        <w:tc>
          <w:tcPr>
            <w:tcW w:w="850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12.29%</w:t>
            </w:r>
          </w:p>
        </w:tc>
        <w:tc>
          <w:tcPr>
            <w:tcW w:w="851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13.22%</w:t>
            </w:r>
          </w:p>
        </w:tc>
        <w:tc>
          <w:tcPr>
            <w:tcW w:w="748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1.21%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(34.5%)</w:t>
            </w:r>
          </w:p>
        </w:tc>
        <w:tc>
          <w:tcPr>
            <w:tcW w:w="6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48.2</w:t>
            </w:r>
          </w:p>
        </w:tc>
        <w:tc>
          <w:tcPr>
            <w:tcW w:w="639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1.039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0.192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0.142</w:t>
            </w:r>
          </w:p>
        </w:tc>
        <w:tc>
          <w:tcPr>
            <w:tcW w:w="708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0.203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61.59%</w:t>
            </w:r>
          </w:p>
        </w:tc>
        <w:tc>
          <w:tcPr>
            <w:tcW w:w="709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9.13%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14.14%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13.95%</w:t>
            </w:r>
          </w:p>
        </w:tc>
        <w:tc>
          <w:tcPr>
            <w:tcW w:w="748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1.20%</w:t>
            </w:r>
          </w:p>
        </w:tc>
      </w:tr>
    </w:tbl>
    <w:p w:rsidR="00EF3351" w:rsidRDefault="00EF3351" w:rsidP="00EF3351"/>
    <w:p w:rsidR="00EF3351" w:rsidRDefault="00EF3351" w:rsidP="00EF3351"/>
    <w:p w:rsidR="00EF3351" w:rsidRDefault="00EF3351" w:rsidP="00EF3351">
      <w:pPr>
        <w:rPr>
          <w:rFonts w:ascii="Times New Roman" w:hAnsi="Times New Roman" w:cs="Times New Roman"/>
        </w:rPr>
      </w:pPr>
      <w:r w:rsidRPr="002E3C6D">
        <w:rPr>
          <w:rFonts w:ascii="Times New Roman" w:hAnsi="Times New Roman" w:cs="Times New Roman"/>
          <w:b/>
          <w:bCs/>
        </w:rPr>
        <w:t>Table A3</w:t>
      </w:r>
      <w:r w:rsidRPr="0084414F">
        <w:rPr>
          <w:rFonts w:ascii="Times New Roman" w:hAnsi="Times New Roman" w:cs="Times New Roman"/>
        </w:rPr>
        <w:t xml:space="preserve"> Summary results of the </w:t>
      </w:r>
      <w:r>
        <w:rPr>
          <w:rFonts w:ascii="Times New Roman" w:hAnsi="Times New Roman" w:cs="Times New Roman"/>
        </w:rPr>
        <w:t xml:space="preserve">data </w:t>
      </w:r>
      <w:r w:rsidRPr="0084414F">
        <w:rPr>
          <w:rFonts w:ascii="Times New Roman" w:hAnsi="Times New Roman" w:cs="Times New Roman"/>
        </w:rPr>
        <w:t xml:space="preserve">fusion process (for variables imputed from the </w:t>
      </w:r>
      <w:r>
        <w:rPr>
          <w:rFonts w:ascii="Times New Roman" w:hAnsi="Times New Roman" w:cs="Times New Roman"/>
        </w:rPr>
        <w:t>CASAS</w:t>
      </w:r>
      <w:r w:rsidRPr="0084414F">
        <w:rPr>
          <w:rFonts w:ascii="Times New Roman" w:hAnsi="Times New Roman" w:cs="Times New Roman"/>
        </w:rPr>
        <w:t xml:space="preserve"> survey)</w:t>
      </w:r>
    </w:p>
    <w:tbl>
      <w:tblPr>
        <w:tblW w:w="12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992"/>
        <w:gridCol w:w="936"/>
        <w:gridCol w:w="621"/>
        <w:gridCol w:w="776"/>
        <w:gridCol w:w="709"/>
        <w:gridCol w:w="851"/>
        <w:gridCol w:w="708"/>
        <w:gridCol w:w="709"/>
        <w:gridCol w:w="851"/>
        <w:gridCol w:w="708"/>
        <w:gridCol w:w="851"/>
        <w:gridCol w:w="862"/>
        <w:gridCol w:w="772"/>
      </w:tblGrid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  <w:t>Target variable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(%)</w:t>
            </w:r>
          </w:p>
        </w:tc>
        <w:tc>
          <w:tcPr>
            <w:tcW w:w="6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Age</w:t>
            </w:r>
          </w:p>
        </w:tc>
        <w:tc>
          <w:tcPr>
            <w:tcW w:w="37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Average trip rates (trips per person)</w:t>
            </w:r>
          </w:p>
        </w:tc>
        <w:tc>
          <w:tcPr>
            <w:tcW w:w="40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Modal share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en-CA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6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Total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Work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School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Shopping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Other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Driver 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Passenger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Transit</w:t>
            </w:r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Walk &amp; cycle</w:t>
            </w:r>
          </w:p>
        </w:tc>
        <w:tc>
          <w:tcPr>
            <w:tcW w:w="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Other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Telecommuting is advantageous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(42.6%)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1.010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0.028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64.28%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7.20%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13.67%</w:t>
            </w: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13.55%</w:t>
            </w:r>
          </w:p>
        </w:tc>
        <w:tc>
          <w:tcPr>
            <w:tcW w:w="77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1.31%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(57.4%)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48.4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1.005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0.182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0.021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0.143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0.199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63.40%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9.63%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12.40%</w:t>
            </w:r>
          </w:p>
        </w:tc>
        <w:tc>
          <w:tcPr>
            <w:tcW w:w="86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13.44%</w:t>
            </w:r>
          </w:p>
        </w:tc>
        <w:tc>
          <w:tcPr>
            <w:tcW w:w="77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1.13%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lastRenderedPageBreak/>
              <w:t>Telecommuting more common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(37.5%)</w:t>
            </w:r>
          </w:p>
        </w:tc>
        <w:tc>
          <w:tcPr>
            <w:tcW w:w="621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48.5</w:t>
            </w:r>
          </w:p>
        </w:tc>
        <w:tc>
          <w:tcPr>
            <w:tcW w:w="776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0.981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0.183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0.025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0.137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0.181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65.52%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8.10%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12.86%</w:t>
            </w:r>
          </w:p>
        </w:tc>
        <w:tc>
          <w:tcPr>
            <w:tcW w:w="86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12.20%</w:t>
            </w:r>
          </w:p>
        </w:tc>
        <w:tc>
          <w:tcPr>
            <w:tcW w:w="77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1.32%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(62.5%)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48.4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0.183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0.023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0.145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0.203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62.77%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8.88%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13.00%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14.22%</w:t>
            </w:r>
          </w:p>
        </w:tc>
        <w:tc>
          <w:tcPr>
            <w:tcW w:w="77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1.14%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hybrid work for social connections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(41.2%)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48.7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0.989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0.025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0.137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64.13%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9.14%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12.39%</w:t>
            </w: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13.06%</w:t>
            </w:r>
          </w:p>
        </w:tc>
        <w:tc>
          <w:tcPr>
            <w:tcW w:w="77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1.27%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(58.8%)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48.2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1.020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0.191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0.023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0.145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63.53%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8.22%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13.33%</w:t>
            </w:r>
          </w:p>
        </w:tc>
        <w:tc>
          <w:tcPr>
            <w:tcW w:w="86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13.77%</w:t>
            </w:r>
          </w:p>
        </w:tc>
        <w:tc>
          <w:tcPr>
            <w:tcW w:w="77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1.16%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hybrid work for professional connections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(36.5%)</w:t>
            </w:r>
          </w:p>
        </w:tc>
        <w:tc>
          <w:tcPr>
            <w:tcW w:w="621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48.2</w:t>
            </w:r>
          </w:p>
        </w:tc>
        <w:tc>
          <w:tcPr>
            <w:tcW w:w="776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1.029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0.194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0.026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0.134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0.199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65.42%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8.57%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11.94%</w:t>
            </w:r>
          </w:p>
        </w:tc>
        <w:tc>
          <w:tcPr>
            <w:tcW w:w="86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13.11%</w:t>
            </w:r>
          </w:p>
        </w:tc>
        <w:tc>
          <w:tcPr>
            <w:tcW w:w="77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0.97%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(63.5%)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48.6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0.994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0.176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0.146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62.80%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8.61%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13.55%</w:t>
            </w:r>
          </w:p>
        </w:tc>
        <w:tc>
          <w:tcPr>
            <w:tcW w:w="86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13.70%</w:t>
            </w:r>
          </w:p>
        </w:tc>
        <w:tc>
          <w:tcPr>
            <w:tcW w:w="77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1.34%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hybrid work for not losing opportunities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(44.8%)</w:t>
            </w:r>
          </w:p>
        </w:tc>
        <w:tc>
          <w:tcPr>
            <w:tcW w:w="621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46.8</w:t>
            </w:r>
          </w:p>
        </w:tc>
        <w:tc>
          <w:tcPr>
            <w:tcW w:w="776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0.966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0.182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0.023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0.132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0.179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64.30%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9.68%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11.94%</w:t>
            </w:r>
          </w:p>
        </w:tc>
        <w:tc>
          <w:tcPr>
            <w:tcW w:w="86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12.86%</w:t>
            </w:r>
          </w:p>
        </w:tc>
        <w:tc>
          <w:tcPr>
            <w:tcW w:w="77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1.22%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(55.2%)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49.7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1.041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0.184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0.025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0.150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0.208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63.38%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7.77%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13.70%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13.95%</w:t>
            </w:r>
          </w:p>
        </w:tc>
        <w:tc>
          <w:tcPr>
            <w:tcW w:w="77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1.19%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online shopping for saving time and cost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(62.2%)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50.4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0.989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0.161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0.024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65.59%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8.78%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12.27%</w:t>
            </w: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12.43%</w:t>
            </w:r>
          </w:p>
        </w:tc>
        <w:tc>
          <w:tcPr>
            <w:tcW w:w="77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0.93%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(37.8%)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45.2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1.037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0.219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0.023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0.130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0.190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60.92%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8.30%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14.01%</w:t>
            </w:r>
          </w:p>
        </w:tc>
        <w:tc>
          <w:tcPr>
            <w:tcW w:w="86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15.14%</w:t>
            </w:r>
          </w:p>
        </w:tc>
        <w:tc>
          <w:tcPr>
            <w:tcW w:w="77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1.63%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online shopping because always open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(50.0%)</w:t>
            </w:r>
          </w:p>
        </w:tc>
        <w:tc>
          <w:tcPr>
            <w:tcW w:w="621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50.8</w:t>
            </w:r>
          </w:p>
        </w:tc>
        <w:tc>
          <w:tcPr>
            <w:tcW w:w="776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1.040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0.170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0.021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0.161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0.212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65.17%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9.06%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11.74%</w:t>
            </w:r>
          </w:p>
        </w:tc>
        <w:tc>
          <w:tcPr>
            <w:tcW w:w="86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12.90%</w:t>
            </w:r>
          </w:p>
        </w:tc>
        <w:tc>
          <w:tcPr>
            <w:tcW w:w="77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1.12%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(50.0%)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46.1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0.974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0.196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0.027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0.122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0.177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62.28%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8.09%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14.24%</w:t>
            </w:r>
          </w:p>
        </w:tc>
        <w:tc>
          <w:tcPr>
            <w:tcW w:w="86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14.10%</w:t>
            </w:r>
          </w:p>
        </w:tc>
        <w:tc>
          <w:tcPr>
            <w:tcW w:w="77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1.29%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online shopping because safer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(48.3%)</w:t>
            </w:r>
          </w:p>
        </w:tc>
        <w:tc>
          <w:tcPr>
            <w:tcW w:w="621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50.3</w:t>
            </w:r>
          </w:p>
        </w:tc>
        <w:tc>
          <w:tcPr>
            <w:tcW w:w="776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1.002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0.176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0.023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0.143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0.195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64.21%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9.06%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11.93%</w:t>
            </w:r>
          </w:p>
        </w:tc>
        <w:tc>
          <w:tcPr>
            <w:tcW w:w="86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13.50%</w:t>
            </w:r>
          </w:p>
        </w:tc>
        <w:tc>
          <w:tcPr>
            <w:tcW w:w="77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1.30%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(51.7%)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46.7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1.012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0.189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0.025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0.141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63.37%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8.16%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13.89%</w:t>
            </w:r>
          </w:p>
        </w:tc>
        <w:tc>
          <w:tcPr>
            <w:tcW w:w="8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13.47%</w:t>
            </w:r>
          </w:p>
        </w:tc>
        <w:tc>
          <w:tcPr>
            <w:tcW w:w="77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1.12%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in-store shopping for assessing freshness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(17.4%)</w:t>
            </w:r>
          </w:p>
        </w:tc>
        <w:tc>
          <w:tcPr>
            <w:tcW w:w="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42.1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0.927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0.207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0.030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0.109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59.96%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9.21%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16.37%</w:t>
            </w:r>
          </w:p>
        </w:tc>
        <w:tc>
          <w:tcPr>
            <w:tcW w:w="8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12.69%</w:t>
            </w:r>
          </w:p>
        </w:tc>
        <w:tc>
          <w:tcPr>
            <w:tcW w:w="77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1.77%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(82.6%)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49.8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1.024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0.178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0.149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0.206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64.50%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8.47%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12.29%</w:t>
            </w:r>
          </w:p>
        </w:tc>
        <w:tc>
          <w:tcPr>
            <w:tcW w:w="86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13.64%</w:t>
            </w:r>
          </w:p>
        </w:tc>
        <w:tc>
          <w:tcPr>
            <w:tcW w:w="77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1.10%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in-store shopping for being reminded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(22.6%)</w:t>
            </w:r>
          </w:p>
        </w:tc>
        <w:tc>
          <w:tcPr>
            <w:tcW w:w="621" w:type="dxa"/>
            <w:tcBorders>
              <w:top w:val="dashed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42.4</w:t>
            </w:r>
          </w:p>
        </w:tc>
        <w:tc>
          <w:tcPr>
            <w:tcW w:w="776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1.011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0.243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0.022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0.116</w:t>
            </w:r>
          </w:p>
        </w:tc>
        <w:tc>
          <w:tcPr>
            <w:tcW w:w="709" w:type="dxa"/>
            <w:tcBorders>
              <w:top w:val="dashed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0.158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64.43%</w:t>
            </w:r>
          </w:p>
        </w:tc>
        <w:tc>
          <w:tcPr>
            <w:tcW w:w="708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7.78%</w:t>
            </w:r>
          </w:p>
        </w:tc>
        <w:tc>
          <w:tcPr>
            <w:tcW w:w="851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15.47%</w:t>
            </w:r>
          </w:p>
        </w:tc>
        <w:tc>
          <w:tcPr>
            <w:tcW w:w="86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11.26%</w:t>
            </w:r>
          </w:p>
        </w:tc>
        <w:tc>
          <w:tcPr>
            <w:tcW w:w="772" w:type="dxa"/>
            <w:tcBorders>
              <w:top w:val="dashed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1.06%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(77.4%)</w:t>
            </w:r>
          </w:p>
        </w:tc>
        <w:tc>
          <w:tcPr>
            <w:tcW w:w="621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50.2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1.006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0.165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0.024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0.149</w:t>
            </w:r>
          </w:p>
        </w:tc>
        <w:tc>
          <w:tcPr>
            <w:tcW w:w="709" w:type="dxa"/>
            <w:tcBorders>
              <w:top w:val="nil"/>
              <w:bottom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0.205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63.58%</w:t>
            </w:r>
          </w:p>
        </w:tc>
        <w:tc>
          <w:tcPr>
            <w:tcW w:w="708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8.83%</w:t>
            </w:r>
          </w:p>
        </w:tc>
        <w:tc>
          <w:tcPr>
            <w:tcW w:w="851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12.21%</w:t>
            </w:r>
          </w:p>
        </w:tc>
        <w:tc>
          <w:tcPr>
            <w:tcW w:w="86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14.13%</w:t>
            </w:r>
          </w:p>
        </w:tc>
        <w:tc>
          <w:tcPr>
            <w:tcW w:w="772" w:type="dxa"/>
            <w:tcBorders>
              <w:top w:val="nil"/>
              <w:bottom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1.25%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 w:val="restart"/>
            <w:tcBorders>
              <w:top w:val="dash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Prefer in-store shopping for leisure</w:t>
            </w:r>
          </w:p>
        </w:tc>
        <w:tc>
          <w:tcPr>
            <w:tcW w:w="992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Disagree</w:t>
            </w:r>
          </w:p>
        </w:tc>
        <w:tc>
          <w:tcPr>
            <w:tcW w:w="936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(39.4%)</w:t>
            </w:r>
          </w:p>
        </w:tc>
        <w:tc>
          <w:tcPr>
            <w:tcW w:w="621" w:type="dxa"/>
            <w:tcBorders>
              <w:top w:val="dashed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48.2</w:t>
            </w:r>
          </w:p>
        </w:tc>
        <w:tc>
          <w:tcPr>
            <w:tcW w:w="776" w:type="dxa"/>
            <w:tcBorders>
              <w:top w:val="dashed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0.975</w:t>
            </w:r>
          </w:p>
        </w:tc>
        <w:tc>
          <w:tcPr>
            <w:tcW w:w="709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0.170</w:t>
            </w:r>
          </w:p>
        </w:tc>
        <w:tc>
          <w:tcPr>
            <w:tcW w:w="851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0.024</w:t>
            </w:r>
          </w:p>
        </w:tc>
        <w:tc>
          <w:tcPr>
            <w:tcW w:w="708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0.139</w:t>
            </w:r>
          </w:p>
        </w:tc>
        <w:tc>
          <w:tcPr>
            <w:tcW w:w="709" w:type="dxa"/>
            <w:tcBorders>
              <w:top w:val="dashed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0.194</w:t>
            </w:r>
          </w:p>
        </w:tc>
        <w:tc>
          <w:tcPr>
            <w:tcW w:w="851" w:type="dxa"/>
            <w:tcBorders>
              <w:top w:val="dashed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63.34%</w:t>
            </w:r>
          </w:p>
        </w:tc>
        <w:tc>
          <w:tcPr>
            <w:tcW w:w="708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9.19%</w:t>
            </w:r>
          </w:p>
        </w:tc>
        <w:tc>
          <w:tcPr>
            <w:tcW w:w="851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13.26%</w:t>
            </w:r>
          </w:p>
        </w:tc>
        <w:tc>
          <w:tcPr>
            <w:tcW w:w="862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13.15%</w:t>
            </w:r>
          </w:p>
        </w:tc>
        <w:tc>
          <w:tcPr>
            <w:tcW w:w="772" w:type="dxa"/>
            <w:tcBorders>
              <w:top w:val="dashed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1.06%</w:t>
            </w:r>
          </w:p>
        </w:tc>
      </w:tr>
      <w:tr w:rsidR="00EF3351" w:rsidRPr="00C166B3" w:rsidTr="008F6341">
        <w:trPr>
          <w:trHeight w:val="290"/>
        </w:trPr>
        <w:tc>
          <w:tcPr>
            <w:tcW w:w="2547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Agree</w:t>
            </w:r>
          </w:p>
        </w:tc>
        <w:tc>
          <w:tcPr>
            <w:tcW w:w="9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 xml:space="preserve"> (60.6%)</w:t>
            </w:r>
          </w:p>
        </w:tc>
        <w:tc>
          <w:tcPr>
            <w:tcW w:w="6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48.6</w:t>
            </w:r>
          </w:p>
        </w:tc>
        <w:tc>
          <w:tcPr>
            <w:tcW w:w="7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1.028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0.191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0.023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0.144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0.195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64.04%</w:t>
            </w:r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8.22%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12.75%</w:t>
            </w:r>
          </w:p>
        </w:tc>
        <w:tc>
          <w:tcPr>
            <w:tcW w:w="862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13.69%</w:t>
            </w:r>
          </w:p>
        </w:tc>
        <w:tc>
          <w:tcPr>
            <w:tcW w:w="772" w:type="dxa"/>
            <w:shd w:val="clear" w:color="auto" w:fill="auto"/>
            <w:noWrap/>
            <w:vAlign w:val="bottom"/>
            <w:hideMark/>
          </w:tcPr>
          <w:p w:rsidR="00EF3351" w:rsidRPr="00C166B3" w:rsidRDefault="00EF3351" w:rsidP="008F634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</w:pPr>
            <w:r w:rsidRPr="00C166B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CA"/>
              </w:rPr>
              <w:t>1.29%</w:t>
            </w:r>
          </w:p>
        </w:tc>
      </w:tr>
    </w:tbl>
    <w:p w:rsidR="00EF3351" w:rsidRDefault="00EF3351" w:rsidP="00EF3351"/>
    <w:p w:rsidR="00EF3351" w:rsidRPr="00544B16" w:rsidRDefault="00EF3351" w:rsidP="00EF3351">
      <w:pPr>
        <w:rPr>
          <w:sz w:val="18"/>
          <w:szCs w:val="18"/>
        </w:rPr>
      </w:pPr>
    </w:p>
    <w:p w:rsidR="00000F57" w:rsidRDefault="00EF3351">
      <w:bookmarkStart w:id="0" w:name="_GoBack"/>
      <w:bookmarkEnd w:id="0"/>
    </w:p>
    <w:sectPr w:rsidR="00000F57" w:rsidSect="00070C1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 Garamond">
    <w:altName w:val="EB Garamond"/>
    <w:charset w:val="00"/>
    <w:family w:val="auto"/>
    <w:pitch w:val="variable"/>
    <w:sig w:usb0="E00002FF" w:usb1="020004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23C07"/>
    <w:multiLevelType w:val="multilevel"/>
    <w:tmpl w:val="50FA1A0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F821607"/>
    <w:multiLevelType w:val="hybridMultilevel"/>
    <w:tmpl w:val="8B7A4B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CB649B"/>
    <w:multiLevelType w:val="hybridMultilevel"/>
    <w:tmpl w:val="D5CEEC2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7175A"/>
    <w:multiLevelType w:val="hybridMultilevel"/>
    <w:tmpl w:val="79008B3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F36E54"/>
    <w:multiLevelType w:val="hybridMultilevel"/>
    <w:tmpl w:val="AB78A3A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272A7C"/>
    <w:multiLevelType w:val="hybridMultilevel"/>
    <w:tmpl w:val="3D4AB8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2E63DD"/>
    <w:multiLevelType w:val="hybridMultilevel"/>
    <w:tmpl w:val="E00CB9A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300433"/>
    <w:multiLevelType w:val="hybridMultilevel"/>
    <w:tmpl w:val="7986706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532C5B"/>
    <w:multiLevelType w:val="hybridMultilevel"/>
    <w:tmpl w:val="C9C4EC6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7A444B"/>
    <w:multiLevelType w:val="hybridMultilevel"/>
    <w:tmpl w:val="7800FA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FF0DAA"/>
    <w:multiLevelType w:val="hybridMultilevel"/>
    <w:tmpl w:val="EF4001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315BF0"/>
    <w:multiLevelType w:val="hybridMultilevel"/>
    <w:tmpl w:val="BE1CD12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9173D99"/>
    <w:multiLevelType w:val="hybridMultilevel"/>
    <w:tmpl w:val="CC149DF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3"/>
  </w:num>
  <w:num w:numId="5">
    <w:abstractNumId w:val="10"/>
  </w:num>
  <w:num w:numId="6">
    <w:abstractNumId w:val="5"/>
  </w:num>
  <w:num w:numId="7">
    <w:abstractNumId w:val="11"/>
  </w:num>
  <w:num w:numId="8">
    <w:abstractNumId w:val="4"/>
  </w:num>
  <w:num w:numId="9">
    <w:abstractNumId w:val="6"/>
  </w:num>
  <w:num w:numId="10">
    <w:abstractNumId w:val="12"/>
  </w:num>
  <w:num w:numId="11">
    <w:abstractNumId w:val="7"/>
  </w:num>
  <w:num w:numId="12">
    <w:abstractNumId w:val="0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351"/>
    <w:rsid w:val="0007695B"/>
    <w:rsid w:val="005615C6"/>
    <w:rsid w:val="005E078B"/>
    <w:rsid w:val="007D4061"/>
    <w:rsid w:val="008B4EED"/>
    <w:rsid w:val="00B03778"/>
    <w:rsid w:val="00CD1A17"/>
    <w:rsid w:val="00EE3FE5"/>
    <w:rsid w:val="00EF3351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7D1AD4-03D0-48AE-83AE-1347549FA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3351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335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33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335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EF335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CA"/>
    </w:rPr>
  </w:style>
  <w:style w:type="paragraph" w:styleId="ListParagraph">
    <w:name w:val="List Paragraph"/>
    <w:basedOn w:val="Normal"/>
    <w:uiPriority w:val="34"/>
    <w:qFormat/>
    <w:rsid w:val="00EF335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F335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3351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33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351"/>
    <w:rPr>
      <w:rFonts w:ascii="Segoe UI" w:hAnsi="Segoe UI" w:cs="Segoe UI"/>
      <w:sz w:val="18"/>
      <w:szCs w:val="18"/>
      <w:lang w:val="en-CA"/>
    </w:rPr>
  </w:style>
  <w:style w:type="table" w:styleId="TableGrid">
    <w:name w:val="Table Grid"/>
    <w:basedOn w:val="TableNormal"/>
    <w:uiPriority w:val="39"/>
    <w:rsid w:val="00EF3351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F3351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F33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335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3351"/>
    <w:rPr>
      <w:sz w:val="20"/>
      <w:szCs w:val="20"/>
      <w:lang w:val="en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33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3351"/>
    <w:rPr>
      <w:b/>
      <w:bCs/>
      <w:sz w:val="20"/>
      <w:szCs w:val="20"/>
      <w:lang w:val="en-CA"/>
    </w:rPr>
  </w:style>
  <w:style w:type="paragraph" w:styleId="Revision">
    <w:name w:val="Revision"/>
    <w:hidden/>
    <w:uiPriority w:val="99"/>
    <w:semiHidden/>
    <w:rsid w:val="00EF3351"/>
    <w:pPr>
      <w:spacing w:after="0" w:line="240" w:lineRule="auto"/>
    </w:pPr>
    <w:rPr>
      <w:lang w:val="en-CA"/>
    </w:rPr>
  </w:style>
  <w:style w:type="character" w:styleId="FollowedHyperlink">
    <w:name w:val="FollowedHyperlink"/>
    <w:basedOn w:val="DefaultParagraphFont"/>
    <w:uiPriority w:val="99"/>
    <w:semiHidden/>
    <w:unhideWhenUsed/>
    <w:rsid w:val="00EF3351"/>
    <w:rPr>
      <w:color w:val="954F72"/>
      <w:u w:val="single"/>
    </w:rPr>
  </w:style>
  <w:style w:type="paragraph" w:customStyle="1" w:styleId="msonormal0">
    <w:name w:val="msonormal"/>
    <w:basedOn w:val="Normal"/>
    <w:rsid w:val="00EF3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0">
    <w:name w:val="xl70"/>
    <w:basedOn w:val="Normal"/>
    <w:rsid w:val="00EF335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1">
    <w:name w:val="xl71"/>
    <w:basedOn w:val="Normal"/>
    <w:rsid w:val="00EF335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2">
    <w:name w:val="xl72"/>
    <w:basedOn w:val="Normal"/>
    <w:rsid w:val="00EF335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3">
    <w:name w:val="xl73"/>
    <w:basedOn w:val="Normal"/>
    <w:rsid w:val="00EF335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4">
    <w:name w:val="xl74"/>
    <w:basedOn w:val="Normal"/>
    <w:rsid w:val="00EF335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5">
    <w:name w:val="xl75"/>
    <w:basedOn w:val="Normal"/>
    <w:rsid w:val="00EF335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6">
    <w:name w:val="xl76"/>
    <w:basedOn w:val="Normal"/>
    <w:rsid w:val="00EF335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7">
    <w:name w:val="xl77"/>
    <w:basedOn w:val="Normal"/>
    <w:rsid w:val="00EF3351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xl78">
    <w:name w:val="xl78"/>
    <w:basedOn w:val="Normal"/>
    <w:rsid w:val="00EF3351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BC2E6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F335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F3351"/>
    <w:rPr>
      <w:sz w:val="20"/>
      <w:szCs w:val="20"/>
      <w:lang w:val="en-CA"/>
    </w:rPr>
  </w:style>
  <w:style w:type="character" w:styleId="FootnoteReference">
    <w:name w:val="footnote reference"/>
    <w:basedOn w:val="DefaultParagraphFont"/>
    <w:uiPriority w:val="99"/>
    <w:semiHidden/>
    <w:unhideWhenUsed/>
    <w:rsid w:val="00EF3351"/>
    <w:rPr>
      <w:vertAlign w:val="superscript"/>
    </w:rPr>
  </w:style>
  <w:style w:type="paragraph" w:customStyle="1" w:styleId="Default">
    <w:name w:val="Default"/>
    <w:rsid w:val="00EF3351"/>
    <w:pPr>
      <w:autoSpaceDE w:val="0"/>
      <w:autoSpaceDN w:val="0"/>
      <w:adjustRightInd w:val="0"/>
      <w:spacing w:after="0" w:line="240" w:lineRule="auto"/>
    </w:pPr>
    <w:rPr>
      <w:rFonts w:ascii="EB Garamond" w:hAnsi="EB Garamond" w:cs="EB Garamond"/>
      <w:color w:val="000000"/>
      <w:sz w:val="24"/>
      <w:szCs w:val="24"/>
      <w:lang w:val="en-CA"/>
    </w:rPr>
  </w:style>
  <w:style w:type="paragraph" w:styleId="Header">
    <w:name w:val="header"/>
    <w:basedOn w:val="Normal"/>
    <w:link w:val="HeaderChar"/>
    <w:uiPriority w:val="99"/>
    <w:unhideWhenUsed/>
    <w:rsid w:val="00EF33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3351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EF33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3351"/>
    <w:rPr>
      <w:lang w:val="en-CA"/>
    </w:rPr>
  </w:style>
  <w:style w:type="character" w:styleId="LineNumber">
    <w:name w:val="line number"/>
    <w:basedOn w:val="DefaultParagraphFont"/>
    <w:uiPriority w:val="99"/>
    <w:semiHidden/>
    <w:unhideWhenUsed/>
    <w:rsid w:val="00EF33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1518</Words>
  <Characters>8657</Characters>
  <Application>Microsoft Office Word</Application>
  <DocSecurity>0</DocSecurity>
  <Lines>72</Lines>
  <Paragraphs>20</Paragraphs>
  <ScaleCrop>false</ScaleCrop>
  <Company>Springer Nature IT</Company>
  <LinksUpToDate>false</LinksUpToDate>
  <CharactersWithSpaces>10155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2022-08-23T07:46:00Z</dcterms:created>
  <dcterms:modified xsi:type="dcterms:W3CDTF">2022-08-23T07:46:00Z</dcterms:modified>
</cp:coreProperties>
</file>