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2DF8" w14:textId="77777777" w:rsidR="009C4EAA" w:rsidRPr="00C676A3" w:rsidRDefault="009C4EAA" w:rsidP="009C4EAA">
      <w:pPr>
        <w:spacing w:after="0"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drawing>
          <wp:inline distT="0" distB="0" distL="0" distR="0" wp14:anchorId="0CACD543" wp14:editId="5D7E18E5">
            <wp:extent cx="5745137" cy="2478405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963" cy="24865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1C67CC" w14:textId="77777777" w:rsidR="009C4EAA" w:rsidRPr="00C676A3" w:rsidRDefault="009C4EAA" w:rsidP="009C4EAA">
      <w:pPr>
        <w:spacing w:after="0" w:line="480" w:lineRule="auto"/>
        <w:rPr>
          <w:rFonts w:ascii="Times New Roman" w:hAnsi="Times New Roman"/>
          <w:b/>
        </w:rPr>
      </w:pPr>
    </w:p>
    <w:p w14:paraId="53C6DBBE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</w:rPr>
      </w:pPr>
      <w:r w:rsidRPr="00C676A3">
        <w:rPr>
          <w:rFonts w:ascii="Times New Roman" w:hAnsi="Times New Roman"/>
          <w:b/>
        </w:rPr>
        <w:t xml:space="preserve">Extended Data Fig. 1 ǀ Modelling and CFD simulation of the ceramic filter. a, </w:t>
      </w:r>
      <w:r w:rsidRPr="00C676A3">
        <w:rPr>
          <w:rFonts w:ascii="Times New Roman" w:hAnsi="Times New Roman"/>
        </w:rPr>
        <w:t xml:space="preserve">Linear </w:t>
      </w:r>
      <w:proofErr w:type="gramStart"/>
      <w:r w:rsidRPr="00C676A3">
        <w:rPr>
          <w:rFonts w:ascii="Times New Roman" w:hAnsi="Times New Roman"/>
        </w:rPr>
        <w:t>velocity</w:t>
      </w:r>
      <w:proofErr w:type="gramEnd"/>
      <w:r w:rsidRPr="00C676A3">
        <w:rPr>
          <w:rFonts w:ascii="Times New Roman" w:hAnsi="Times New Roman"/>
        </w:rPr>
        <w:t xml:space="preserve"> and static pressure inside the CF cells as per CFD simulation. </w:t>
      </w:r>
      <w:r w:rsidRPr="00C676A3">
        <w:rPr>
          <w:rFonts w:ascii="Times New Roman" w:hAnsi="Times New Roman"/>
          <w:b/>
        </w:rPr>
        <w:t>b</w:t>
      </w:r>
      <w:r w:rsidRPr="00C676A3">
        <w:rPr>
          <w:rFonts w:ascii="Times New Roman" w:hAnsi="Times New Roman"/>
        </w:rPr>
        <w:t>, Model prediction of the pressure drop with respect to the porous-wall length of various CF CPSIs to ascertain the range of optimal length.</w:t>
      </w:r>
    </w:p>
    <w:p w14:paraId="0EE8F1AD" w14:textId="77777777" w:rsidR="009C4EAA" w:rsidRPr="00C676A3" w:rsidRDefault="009C4EAA" w:rsidP="009C4EAA">
      <w:pPr>
        <w:pStyle w:val="TAMainText"/>
        <w:ind w:firstLine="0"/>
      </w:pPr>
      <w:r w:rsidRPr="00C676A3">
        <w:br w:type="page"/>
      </w:r>
    </w:p>
    <w:p w14:paraId="198C31AC" w14:textId="77777777" w:rsidR="009C4EAA" w:rsidRPr="00C676A3" w:rsidRDefault="009C4EAA" w:rsidP="009C4EAA">
      <w:pPr>
        <w:pStyle w:val="TAMainText"/>
        <w:ind w:firstLine="0"/>
      </w:pPr>
      <w:r>
        <w:rPr>
          <w:noProof/>
          <w:lang w:val="en-US" w:eastAsia="ko-KR"/>
        </w:rPr>
        <w:lastRenderedPageBreak/>
        <w:drawing>
          <wp:inline distT="0" distB="0" distL="0" distR="0" wp14:anchorId="498DF3D0" wp14:editId="65CF5E9B">
            <wp:extent cx="5572125" cy="3086100"/>
            <wp:effectExtent l="0" t="0" r="0" b="0"/>
            <wp:docPr id="6" name="그림 6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A5353" w14:textId="77777777" w:rsidR="009C4EAA" w:rsidRPr="00C676A3" w:rsidRDefault="009C4EAA" w:rsidP="009C4EAA">
      <w:pPr>
        <w:pStyle w:val="TAMainText"/>
        <w:ind w:firstLine="0"/>
      </w:pPr>
    </w:p>
    <w:p w14:paraId="4E3B67B3" w14:textId="77777777" w:rsidR="009C4EAA" w:rsidRPr="00C676A3" w:rsidRDefault="009C4EAA" w:rsidP="009C4EAA">
      <w:pPr>
        <w:pStyle w:val="TAMainText"/>
        <w:ind w:firstLine="0"/>
      </w:pPr>
      <w:r w:rsidRPr="00C676A3">
        <w:rPr>
          <w:rFonts w:ascii="Times New Roman" w:hAnsi="Times New Roman"/>
          <w:b/>
        </w:rPr>
        <w:t xml:space="preserve">Extended Data Fig. 2 ǀ </w:t>
      </w:r>
      <w:r w:rsidRPr="00C676A3">
        <w:rPr>
          <w:rFonts w:hint="eastAsia"/>
          <w:b/>
        </w:rPr>
        <w:t>Membrane coating on the ceramic filter</w:t>
      </w:r>
      <w:r w:rsidRPr="00C676A3">
        <w:rPr>
          <w:b/>
        </w:rPr>
        <w:t>:</w:t>
      </w:r>
      <w:r w:rsidRPr="00C676A3">
        <w:rPr>
          <w:rFonts w:hint="eastAsia"/>
          <w:b/>
        </w:rPr>
        <w:t xml:space="preserve"> </w:t>
      </w:r>
      <w:r w:rsidRPr="00C676A3">
        <w:rPr>
          <w:b/>
        </w:rPr>
        <w:t>SEM images of CCF wall surfaces.</w:t>
      </w:r>
      <w:r w:rsidRPr="00C676A3">
        <w:t xml:space="preserve"> </w:t>
      </w:r>
      <w:proofErr w:type="gramStart"/>
      <w:r w:rsidRPr="00C676A3">
        <w:rPr>
          <w:b/>
        </w:rPr>
        <w:t>a</w:t>
      </w:r>
      <w:r w:rsidRPr="00C676A3">
        <w:t>,</w:t>
      </w:r>
      <w:proofErr w:type="gramEnd"/>
      <w:r w:rsidRPr="00C676A3">
        <w:t xml:space="preserve"> Bare ceramic filter. </w:t>
      </w:r>
      <w:r w:rsidRPr="00C676A3">
        <w:rPr>
          <w:b/>
        </w:rPr>
        <w:t>b</w:t>
      </w:r>
      <w:r w:rsidRPr="00C676A3">
        <w:t xml:space="preserve">, CF after membrane coating. </w:t>
      </w:r>
      <w:r w:rsidRPr="00C676A3">
        <w:rPr>
          <w:b/>
        </w:rPr>
        <w:t>c</w:t>
      </w:r>
      <w:r w:rsidRPr="00C676A3">
        <w:t xml:space="preserve">, Distribution of CCF pore size diameter before and after membrane coating. </w:t>
      </w:r>
      <w:r w:rsidRPr="00C676A3">
        <w:rPr>
          <w:b/>
        </w:rPr>
        <w:t>d–g</w:t>
      </w:r>
      <w:r w:rsidRPr="00C676A3">
        <w:t>, Various magnifications of SEM images of membrane-coated CCF: Surface image (× 1,000) (</w:t>
      </w:r>
      <w:r w:rsidRPr="00C676A3">
        <w:rPr>
          <w:b/>
        </w:rPr>
        <w:t>d</w:t>
      </w:r>
      <w:r w:rsidRPr="00C676A3">
        <w:t>), Cross-sectional image (× 1,000) (</w:t>
      </w:r>
      <w:r w:rsidRPr="00C676A3">
        <w:rPr>
          <w:b/>
        </w:rPr>
        <w:t>e</w:t>
      </w:r>
      <w:r w:rsidRPr="00C676A3">
        <w:t>), Surface image (× 5,000) (</w:t>
      </w:r>
      <w:r w:rsidRPr="00C676A3">
        <w:rPr>
          <w:b/>
        </w:rPr>
        <w:t>f</w:t>
      </w:r>
      <w:r w:rsidRPr="00C676A3">
        <w:t>), and Surface image (× 10,000) (</w:t>
      </w:r>
      <w:r w:rsidRPr="00C676A3">
        <w:rPr>
          <w:b/>
        </w:rPr>
        <w:t>g</w:t>
      </w:r>
      <w:r w:rsidRPr="00C676A3">
        <w:t>).</w:t>
      </w:r>
    </w:p>
    <w:p w14:paraId="580621FB" w14:textId="77777777" w:rsidR="009C4EAA" w:rsidRPr="00C676A3" w:rsidRDefault="009C4EAA" w:rsidP="009C4EAA">
      <w:pPr>
        <w:pStyle w:val="TAMainText"/>
        <w:ind w:firstLine="0"/>
      </w:pPr>
      <w:r w:rsidRPr="00C676A3">
        <w:br w:type="page"/>
      </w:r>
    </w:p>
    <w:p w14:paraId="7E527FDC" w14:textId="77777777" w:rsidR="009C4EAA" w:rsidRPr="00C676A3" w:rsidRDefault="009C4EAA" w:rsidP="009C4EAA">
      <w:pPr>
        <w:pStyle w:val="TAMainText"/>
        <w:ind w:firstLine="0"/>
      </w:pPr>
      <w:r>
        <w:rPr>
          <w:noProof/>
          <w:lang w:val="en-US" w:eastAsia="ko-KR"/>
        </w:rPr>
        <w:lastRenderedPageBreak/>
        <w:drawing>
          <wp:inline distT="0" distB="0" distL="0" distR="0" wp14:anchorId="5F6D5DA9" wp14:editId="01AF182E">
            <wp:extent cx="5581650" cy="4543425"/>
            <wp:effectExtent l="0" t="0" r="0" b="0"/>
            <wp:docPr id="7" name="그림 7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0076B" w14:textId="77777777" w:rsidR="009C4EAA" w:rsidRPr="00C676A3" w:rsidRDefault="009C4EAA" w:rsidP="009C4EAA">
      <w:pPr>
        <w:pStyle w:val="TAMainText"/>
        <w:ind w:firstLine="0"/>
      </w:pPr>
    </w:p>
    <w:p w14:paraId="22296E50" w14:textId="77777777" w:rsidR="009C4EAA" w:rsidRPr="00C676A3" w:rsidRDefault="009C4EAA" w:rsidP="009C4EAA">
      <w:pPr>
        <w:pStyle w:val="TAMainText"/>
        <w:ind w:firstLine="0"/>
        <w:rPr>
          <w:rFonts w:ascii="Times New Roman" w:eastAsia="BatangChe" w:hAnsi="Times New Roman"/>
        </w:rPr>
      </w:pPr>
      <w:r w:rsidRPr="00C676A3">
        <w:rPr>
          <w:rFonts w:ascii="Times New Roman" w:hAnsi="Times New Roman"/>
          <w:b/>
        </w:rPr>
        <w:t xml:space="preserve">Extended Data Fig. 3 ǀ Catalyst characterisations of </w:t>
      </w:r>
      <w:proofErr w:type="spellStart"/>
      <w:r w:rsidRPr="00C676A3">
        <w:rPr>
          <w:rFonts w:ascii="Times New Roman" w:hAnsi="Times New Roman"/>
          <w:b/>
        </w:rPr>
        <w:t>CuO</w:t>
      </w:r>
      <w:proofErr w:type="spellEnd"/>
      <w:r w:rsidRPr="00C676A3">
        <w:rPr>
          <w:rFonts w:ascii="Times New Roman" w:hAnsi="Times New Roman"/>
          <w:b/>
        </w:rPr>
        <w:t>/TiO</w:t>
      </w:r>
      <w:r w:rsidRPr="00C676A3">
        <w:rPr>
          <w:rFonts w:ascii="Times New Roman" w:hAnsi="Times New Roman"/>
          <w:b/>
          <w:vertAlign w:val="subscript"/>
        </w:rPr>
        <w:t>2</w:t>
      </w:r>
      <w:r w:rsidRPr="00C676A3">
        <w:rPr>
          <w:rFonts w:ascii="Times New Roman" w:hAnsi="Times New Roman"/>
          <w:b/>
        </w:rPr>
        <w:t>, Cu</w:t>
      </w:r>
      <w:r w:rsidRPr="00C676A3">
        <w:rPr>
          <w:rFonts w:ascii="Times New Roman" w:hAnsi="Times New Roman"/>
          <w:b/>
          <w:vertAlign w:val="subscript"/>
        </w:rPr>
        <w:t>2</w:t>
      </w:r>
      <w:r w:rsidRPr="00C676A3">
        <w:rPr>
          <w:rFonts w:ascii="Times New Roman" w:hAnsi="Times New Roman"/>
          <w:b/>
        </w:rPr>
        <w:t>O/TiO</w:t>
      </w:r>
      <w:r w:rsidRPr="00C676A3">
        <w:rPr>
          <w:rFonts w:ascii="Times New Roman" w:hAnsi="Times New Roman"/>
          <w:b/>
          <w:vertAlign w:val="subscript"/>
        </w:rPr>
        <w:t>2</w:t>
      </w:r>
      <w:r w:rsidRPr="00C676A3">
        <w:rPr>
          <w:rFonts w:ascii="Times New Roman" w:hAnsi="Times New Roman"/>
          <w:b/>
        </w:rPr>
        <w:t>, Cu</w:t>
      </w:r>
      <w:r w:rsidRPr="00C676A3">
        <w:rPr>
          <w:rFonts w:ascii="Times New Roman" w:hAnsi="Times New Roman"/>
          <w:b/>
          <w:vertAlign w:val="subscript"/>
        </w:rPr>
        <w:t>2</w:t>
      </w:r>
      <w:r w:rsidRPr="00C676A3">
        <w:rPr>
          <w:rFonts w:ascii="Times New Roman" w:hAnsi="Times New Roman"/>
          <w:b/>
        </w:rPr>
        <w:t>O, and TiO</w:t>
      </w:r>
      <w:r w:rsidRPr="00C676A3">
        <w:rPr>
          <w:rFonts w:ascii="Times New Roman" w:hAnsi="Times New Roman"/>
          <w:b/>
          <w:vertAlign w:val="subscript"/>
        </w:rPr>
        <w:t>2</w:t>
      </w:r>
      <w:r w:rsidRPr="00C676A3">
        <w:rPr>
          <w:rFonts w:ascii="Times New Roman" w:hAnsi="Times New Roman"/>
          <w:b/>
        </w:rPr>
        <w:t xml:space="preserve"> catalysts.</w:t>
      </w:r>
      <w:r w:rsidRPr="00C676A3">
        <w:rPr>
          <w:rFonts w:ascii="Times New Roman" w:hAnsi="Times New Roman"/>
        </w:rPr>
        <w:t xml:space="preserve"> </w:t>
      </w:r>
      <w:r w:rsidRPr="00C676A3">
        <w:rPr>
          <w:rFonts w:ascii="Times New Roman" w:hAnsi="Times New Roman"/>
          <w:b/>
        </w:rPr>
        <w:t>a</w:t>
      </w:r>
      <w:r w:rsidRPr="00C676A3">
        <w:rPr>
          <w:rFonts w:ascii="Times New Roman" w:hAnsi="Times New Roman"/>
        </w:rPr>
        <w:t xml:space="preserve">, XPS spectra assigned to the Cu2p position. </w:t>
      </w:r>
      <w:r w:rsidRPr="00C676A3">
        <w:rPr>
          <w:rFonts w:ascii="Times New Roman" w:hAnsi="Times New Roman"/>
          <w:b/>
        </w:rPr>
        <w:t>b</w:t>
      </w:r>
      <w:r w:rsidRPr="00C676A3">
        <w:rPr>
          <w:rFonts w:ascii="Times New Roman" w:hAnsi="Times New Roman"/>
        </w:rPr>
        <w:t xml:space="preserve">, Raman spectra. </w:t>
      </w:r>
      <w:r w:rsidRPr="00C676A3">
        <w:rPr>
          <w:rFonts w:ascii="Times New Roman" w:hAnsi="Times New Roman"/>
          <w:b/>
        </w:rPr>
        <w:t>c</w:t>
      </w:r>
      <w:r w:rsidRPr="00C676A3">
        <w:rPr>
          <w:rFonts w:ascii="Times New Roman" w:hAnsi="Times New Roman"/>
        </w:rPr>
        <w:t xml:space="preserve">, </w:t>
      </w:r>
      <w:r w:rsidRPr="00C676A3">
        <w:rPr>
          <w:rFonts w:ascii="Times New Roman" w:eastAsia="BatangChe" w:hAnsi="Times New Roman"/>
        </w:rPr>
        <w:t xml:space="preserve">UV-visible absorbance. </w:t>
      </w:r>
      <w:r w:rsidRPr="00C676A3">
        <w:rPr>
          <w:rFonts w:ascii="Times New Roman" w:eastAsia="BatangChe" w:hAnsi="Times New Roman"/>
          <w:b/>
        </w:rPr>
        <w:t>d</w:t>
      </w:r>
      <w:r w:rsidRPr="00C676A3">
        <w:rPr>
          <w:rFonts w:ascii="Times New Roman" w:eastAsia="BatangChe" w:hAnsi="Times New Roman"/>
        </w:rPr>
        <w:t>, Electrochemical impedance spectroscopy (EIS) Nyquist plot.</w:t>
      </w:r>
    </w:p>
    <w:p w14:paraId="2A79AFC2" w14:textId="77777777" w:rsidR="009C4EAA" w:rsidRPr="00C676A3" w:rsidRDefault="009C4EAA" w:rsidP="009C4EAA">
      <w:pPr>
        <w:pStyle w:val="TAMainText"/>
        <w:ind w:firstLine="0"/>
        <w:rPr>
          <w:rFonts w:ascii="Times New Roman" w:eastAsia="BatangChe" w:hAnsi="Times New Roman"/>
        </w:rPr>
      </w:pPr>
      <w:r w:rsidRPr="00C676A3">
        <w:rPr>
          <w:rFonts w:ascii="Times New Roman" w:eastAsia="BatangChe" w:hAnsi="Times New Roman"/>
        </w:rPr>
        <w:br w:type="page"/>
      </w:r>
      <w:r>
        <w:rPr>
          <w:rFonts w:ascii="Times New Roman" w:eastAsia="BatangChe" w:hAnsi="Times New Roman"/>
          <w:noProof/>
          <w:lang w:val="en-US" w:eastAsia="ko-KR"/>
        </w:rPr>
        <w:lastRenderedPageBreak/>
        <w:drawing>
          <wp:inline distT="0" distB="0" distL="0" distR="0" wp14:anchorId="353F52E3" wp14:editId="595B8E74">
            <wp:extent cx="5619750" cy="5743575"/>
            <wp:effectExtent l="0" t="0" r="0" b="0"/>
            <wp:docPr id="8" name="그림 8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74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85DE6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/>
        </w:rPr>
      </w:pPr>
    </w:p>
    <w:p w14:paraId="6E1711C6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</w:rPr>
      </w:pPr>
      <w:r w:rsidRPr="00C676A3">
        <w:rPr>
          <w:rFonts w:ascii="Times New Roman" w:hAnsi="Times New Roman"/>
          <w:b/>
        </w:rPr>
        <w:t>Extended Data Fig. 4 ǀ Synthesis of Cu</w:t>
      </w:r>
      <w:r w:rsidRPr="00C676A3">
        <w:rPr>
          <w:rFonts w:ascii="Times New Roman" w:hAnsi="Times New Roman"/>
          <w:b/>
          <w:vertAlign w:val="subscript"/>
        </w:rPr>
        <w:t>2</w:t>
      </w:r>
      <w:r w:rsidRPr="00C676A3">
        <w:rPr>
          <w:rFonts w:ascii="Times New Roman" w:hAnsi="Times New Roman"/>
          <w:b/>
        </w:rPr>
        <w:t>O/TiO</w:t>
      </w:r>
      <w:r w:rsidRPr="00C676A3">
        <w:rPr>
          <w:rFonts w:ascii="Times New Roman" w:hAnsi="Times New Roman"/>
          <w:b/>
          <w:vertAlign w:val="subscript"/>
        </w:rPr>
        <w:t>2</w:t>
      </w:r>
      <w:r w:rsidRPr="00C676A3">
        <w:rPr>
          <w:rFonts w:ascii="Times New Roman" w:hAnsi="Times New Roman"/>
          <w:b/>
        </w:rPr>
        <w:t xml:space="preserve"> photocatalysts. </w:t>
      </w:r>
      <w:proofErr w:type="gramStart"/>
      <w:r w:rsidRPr="00C676A3">
        <w:rPr>
          <w:rFonts w:ascii="Times New Roman" w:hAnsi="Times New Roman"/>
          <w:b/>
        </w:rPr>
        <w:t>a</w:t>
      </w:r>
      <w:r w:rsidRPr="00C676A3">
        <w:rPr>
          <w:rFonts w:ascii="Times New Roman" w:hAnsi="Times New Roman"/>
        </w:rPr>
        <w:t>,</w:t>
      </w:r>
      <w:proofErr w:type="gramEnd"/>
      <w:r w:rsidRPr="00C676A3">
        <w:rPr>
          <w:rFonts w:ascii="Times New Roman" w:hAnsi="Times New Roman"/>
        </w:rPr>
        <w:t xml:space="preserve"> Photocurrent density by chronoamperometry: using 1 LED with a power density of 50 </w:t>
      </w:r>
      <w:proofErr w:type="spellStart"/>
      <w:r w:rsidRPr="00C676A3">
        <w:rPr>
          <w:rFonts w:ascii="Times New Roman" w:hAnsi="Times New Roman"/>
        </w:rPr>
        <w:t>mW</w:t>
      </w:r>
      <w:proofErr w:type="spellEnd"/>
      <w:r w:rsidRPr="00C676A3">
        <w:rPr>
          <w:rFonts w:ascii="Times New Roman" w:hAnsi="Times New Roman"/>
        </w:rPr>
        <w:t>/cm</w:t>
      </w:r>
      <w:r w:rsidRPr="00C676A3">
        <w:rPr>
          <w:rFonts w:ascii="Times New Roman" w:hAnsi="Times New Roman"/>
          <w:vertAlign w:val="superscript"/>
        </w:rPr>
        <w:t>2</w:t>
      </w:r>
      <w:r w:rsidRPr="00C676A3">
        <w:rPr>
          <w:rFonts w:ascii="Times New Roman" w:hAnsi="Times New Roman"/>
        </w:rPr>
        <w:t xml:space="preserve"> (365 nm) at 0.5 V (vs. Ag/AgCl). </w:t>
      </w:r>
      <w:r w:rsidRPr="00C676A3">
        <w:rPr>
          <w:rFonts w:ascii="Times New Roman" w:hAnsi="Times New Roman"/>
          <w:b/>
        </w:rPr>
        <w:t>b</w:t>
      </w:r>
      <w:r w:rsidRPr="00C676A3">
        <w:rPr>
          <w:rFonts w:ascii="Times New Roman" w:hAnsi="Times New Roman"/>
        </w:rPr>
        <w:t>, Charge carrier density (cm</w:t>
      </w:r>
      <w:r w:rsidRPr="00C676A3">
        <w:rPr>
          <w:rFonts w:ascii="Times New Roman" w:hAnsi="Times New Roman"/>
          <w:vertAlign w:val="superscript"/>
        </w:rPr>
        <w:t>−3</w:t>
      </w:r>
      <w:r w:rsidRPr="00C676A3">
        <w:rPr>
          <w:rFonts w:ascii="Times New Roman" w:hAnsi="Times New Roman"/>
        </w:rPr>
        <w:t>) analysis by Mott–Schottky plot: 3.06 × 10</w:t>
      </w:r>
      <w:r w:rsidRPr="00C676A3">
        <w:rPr>
          <w:rFonts w:ascii="Times New Roman" w:hAnsi="Times New Roman"/>
          <w:vertAlign w:val="superscript"/>
        </w:rPr>
        <w:t>20</w:t>
      </w:r>
      <w:r w:rsidRPr="00C676A3">
        <w:rPr>
          <w:rFonts w:ascii="Times New Roman" w:hAnsi="Times New Roman"/>
        </w:rPr>
        <w:t xml:space="preserve"> cm</w:t>
      </w:r>
      <w:r w:rsidRPr="00C676A3">
        <w:rPr>
          <w:rFonts w:ascii="Times New Roman" w:hAnsi="Times New Roman"/>
          <w:vertAlign w:val="superscript"/>
        </w:rPr>
        <w:t>−3</w:t>
      </w:r>
      <w:r w:rsidRPr="00C676A3">
        <w:rPr>
          <w:rFonts w:ascii="Times New Roman" w:hAnsi="Times New Roman"/>
        </w:rPr>
        <w:t xml:space="preserve"> for Cu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O/TiO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, 2.81 × 10</w:t>
      </w:r>
      <w:r w:rsidRPr="00C676A3">
        <w:rPr>
          <w:rFonts w:ascii="Times New Roman" w:hAnsi="Times New Roman"/>
          <w:vertAlign w:val="superscript"/>
        </w:rPr>
        <w:t>20</w:t>
      </w:r>
      <w:r w:rsidRPr="00C676A3">
        <w:rPr>
          <w:rFonts w:ascii="Times New Roman" w:hAnsi="Times New Roman"/>
        </w:rPr>
        <w:t xml:space="preserve"> cm</w:t>
      </w:r>
      <w:r w:rsidRPr="00C676A3">
        <w:rPr>
          <w:rFonts w:ascii="Times New Roman" w:hAnsi="Times New Roman"/>
          <w:vertAlign w:val="superscript"/>
        </w:rPr>
        <w:t>−3</w:t>
      </w:r>
      <w:r w:rsidRPr="00C676A3">
        <w:rPr>
          <w:rFonts w:ascii="Times New Roman" w:hAnsi="Times New Roman"/>
        </w:rPr>
        <w:t xml:space="preserve"> for </w:t>
      </w:r>
      <w:proofErr w:type="spellStart"/>
      <w:r w:rsidRPr="00C676A3">
        <w:rPr>
          <w:rFonts w:ascii="Times New Roman" w:hAnsi="Times New Roman"/>
        </w:rPr>
        <w:t>CuO</w:t>
      </w:r>
      <w:proofErr w:type="spellEnd"/>
      <w:r w:rsidRPr="00C676A3">
        <w:rPr>
          <w:rFonts w:ascii="Times New Roman" w:hAnsi="Times New Roman"/>
        </w:rPr>
        <w:t>/TiO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, and 1.73 × 10</w:t>
      </w:r>
      <w:r w:rsidRPr="00C676A3">
        <w:rPr>
          <w:rFonts w:ascii="Times New Roman" w:hAnsi="Times New Roman"/>
          <w:vertAlign w:val="superscript"/>
        </w:rPr>
        <w:t>20</w:t>
      </w:r>
      <w:r w:rsidRPr="00C676A3">
        <w:rPr>
          <w:rFonts w:ascii="Times New Roman" w:hAnsi="Times New Roman"/>
        </w:rPr>
        <w:t xml:space="preserve"> cm</w:t>
      </w:r>
      <w:r w:rsidRPr="00C676A3">
        <w:rPr>
          <w:rFonts w:ascii="Times New Roman" w:hAnsi="Times New Roman"/>
          <w:vertAlign w:val="superscript"/>
        </w:rPr>
        <w:t>−3</w:t>
      </w:r>
      <w:r w:rsidRPr="00C676A3">
        <w:rPr>
          <w:rFonts w:ascii="Times New Roman" w:hAnsi="Times New Roman"/>
        </w:rPr>
        <w:t xml:space="preserve"> for 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at flat band potential (E</w:t>
      </w:r>
      <w:r w:rsidRPr="00C676A3">
        <w:rPr>
          <w:rFonts w:ascii="Times New Roman" w:hAnsi="Times New Roman"/>
          <w:vertAlign w:val="subscript"/>
        </w:rPr>
        <w:t>FB</w:t>
      </w:r>
      <w:r w:rsidRPr="00C676A3">
        <w:rPr>
          <w:rFonts w:ascii="Times New Roman" w:hAnsi="Times New Roman"/>
        </w:rPr>
        <w:t xml:space="preserve">) of −0.4 V. </w:t>
      </w:r>
      <w:r w:rsidRPr="00C676A3">
        <w:rPr>
          <w:rFonts w:ascii="Times New Roman" w:hAnsi="Times New Roman"/>
          <w:b/>
        </w:rPr>
        <w:t>c</w:t>
      </w:r>
      <w:r w:rsidRPr="00C676A3">
        <w:rPr>
          <w:rFonts w:ascii="Times New Roman" w:hAnsi="Times New Roman"/>
        </w:rPr>
        <w:t xml:space="preserve">, Photoluminescence: 300-nm excitation by UV and response emission of 310 to 590 nm on the powder samples. </w:t>
      </w:r>
      <w:r w:rsidRPr="00C676A3">
        <w:rPr>
          <w:rFonts w:ascii="Times New Roman" w:hAnsi="Times New Roman"/>
          <w:b/>
        </w:rPr>
        <w:t>d</w:t>
      </w:r>
      <w:r w:rsidRPr="00C676A3">
        <w:rPr>
          <w:rFonts w:ascii="Times New Roman" w:hAnsi="Times New Roman"/>
        </w:rPr>
        <w:t>, VOC (HCHO) decomposition efficiencies of Cu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O/TiO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, </w:t>
      </w:r>
      <w:proofErr w:type="spellStart"/>
      <w:r w:rsidRPr="00C676A3">
        <w:rPr>
          <w:rFonts w:ascii="Times New Roman" w:hAnsi="Times New Roman"/>
        </w:rPr>
        <w:t>CuO</w:t>
      </w:r>
      <w:proofErr w:type="spellEnd"/>
      <w:r w:rsidRPr="00C676A3">
        <w:rPr>
          <w:rFonts w:ascii="Times New Roman" w:hAnsi="Times New Roman"/>
        </w:rPr>
        <w:t>/TiO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, and 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catalysts. Note that the efficiencies were </w:t>
      </w:r>
      <w:r w:rsidRPr="00C676A3">
        <w:rPr>
          <w:rFonts w:ascii="Times New Roman" w:hAnsi="Times New Roman"/>
        </w:rPr>
        <w:lastRenderedPageBreak/>
        <w:t>calculated by ratio of CO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produced by the PCO reaction to a given concentration of HCHO gas. The detailed reaction conditions are available in the supplementary materials. </w:t>
      </w:r>
      <w:r w:rsidRPr="00C676A3">
        <w:rPr>
          <w:rFonts w:ascii="Times New Roman" w:hAnsi="Times New Roman"/>
          <w:b/>
        </w:rPr>
        <w:t>e</w:t>
      </w:r>
      <w:r w:rsidRPr="00C676A3">
        <w:rPr>
          <w:rFonts w:ascii="Times New Roman" w:hAnsi="Times New Roman"/>
        </w:rPr>
        <w:t>, VOC removal efficiencies of five VOCs over the honeycomb (100 CPSI) coated by the Cu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O/TiO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catalyst. The 100 </w:t>
      </w:r>
      <w:r w:rsidRPr="00C676A3">
        <w:rPr>
          <w:rFonts w:ascii="Times New Roman" w:hAnsi="Times New Roman" w:hint="eastAsia"/>
        </w:rPr>
        <w:t>L</w:t>
      </w:r>
      <w:r w:rsidRPr="00C676A3">
        <w:rPr>
          <w:rFonts w:ascii="Times New Roman" w:hAnsi="Times New Roman"/>
        </w:rPr>
        <w:t xml:space="preserve"> </w:t>
      </w:r>
      <w:r w:rsidRPr="00C676A3">
        <w:rPr>
          <w:rFonts w:ascii="Times New Roman" w:hAnsi="Times New Roman" w:hint="eastAsia"/>
        </w:rPr>
        <w:t>chamber</w:t>
      </w:r>
      <w:r w:rsidRPr="00C676A3">
        <w:rPr>
          <w:rFonts w:ascii="Times New Roman" w:hAnsi="Times New Roman"/>
        </w:rPr>
        <w:t xml:space="preserve"> test sequentially proceeded with each VOC at 10 </w:t>
      </w:r>
      <w:r>
        <w:rPr>
          <w:rFonts w:ascii="Times New Roman" w:hAnsi="Times New Roman"/>
        </w:rPr>
        <w:t>ppm</w:t>
      </w:r>
      <w:r w:rsidRPr="00C676A3">
        <w:rPr>
          <w:rFonts w:ascii="Times New Roman" w:hAnsi="Times New Roman"/>
        </w:rPr>
        <w:t xml:space="preserve"> in an air balance for 30 min</w:t>
      </w:r>
      <w:r w:rsidRPr="00C676A3">
        <w:rPr>
          <w:rFonts w:ascii="Times New Roman" w:hAnsi="Times New Roman" w:hint="eastAsia"/>
        </w:rPr>
        <w:t>.</w:t>
      </w:r>
      <w:r w:rsidRPr="00C676A3">
        <w:rPr>
          <w:rFonts w:ascii="Times New Roman" w:hAnsi="Times New Roman"/>
        </w:rPr>
        <w:t xml:space="preserve"> This test was conducted </w:t>
      </w:r>
      <w:r>
        <w:rPr>
          <w:rFonts w:ascii="Times New Roman" w:hAnsi="Times New Roman"/>
        </w:rPr>
        <w:t>three</w:t>
      </w:r>
      <w:r w:rsidRPr="00C676A3">
        <w:rPr>
          <w:rFonts w:ascii="Times New Roman" w:hAnsi="Times New Roman"/>
        </w:rPr>
        <w:t xml:space="preserve"> times for each VOC gas. The final average value indicated the arithmetic mean of the efficiencies. </w:t>
      </w:r>
      <w:r w:rsidRPr="00C676A3">
        <w:rPr>
          <w:rFonts w:ascii="Times New Roman" w:hAnsi="Times New Roman"/>
          <w:b/>
        </w:rPr>
        <w:t>f</w:t>
      </w:r>
      <w:r w:rsidRPr="00C676A3">
        <w:rPr>
          <w:rFonts w:ascii="Times New Roman" w:hAnsi="Times New Roman"/>
        </w:rPr>
        <w:t>, VOC reaction efficiencies (HCHO removal and CO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production) of CCF coated with Cu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O/TiO</w:t>
      </w:r>
      <w:r w:rsidRPr="00C676A3">
        <w:rPr>
          <w:rFonts w:ascii="Times New Roman" w:hAnsi="Times New Roman"/>
          <w:vertAlign w:val="subscript"/>
        </w:rPr>
        <w:t xml:space="preserve">2 </w:t>
      </w:r>
      <w:r w:rsidRPr="00C676A3">
        <w:rPr>
          <w:rFonts w:ascii="Times New Roman" w:hAnsi="Times New Roman"/>
        </w:rPr>
        <w:t>and 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catalysts. Detailed reaction conditions are available in the supplementary materials. </w:t>
      </w:r>
      <w:r w:rsidRPr="00C676A3">
        <w:rPr>
          <w:rFonts w:ascii="Times New Roman" w:hAnsi="Times New Roman"/>
          <w:b/>
        </w:rPr>
        <w:t>g</w:t>
      </w:r>
      <w:r w:rsidRPr="00C676A3">
        <w:rPr>
          <w:rFonts w:ascii="Times New Roman" w:hAnsi="Times New Roman"/>
        </w:rPr>
        <w:t xml:space="preserve">, FT-IR spectra at different stages of the reaction corresponding to the five points shown in </w:t>
      </w:r>
      <w:r w:rsidRPr="00212C4D">
        <w:rPr>
          <w:rFonts w:ascii="Times New Roman" w:hAnsi="Times New Roman"/>
        </w:rPr>
        <w:t>Extended Data Fig. 4</w:t>
      </w:r>
      <w:r>
        <w:rPr>
          <w:rFonts w:ascii="Times New Roman" w:hAnsi="Times New Roman"/>
        </w:rPr>
        <w:t>f</w:t>
      </w:r>
      <w:r w:rsidRPr="00C676A3">
        <w:rPr>
          <w:rFonts w:ascii="Times New Roman" w:hAnsi="Times New Roman"/>
        </w:rPr>
        <w:t>. Note that the FT-IR spectrum of by-pass, and gaseous FT-IR spectra of HCHO, CO, and CO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gases are indicated as per the references.</w:t>
      </w:r>
    </w:p>
    <w:p w14:paraId="0611D53D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/>
        </w:rPr>
      </w:pPr>
      <w:r w:rsidRPr="00C676A3">
        <w:rPr>
          <w:rFonts w:ascii="Times New Roman" w:hAnsi="Times New Roman"/>
          <w:b/>
        </w:rPr>
        <w:br w:type="page"/>
      </w:r>
    </w:p>
    <w:p w14:paraId="752E45D2" w14:textId="77777777" w:rsidR="009C4EAA" w:rsidRPr="00C676A3" w:rsidRDefault="009C4EAA" w:rsidP="009C4EAA">
      <w:pPr>
        <w:pStyle w:val="TAMainText"/>
        <w:ind w:firstLineChars="250" w:firstLine="602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lastRenderedPageBreak/>
        <w:drawing>
          <wp:inline distT="0" distB="0" distL="0" distR="0" wp14:anchorId="2874EDA1" wp14:editId="28CD0C23">
            <wp:extent cx="4695825" cy="3276600"/>
            <wp:effectExtent l="0" t="0" r="0" b="0"/>
            <wp:docPr id="9" name="그림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98021" w14:textId="77777777" w:rsidR="009C4EAA" w:rsidRPr="00C676A3" w:rsidRDefault="009C4EAA" w:rsidP="009C4EAA">
      <w:pPr>
        <w:pStyle w:val="TAMainText"/>
        <w:rPr>
          <w:rFonts w:ascii="Times New Roman" w:hAnsi="Times New Roman"/>
          <w:b/>
        </w:rPr>
      </w:pPr>
    </w:p>
    <w:p w14:paraId="37F528C3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</w:rPr>
      </w:pPr>
      <w:r w:rsidRPr="00C676A3">
        <w:rPr>
          <w:rFonts w:ascii="Times New Roman" w:hAnsi="Times New Roman"/>
          <w:b/>
        </w:rPr>
        <w:t xml:space="preserve">Extended Data Fig. 5 ǀ VOC removal efficiency of CCF along with distance of CCF-LED and light intensity of 1-LED and 2×2 LED array. </w:t>
      </w:r>
      <w:r w:rsidRPr="00C676A3">
        <w:rPr>
          <w:rFonts w:ascii="Times New Roman" w:hAnsi="Times New Roman" w:hint="eastAsia"/>
        </w:rPr>
        <w:t xml:space="preserve">The reaction test </w:t>
      </w:r>
      <w:r w:rsidRPr="00C676A3">
        <w:rPr>
          <w:rFonts w:ascii="Times New Roman" w:hAnsi="Times New Roman"/>
        </w:rPr>
        <w:t>used</w:t>
      </w:r>
      <w:r w:rsidRPr="00C676A3">
        <w:rPr>
          <w:rFonts w:ascii="Times New Roman" w:hAnsi="Times New Roman" w:hint="eastAsia"/>
        </w:rPr>
        <w:t xml:space="preserve"> LED</w:t>
      </w:r>
      <w:r w:rsidRPr="00C676A3">
        <w:rPr>
          <w:rFonts w:ascii="Times New Roman" w:hAnsi="Times New Roman"/>
        </w:rPr>
        <w:t>s</w:t>
      </w:r>
      <w:r w:rsidRPr="00C676A3">
        <w:rPr>
          <w:rFonts w:ascii="Times New Roman" w:hAnsi="Times New Roman" w:hint="eastAsia"/>
        </w:rPr>
        <w:t xml:space="preserve"> </w:t>
      </w:r>
      <w:r w:rsidRPr="00C676A3">
        <w:rPr>
          <w:rFonts w:ascii="Times New Roman" w:hAnsi="Times New Roman"/>
        </w:rPr>
        <w:t xml:space="preserve">(1 </w:t>
      </w:r>
      <w:r w:rsidRPr="00C676A3">
        <w:rPr>
          <w:rFonts w:ascii="Times New Roman" w:hAnsi="Times New Roman" w:hint="eastAsia"/>
        </w:rPr>
        <w:t xml:space="preserve">LED and </w:t>
      </w:r>
      <w:r w:rsidRPr="00C676A3">
        <w:rPr>
          <w:rFonts w:ascii="Times New Roman" w:hAnsi="Times New Roman"/>
        </w:rPr>
        <w:t>2×2 LED array</w:t>
      </w:r>
      <w:r w:rsidRPr="00C676A3">
        <w:rPr>
          <w:rFonts w:ascii="Times New Roman" w:hAnsi="Times New Roman" w:hint="eastAsia"/>
        </w:rPr>
        <w:t>) with</w:t>
      </w:r>
      <w:r w:rsidRPr="00C676A3">
        <w:rPr>
          <w:rFonts w:ascii="Times New Roman" w:hAnsi="Times New Roman"/>
        </w:rPr>
        <w:t xml:space="preserve"> a </w:t>
      </w:r>
      <w:r w:rsidRPr="00C676A3">
        <w:rPr>
          <w:rFonts w:ascii="Times New Roman" w:hAnsi="Times New Roman" w:hint="eastAsia"/>
        </w:rPr>
        <w:t>365</w:t>
      </w:r>
      <w:r w:rsidRPr="00C676A3">
        <w:rPr>
          <w:rFonts w:ascii="Times New Roman" w:hAnsi="Times New Roman"/>
        </w:rPr>
        <w:t>-</w:t>
      </w:r>
      <w:r w:rsidRPr="00C676A3">
        <w:rPr>
          <w:rFonts w:ascii="Times New Roman" w:hAnsi="Times New Roman" w:hint="eastAsia"/>
        </w:rPr>
        <w:t>nm</w:t>
      </w:r>
      <w:r w:rsidRPr="00C676A3">
        <w:rPr>
          <w:rFonts w:ascii="Times New Roman" w:hAnsi="Times New Roman"/>
        </w:rPr>
        <w:t xml:space="preserve"> wavelength. The reaction on the Cu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>O/TiO</w:t>
      </w:r>
      <w:r w:rsidRPr="00C676A3">
        <w:rPr>
          <w:rFonts w:ascii="Times New Roman" w:hAnsi="Times New Roman"/>
          <w:vertAlign w:val="subscript"/>
        </w:rPr>
        <w:t>2</w:t>
      </w:r>
      <w:r w:rsidRPr="00C676A3">
        <w:rPr>
          <w:rFonts w:ascii="Times New Roman" w:hAnsi="Times New Roman"/>
        </w:rPr>
        <w:t xml:space="preserve"> catalyst was performed under HCHO at 25 ppm in an air balance at RT and RH 50% with a flow rate of 10 L/min. The catalyst coating was 43.4 </w:t>
      </w:r>
      <w:r w:rsidRPr="00C676A3">
        <w:rPr>
          <w:rFonts w:ascii="Times New Roman" w:hAnsi="Times New Roman" w:hint="eastAsia"/>
        </w:rPr>
        <w:t>g/L.</w:t>
      </w:r>
    </w:p>
    <w:p w14:paraId="53299236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/>
        </w:rPr>
      </w:pPr>
      <w:r w:rsidRPr="00C676A3">
        <w:rPr>
          <w:rFonts w:ascii="Times New Roman" w:hAnsi="Times New Roman"/>
          <w:b/>
        </w:rPr>
        <w:br w:type="page"/>
      </w:r>
    </w:p>
    <w:p w14:paraId="7CDB057E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lastRenderedPageBreak/>
        <w:drawing>
          <wp:inline distT="0" distB="0" distL="0" distR="0" wp14:anchorId="5D575B9A" wp14:editId="7B620852">
            <wp:extent cx="5781675" cy="4324350"/>
            <wp:effectExtent l="0" t="0" r="0" b="0"/>
            <wp:docPr id="10" name="그림 10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10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EB7D8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/>
        </w:rPr>
      </w:pPr>
    </w:p>
    <w:p w14:paraId="278FCA16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</w:rPr>
      </w:pPr>
      <w:r w:rsidRPr="00C676A3">
        <w:rPr>
          <w:rFonts w:ascii="Times New Roman" w:hAnsi="Times New Roman"/>
          <w:b/>
        </w:rPr>
        <w:t xml:space="preserve">Extended Data Fig. 6 ǀ </w:t>
      </w:r>
      <w:proofErr w:type="gramStart"/>
      <w:r w:rsidRPr="00C676A3">
        <w:rPr>
          <w:rFonts w:ascii="Times New Roman" w:hAnsi="Times New Roman"/>
          <w:b/>
        </w:rPr>
        <w:t>The</w:t>
      </w:r>
      <w:proofErr w:type="gramEnd"/>
      <w:r w:rsidRPr="00C676A3">
        <w:rPr>
          <w:rFonts w:ascii="Times New Roman" w:hAnsi="Times New Roman"/>
          <w:b/>
        </w:rPr>
        <w:t xml:space="preserve"> light intensity and light propagation distance with respect to the CCF–LED distance using ray tracing simulations for 1-LED and 2 × 2 LED arrays. a, b,</w:t>
      </w:r>
      <w:r w:rsidRPr="00C676A3">
        <w:rPr>
          <w:rFonts w:ascii="Times New Roman" w:hAnsi="Times New Roman"/>
        </w:rPr>
        <w:t xml:space="preserve"> Illustration of 1-LED (</w:t>
      </w:r>
      <w:r w:rsidRPr="00C676A3">
        <w:rPr>
          <w:rFonts w:ascii="Times New Roman" w:hAnsi="Times New Roman"/>
          <w:b/>
        </w:rPr>
        <w:t>a</w:t>
      </w:r>
      <w:r w:rsidRPr="00C676A3">
        <w:rPr>
          <w:rFonts w:ascii="Times New Roman" w:hAnsi="Times New Roman"/>
        </w:rPr>
        <w:t>) and 2 × 2 LED arrays (</w:t>
      </w:r>
      <w:r w:rsidRPr="00C676A3">
        <w:rPr>
          <w:rFonts w:ascii="Times New Roman" w:hAnsi="Times New Roman"/>
          <w:b/>
        </w:rPr>
        <w:t>b</w:t>
      </w:r>
      <w:r w:rsidRPr="00C676A3">
        <w:rPr>
          <w:rFonts w:ascii="Times New Roman" w:hAnsi="Times New Roman"/>
        </w:rPr>
        <w:t xml:space="preserve">). </w:t>
      </w:r>
      <w:r w:rsidRPr="00C676A3">
        <w:rPr>
          <w:rFonts w:ascii="Times New Roman" w:hAnsi="Times New Roman"/>
          <w:b/>
        </w:rPr>
        <w:t>c</w:t>
      </w:r>
      <w:r w:rsidRPr="00C676A3">
        <w:rPr>
          <w:rFonts w:ascii="Times New Roman" w:hAnsi="Times New Roman"/>
        </w:rPr>
        <w:t xml:space="preserve">, Ray tracing result (Top view): Rays (Blue). </w:t>
      </w:r>
      <w:r>
        <w:rPr>
          <w:rFonts w:ascii="Times New Roman" w:hAnsi="Times New Roman"/>
          <w:b/>
        </w:rPr>
        <w:t>d</w:t>
      </w:r>
      <w:r w:rsidRPr="00C676A3">
        <w:rPr>
          <w:rFonts w:ascii="Times New Roman" w:hAnsi="Times New Roman"/>
          <w:b/>
        </w:rPr>
        <w:t>–</w:t>
      </w:r>
      <w:proofErr w:type="spellStart"/>
      <w:r w:rsidRPr="00C676A3">
        <w:rPr>
          <w:rFonts w:ascii="Times New Roman" w:hAnsi="Times New Roman"/>
          <w:b/>
        </w:rPr>
        <w:t>i</w:t>
      </w:r>
      <w:proofErr w:type="spellEnd"/>
      <w:r w:rsidRPr="00C676A3">
        <w:rPr>
          <w:rFonts w:ascii="Times New Roman" w:hAnsi="Times New Roman"/>
        </w:rPr>
        <w:t>, Power distance with respect to the distance between the light source and CCF: 50 (</w:t>
      </w:r>
      <w:r w:rsidRPr="00C676A3">
        <w:rPr>
          <w:rFonts w:ascii="Times New Roman" w:hAnsi="Times New Roman"/>
          <w:b/>
        </w:rPr>
        <w:t>d</w:t>
      </w:r>
      <w:r w:rsidRPr="00C676A3">
        <w:rPr>
          <w:rFonts w:ascii="Times New Roman" w:hAnsi="Times New Roman"/>
        </w:rPr>
        <w:t>), 40 (</w:t>
      </w:r>
      <w:r w:rsidRPr="00C676A3">
        <w:rPr>
          <w:rFonts w:ascii="Times New Roman" w:hAnsi="Times New Roman"/>
          <w:b/>
        </w:rPr>
        <w:t>e</w:t>
      </w:r>
      <w:r w:rsidRPr="00C676A3">
        <w:rPr>
          <w:rFonts w:ascii="Times New Roman" w:hAnsi="Times New Roman"/>
        </w:rPr>
        <w:t>), 30 (</w:t>
      </w:r>
      <w:r w:rsidRPr="00C676A3">
        <w:rPr>
          <w:rFonts w:ascii="Times New Roman" w:hAnsi="Times New Roman"/>
          <w:b/>
        </w:rPr>
        <w:t>f</w:t>
      </w:r>
      <w:r w:rsidRPr="00C676A3">
        <w:rPr>
          <w:rFonts w:ascii="Times New Roman" w:hAnsi="Times New Roman"/>
        </w:rPr>
        <w:t>), 20 (</w:t>
      </w:r>
      <w:r w:rsidRPr="00C676A3">
        <w:rPr>
          <w:rFonts w:ascii="Times New Roman" w:hAnsi="Times New Roman"/>
          <w:b/>
        </w:rPr>
        <w:t>g</w:t>
      </w:r>
      <w:r w:rsidRPr="00C676A3">
        <w:rPr>
          <w:rFonts w:ascii="Times New Roman" w:hAnsi="Times New Roman"/>
        </w:rPr>
        <w:t>), 15 (</w:t>
      </w:r>
      <w:r w:rsidRPr="00C676A3">
        <w:rPr>
          <w:rFonts w:ascii="Times New Roman" w:hAnsi="Times New Roman"/>
          <w:b/>
        </w:rPr>
        <w:t>h</w:t>
      </w:r>
      <w:r w:rsidRPr="00C676A3">
        <w:rPr>
          <w:rFonts w:ascii="Times New Roman" w:hAnsi="Times New Roman"/>
        </w:rPr>
        <w:t>), and 10 mm (</w:t>
      </w:r>
      <w:proofErr w:type="spellStart"/>
      <w:r w:rsidRPr="00C676A3">
        <w:rPr>
          <w:rFonts w:ascii="Times New Roman" w:hAnsi="Times New Roman"/>
          <w:b/>
        </w:rPr>
        <w:t>i</w:t>
      </w:r>
      <w:proofErr w:type="spellEnd"/>
      <w:r w:rsidRPr="00C676A3">
        <w:rPr>
          <w:rFonts w:ascii="Times New Roman" w:hAnsi="Times New Roman"/>
        </w:rPr>
        <w:t>).</w:t>
      </w:r>
    </w:p>
    <w:p w14:paraId="52488821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/>
        </w:rPr>
      </w:pPr>
      <w:r w:rsidRPr="00C676A3">
        <w:rPr>
          <w:rFonts w:ascii="Times New Roman" w:hAnsi="Times New Roman"/>
          <w:b/>
        </w:rPr>
        <w:br w:type="page"/>
      </w:r>
    </w:p>
    <w:p w14:paraId="439B4789" w14:textId="77777777" w:rsidR="009C4EAA" w:rsidRPr="00C676A3" w:rsidRDefault="009C4EAA" w:rsidP="009C4EAA">
      <w:pPr>
        <w:pStyle w:val="TAMainText"/>
        <w:ind w:firstLine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lastRenderedPageBreak/>
        <w:drawing>
          <wp:inline distT="0" distB="0" distL="0" distR="0" wp14:anchorId="7AE628C6" wp14:editId="6AB71EDA">
            <wp:extent cx="4057650" cy="4629150"/>
            <wp:effectExtent l="0" t="0" r="0" b="0"/>
            <wp:docPr id="11" name="그림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41BAD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/>
        </w:rPr>
      </w:pPr>
    </w:p>
    <w:p w14:paraId="19768B93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Cs/>
        </w:rPr>
      </w:pPr>
      <w:r w:rsidRPr="00C676A3">
        <w:rPr>
          <w:rFonts w:ascii="Times New Roman" w:hAnsi="Times New Roman"/>
          <w:b/>
        </w:rPr>
        <w:t xml:space="preserve">Extended Data Fig. 7 ǀ </w:t>
      </w:r>
      <w:r w:rsidRPr="00C676A3">
        <w:rPr>
          <w:rFonts w:ascii="Times New Roman" w:hAnsi="Times New Roman"/>
          <w:b/>
          <w:bCs/>
        </w:rPr>
        <w:t xml:space="preserve">Regeneration of CCF. a, </w:t>
      </w:r>
      <w:r w:rsidRPr="00C676A3">
        <w:rPr>
          <w:rFonts w:ascii="Times New Roman" w:hAnsi="Times New Roman"/>
          <w:bCs/>
        </w:rPr>
        <w:t xml:space="preserve">Image and </w:t>
      </w:r>
      <w:r w:rsidRPr="00436AEC">
        <w:rPr>
          <w:rFonts w:ascii="Times New Roman" w:hAnsi="Times New Roman"/>
          <w:b/>
          <w:bCs/>
        </w:rPr>
        <w:t>b,</w:t>
      </w:r>
      <w:r>
        <w:rPr>
          <w:rFonts w:ascii="Times New Roman" w:hAnsi="Times New Roman"/>
          <w:bCs/>
        </w:rPr>
        <w:t xml:space="preserve"> </w:t>
      </w:r>
      <w:r w:rsidRPr="00C676A3">
        <w:rPr>
          <w:rFonts w:ascii="Times New Roman" w:hAnsi="Times New Roman"/>
          <w:bCs/>
        </w:rPr>
        <w:t xml:space="preserve">illustration of facile water washing of CCF. </w:t>
      </w:r>
      <w:r>
        <w:rPr>
          <w:rFonts w:ascii="Times New Roman" w:hAnsi="Times New Roman"/>
          <w:b/>
          <w:bCs/>
        </w:rPr>
        <w:t>c</w:t>
      </w:r>
      <w:r w:rsidRPr="00C676A3">
        <w:rPr>
          <w:rFonts w:ascii="Times New Roman" w:hAnsi="Times New Roman"/>
          <w:bCs/>
        </w:rPr>
        <w:t>, Regeneration performances (dust loading capacity and pressure drop) with respect to water washing and sonication.</w:t>
      </w:r>
    </w:p>
    <w:p w14:paraId="73D54411" w14:textId="77777777" w:rsidR="009C4EAA" w:rsidRDefault="009C4EAA" w:rsidP="009C4EAA">
      <w:pPr>
        <w:pStyle w:val="TAMainText"/>
        <w:ind w:firstLine="0"/>
        <w:rPr>
          <w:rFonts w:ascii="Times New Roman" w:hAnsi="Times New Roman"/>
          <w:bCs/>
        </w:rPr>
      </w:pPr>
      <w:r w:rsidRPr="00C676A3">
        <w:rPr>
          <w:rFonts w:ascii="Times New Roman" w:hAnsi="Times New Roman"/>
          <w:bCs/>
        </w:rPr>
        <w:br w:type="page"/>
      </w:r>
    </w:p>
    <w:p w14:paraId="57A12CD2" w14:textId="77777777" w:rsidR="009C4EAA" w:rsidRDefault="009C4EAA" w:rsidP="009C4EAA">
      <w:pPr>
        <w:pStyle w:val="TAMainText"/>
        <w:ind w:firstLine="0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  <w:noProof/>
          <w:lang w:val="en-US" w:eastAsia="ko-KR"/>
        </w:rPr>
        <w:lastRenderedPageBreak/>
        <w:drawing>
          <wp:inline distT="0" distB="0" distL="0" distR="0" wp14:anchorId="0E2772D5" wp14:editId="1A6CFC7E">
            <wp:extent cx="4978400" cy="2778944"/>
            <wp:effectExtent l="0" t="0" r="0" b="2540"/>
            <wp:docPr id="20" name="그림 2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20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272" cy="2793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415CD0" w14:textId="77777777" w:rsidR="009C4EAA" w:rsidRPr="00C676A3" w:rsidRDefault="009C4EAA" w:rsidP="009C4EAA">
      <w:pPr>
        <w:pStyle w:val="TAMainText"/>
        <w:ind w:firstLine="0"/>
        <w:jc w:val="center"/>
        <w:rPr>
          <w:rFonts w:ascii="Times New Roman" w:hAnsi="Times New Roman"/>
          <w:bCs/>
        </w:rPr>
      </w:pPr>
    </w:p>
    <w:p w14:paraId="2F928050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  <w:bCs/>
        </w:rPr>
      </w:pPr>
      <w:r w:rsidRPr="00C676A3">
        <w:rPr>
          <w:rFonts w:ascii="Times New Roman" w:hAnsi="Times New Roman"/>
          <w:b/>
        </w:rPr>
        <w:t xml:space="preserve">Extended Data Fig. </w:t>
      </w:r>
      <w:r>
        <w:rPr>
          <w:rFonts w:ascii="Times New Roman" w:hAnsi="Times New Roman"/>
          <w:b/>
        </w:rPr>
        <w:t>8</w:t>
      </w:r>
      <w:r w:rsidRPr="00C676A3">
        <w:rPr>
          <w:rFonts w:ascii="Times New Roman" w:hAnsi="Times New Roman"/>
          <w:b/>
        </w:rPr>
        <w:t xml:space="preserve"> ǀ </w:t>
      </w:r>
      <w:r w:rsidRPr="00C676A3">
        <w:rPr>
          <w:rFonts w:ascii="Times New Roman" w:hAnsi="Times New Roman"/>
          <w:b/>
          <w:bCs/>
        </w:rPr>
        <w:t>Regeneration</w:t>
      </w:r>
      <w:r>
        <w:rPr>
          <w:rFonts w:ascii="Times New Roman" w:hAnsi="Times New Roman"/>
          <w:b/>
          <w:bCs/>
        </w:rPr>
        <w:t xml:space="preserve"> with water washing of C</w:t>
      </w:r>
      <w:r w:rsidRPr="00C676A3">
        <w:rPr>
          <w:rFonts w:ascii="Times New Roman" w:hAnsi="Times New Roman"/>
          <w:b/>
          <w:bCs/>
        </w:rPr>
        <w:t>F</w:t>
      </w:r>
      <w:r>
        <w:rPr>
          <w:rFonts w:ascii="Times New Roman" w:hAnsi="Times New Roman"/>
          <w:b/>
          <w:bCs/>
        </w:rPr>
        <w:t xml:space="preserve"> and commercial HEFA filter</w:t>
      </w:r>
      <w:r w:rsidRPr="00C676A3">
        <w:rPr>
          <w:rFonts w:ascii="Times New Roman" w:hAnsi="Times New Roman"/>
          <w:b/>
          <w:bCs/>
        </w:rPr>
        <w:t xml:space="preserve">. </w:t>
      </w:r>
      <w:r>
        <w:rPr>
          <w:rFonts w:ascii="Times New Roman" w:hAnsi="Times New Roman"/>
          <w:b/>
          <w:bCs/>
        </w:rPr>
        <w:t xml:space="preserve">(blue), </w:t>
      </w:r>
      <w:r>
        <w:rPr>
          <w:rFonts w:ascii="Times New Roman" w:hAnsi="Times New Roman"/>
          <w:bCs/>
        </w:rPr>
        <w:t xml:space="preserve">dust loading amount profile of the CF according to regeneration cycles with water washing in the CF (total dust loading amount, </w:t>
      </w:r>
      <w:r w:rsidRPr="00BD45CF">
        <w:rPr>
          <w:rFonts w:ascii="Times New Roman" w:hAnsi="Times New Roman"/>
          <w:bCs/>
        </w:rPr>
        <w:t>215.8</w:t>
      </w:r>
      <w:r>
        <w:rPr>
          <w:rFonts w:ascii="Times New Roman" w:hAnsi="Times New Roman"/>
          <w:bCs/>
        </w:rPr>
        <w:t xml:space="preserve"> </w:t>
      </w:r>
      <w:r w:rsidRPr="00BD45CF">
        <w:rPr>
          <w:rFonts w:ascii="Times New Roman" w:hAnsi="Times New Roman"/>
          <w:bCs/>
        </w:rPr>
        <w:t xml:space="preserve">g/L, </w:t>
      </w:r>
      <w:r>
        <w:rPr>
          <w:rFonts w:ascii="Times New Roman" w:hAnsi="Times New Roman"/>
          <w:bCs/>
        </w:rPr>
        <w:t xml:space="preserve">average </w:t>
      </w:r>
      <w:r w:rsidRPr="00BD45CF">
        <w:rPr>
          <w:rFonts w:ascii="Times New Roman" w:hAnsi="Times New Roman"/>
          <w:bCs/>
        </w:rPr>
        <w:t>21.6</w:t>
      </w:r>
      <w:r>
        <w:rPr>
          <w:rFonts w:ascii="Times New Roman" w:hAnsi="Times New Roman"/>
          <w:bCs/>
        </w:rPr>
        <w:t xml:space="preserve"> </w:t>
      </w:r>
      <w:r w:rsidRPr="00BD45CF">
        <w:rPr>
          <w:rFonts w:ascii="Times New Roman" w:hAnsi="Times New Roman"/>
          <w:bCs/>
        </w:rPr>
        <w:t>g/L</w:t>
      </w:r>
      <w:r>
        <w:rPr>
          <w:rFonts w:ascii="Times New Roman" w:hAnsi="Times New Roman"/>
          <w:bCs/>
        </w:rPr>
        <w:t xml:space="preserve">). </w:t>
      </w:r>
      <w:r w:rsidRPr="00BD45CF">
        <w:rPr>
          <w:rFonts w:ascii="Times New Roman" w:hAnsi="Times New Roman"/>
          <w:b/>
          <w:bCs/>
        </w:rPr>
        <w:t>(black),</w:t>
      </w:r>
      <w:r>
        <w:rPr>
          <w:rFonts w:ascii="Times New Roman" w:hAnsi="Times New Roman"/>
          <w:bCs/>
        </w:rPr>
        <w:t xml:space="preserve"> dust loading amount profile of the HEFA filter according to the regeneration cycles with water washing in the HEFA filter (total dust loading amount, 48.4 </w:t>
      </w:r>
      <w:r w:rsidRPr="00BD45CF">
        <w:rPr>
          <w:rFonts w:ascii="Times New Roman" w:hAnsi="Times New Roman"/>
          <w:bCs/>
        </w:rPr>
        <w:t xml:space="preserve">g/L, </w:t>
      </w:r>
      <w:r>
        <w:rPr>
          <w:rFonts w:ascii="Times New Roman" w:hAnsi="Times New Roman"/>
          <w:bCs/>
        </w:rPr>
        <w:t xml:space="preserve">average 4.8 </w:t>
      </w:r>
      <w:r w:rsidRPr="00BD45CF">
        <w:rPr>
          <w:rFonts w:ascii="Times New Roman" w:hAnsi="Times New Roman"/>
          <w:bCs/>
        </w:rPr>
        <w:t>g/L</w:t>
      </w:r>
      <w:r>
        <w:rPr>
          <w:rFonts w:ascii="Times New Roman" w:hAnsi="Times New Roman"/>
          <w:bCs/>
        </w:rPr>
        <w:t>).</w:t>
      </w:r>
    </w:p>
    <w:p w14:paraId="2251545B" w14:textId="77777777" w:rsidR="009C4EAA" w:rsidRPr="00436AEC" w:rsidRDefault="009C4EAA" w:rsidP="009C4EAA">
      <w:pPr>
        <w:pStyle w:val="TAMainText"/>
        <w:ind w:firstLine="0"/>
        <w:rPr>
          <w:rFonts w:ascii="Times New Roman" w:hAnsi="Times New Roman"/>
          <w:bCs/>
        </w:rPr>
      </w:pPr>
    </w:p>
    <w:p w14:paraId="251DF1FD" w14:textId="77777777" w:rsidR="009C4EAA" w:rsidRDefault="009C4EAA" w:rsidP="009C4EAA">
      <w:pPr>
        <w:spacing w:after="0"/>
        <w:jc w:val="lef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</w:p>
    <w:p w14:paraId="08D942F7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 w:eastAsia="ko-KR"/>
        </w:rPr>
        <w:lastRenderedPageBreak/>
        <w:drawing>
          <wp:inline distT="0" distB="0" distL="0" distR="0" wp14:anchorId="621F4091" wp14:editId="63FCEFDD">
            <wp:extent cx="5702864" cy="4693285"/>
            <wp:effectExtent l="0" t="0" r="0" b="0"/>
            <wp:docPr id="19" name="그림 1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9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078" cy="4699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EABF39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</w:rPr>
      </w:pPr>
    </w:p>
    <w:p w14:paraId="75B697BD" w14:textId="77777777" w:rsidR="009C4EAA" w:rsidRPr="00C676A3" w:rsidRDefault="009C4EAA" w:rsidP="009C4EAA">
      <w:pPr>
        <w:pStyle w:val="TAMainText"/>
        <w:ind w:firstLine="0"/>
        <w:rPr>
          <w:rFonts w:eastAsia="Malgun Gothic"/>
          <w:lang w:eastAsia="ko-KR"/>
        </w:rPr>
      </w:pPr>
      <w:r w:rsidRPr="00C676A3">
        <w:rPr>
          <w:rFonts w:ascii="Times New Roman" w:hAnsi="Times New Roman"/>
          <w:b/>
        </w:rPr>
        <w:t xml:space="preserve">Extended Data Fig. </w:t>
      </w:r>
      <w:r>
        <w:rPr>
          <w:rFonts w:ascii="Times New Roman" w:hAnsi="Times New Roman"/>
          <w:b/>
        </w:rPr>
        <w:t>9</w:t>
      </w:r>
      <w:r w:rsidRPr="00C676A3">
        <w:rPr>
          <w:rFonts w:ascii="Times New Roman" w:hAnsi="Times New Roman"/>
          <w:b/>
        </w:rPr>
        <w:t xml:space="preserve"> ǀ </w:t>
      </w:r>
      <w:r w:rsidRPr="00C676A3">
        <w:rPr>
          <w:rFonts w:eastAsia="Malgun Gothic"/>
          <w:b/>
          <w:lang w:eastAsia="ko-KR"/>
        </w:rPr>
        <w:t>CF applications for sharing the clean air.</w:t>
      </w:r>
      <w:r w:rsidRPr="00C676A3">
        <w:rPr>
          <w:rFonts w:eastAsia="Malgun Gothic"/>
          <w:lang w:eastAsia="ko-KR"/>
        </w:rPr>
        <w:t xml:space="preserve"> </w:t>
      </w:r>
      <w:proofErr w:type="gramStart"/>
      <w:r w:rsidRPr="00C676A3">
        <w:rPr>
          <w:rFonts w:eastAsia="Malgun Gothic"/>
          <w:b/>
          <w:lang w:eastAsia="ko-KR"/>
        </w:rPr>
        <w:t>a</w:t>
      </w:r>
      <w:r w:rsidRPr="00C676A3">
        <w:rPr>
          <w:rFonts w:eastAsia="Malgun Gothic"/>
          <w:lang w:eastAsia="ko-KR"/>
        </w:rPr>
        <w:t>,</w:t>
      </w:r>
      <w:proofErr w:type="gramEnd"/>
      <w:r w:rsidRPr="00C676A3">
        <w:rPr>
          <w:rFonts w:eastAsia="Malgun Gothic"/>
          <w:lang w:eastAsia="ko-KR"/>
        </w:rPr>
        <w:t xml:space="preserve"> CF panel system installed at the HVAC facility of the building. </w:t>
      </w:r>
      <w:r w:rsidRPr="00C676A3">
        <w:rPr>
          <w:rFonts w:eastAsia="Malgun Gothic"/>
          <w:b/>
          <w:lang w:eastAsia="ko-KR"/>
        </w:rPr>
        <w:t>b</w:t>
      </w:r>
      <w:r w:rsidRPr="00C676A3">
        <w:rPr>
          <w:rFonts w:eastAsia="Malgun Gothic"/>
          <w:lang w:eastAsia="ko-KR"/>
        </w:rPr>
        <w:t>, PM</w:t>
      </w:r>
      <w:r w:rsidRPr="00C676A3">
        <w:rPr>
          <w:rFonts w:eastAsia="Malgun Gothic"/>
          <w:vertAlign w:val="subscript"/>
          <w:lang w:eastAsia="ko-KR"/>
        </w:rPr>
        <w:t>2.5</w:t>
      </w:r>
      <w:r w:rsidRPr="00C676A3">
        <w:rPr>
          <w:rFonts w:eastAsia="Malgun Gothic"/>
          <w:lang w:eastAsia="ko-KR"/>
        </w:rPr>
        <w:t xml:space="preserve"> FE of CF and MF measured for </w:t>
      </w:r>
      <w:r>
        <w:rPr>
          <w:rFonts w:eastAsia="Malgun Gothic"/>
          <w:lang w:eastAsia="ko-KR"/>
        </w:rPr>
        <w:t>30</w:t>
      </w:r>
      <w:r w:rsidRPr="00C676A3">
        <w:rPr>
          <w:rFonts w:eastAsia="Malgun Gothic"/>
          <w:lang w:eastAsia="ko-KR"/>
        </w:rPr>
        <w:t xml:space="preserve"> months in the building. </w:t>
      </w:r>
      <w:r w:rsidRPr="00C676A3">
        <w:rPr>
          <w:rFonts w:eastAsia="Malgun Gothic"/>
          <w:b/>
          <w:lang w:eastAsia="ko-KR"/>
        </w:rPr>
        <w:t>c</w:t>
      </w:r>
      <w:r w:rsidRPr="00C676A3">
        <w:rPr>
          <w:rFonts w:eastAsia="Malgun Gothic"/>
          <w:lang w:eastAsia="ko-KR"/>
        </w:rPr>
        <w:t xml:space="preserve">, Free-standing proto-type CF system. </w:t>
      </w:r>
      <w:r w:rsidRPr="00C676A3">
        <w:rPr>
          <w:rFonts w:eastAsia="Malgun Gothic"/>
          <w:b/>
          <w:lang w:eastAsia="ko-KR"/>
        </w:rPr>
        <w:t>d</w:t>
      </w:r>
      <w:r w:rsidRPr="00C676A3">
        <w:rPr>
          <w:rFonts w:eastAsia="Malgun Gothic"/>
          <w:lang w:eastAsia="ko-KR"/>
        </w:rPr>
        <w:t>, FE of PM</w:t>
      </w:r>
      <w:r w:rsidRPr="00C676A3">
        <w:rPr>
          <w:rFonts w:eastAsia="Malgun Gothic"/>
          <w:vertAlign w:val="subscript"/>
          <w:lang w:eastAsia="ko-KR"/>
        </w:rPr>
        <w:t>10</w:t>
      </w:r>
      <w:r w:rsidRPr="00C676A3">
        <w:rPr>
          <w:rFonts w:eastAsia="Malgun Gothic"/>
          <w:lang w:eastAsia="ko-KR"/>
        </w:rPr>
        <w:t xml:space="preserve"> and PM</w:t>
      </w:r>
      <w:r w:rsidRPr="00C676A3">
        <w:rPr>
          <w:rFonts w:eastAsia="Malgun Gothic"/>
          <w:vertAlign w:val="subscript"/>
          <w:lang w:eastAsia="ko-KR"/>
        </w:rPr>
        <w:t>2.5</w:t>
      </w:r>
      <w:r w:rsidRPr="00C676A3">
        <w:rPr>
          <w:rFonts w:eastAsia="Malgun Gothic"/>
          <w:lang w:eastAsia="ko-KR"/>
        </w:rPr>
        <w:t xml:space="preserve"> of the proto-type CF system measured for approximately 12 months. The efficiency was measured using a </w:t>
      </w:r>
      <w:r>
        <w:rPr>
          <w:rFonts w:eastAsia="Malgun Gothic"/>
          <w:lang w:eastAsia="ko-KR"/>
        </w:rPr>
        <w:t>single</w:t>
      </w:r>
      <w:r w:rsidRPr="00C676A3">
        <w:rPr>
          <w:rFonts w:eastAsia="Malgun Gothic"/>
          <w:lang w:eastAsia="ko-KR"/>
        </w:rPr>
        <w:t>-pass test method, which assessed the concentration of inlet and outlet PMs using a</w:t>
      </w:r>
      <w:r>
        <w:rPr>
          <w:rFonts w:eastAsia="Malgun Gothic" w:hint="eastAsia"/>
          <w:lang w:eastAsia="ko-KR"/>
        </w:rPr>
        <w:t>n</w:t>
      </w:r>
      <w:r w:rsidRPr="00C676A3">
        <w:rPr>
          <w:rFonts w:eastAsia="Malgun Gothic"/>
          <w:lang w:eastAsia="ko-KR"/>
        </w:rPr>
        <w:t xml:space="preserve"> isokinetic sampling probe, as shown in the inset.</w:t>
      </w:r>
    </w:p>
    <w:p w14:paraId="78E82A0A" w14:textId="77777777" w:rsidR="009C4EAA" w:rsidRPr="00C676A3" w:rsidRDefault="009C4EAA" w:rsidP="009C4EAA">
      <w:pPr>
        <w:pStyle w:val="TAMainText"/>
        <w:ind w:firstLine="0"/>
        <w:jc w:val="center"/>
        <w:rPr>
          <w:rFonts w:ascii="Times New Roman" w:hAnsi="Times New Roman"/>
        </w:rPr>
      </w:pPr>
      <w:r w:rsidRPr="00C676A3">
        <w:rPr>
          <w:rFonts w:eastAsia="Malgun Gothic"/>
          <w:lang w:eastAsia="ko-KR"/>
        </w:rPr>
        <w:br w:type="page"/>
      </w:r>
      <w:r>
        <w:rPr>
          <w:rFonts w:ascii="Times New Roman" w:hAnsi="Times New Roman"/>
          <w:noProof/>
          <w:lang w:val="en-US" w:eastAsia="ko-KR"/>
        </w:rPr>
        <w:lastRenderedPageBreak/>
        <w:drawing>
          <wp:inline distT="0" distB="0" distL="0" distR="0" wp14:anchorId="798ACE6B" wp14:editId="5D1DD69B">
            <wp:extent cx="4943475" cy="4924425"/>
            <wp:effectExtent l="0" t="0" r="0" b="0"/>
            <wp:docPr id="13" name="그림 1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1AF8D" w14:textId="77777777" w:rsidR="009C4EAA" w:rsidRPr="00C676A3" w:rsidRDefault="009C4EAA" w:rsidP="009C4EAA">
      <w:pPr>
        <w:pStyle w:val="TAMainText"/>
        <w:ind w:firstLine="0"/>
        <w:rPr>
          <w:rFonts w:ascii="Times New Roman" w:hAnsi="Times New Roman"/>
        </w:rPr>
      </w:pPr>
    </w:p>
    <w:p w14:paraId="3ED8A00B" w14:textId="77777777" w:rsidR="009C4EAA" w:rsidRPr="00C676A3" w:rsidRDefault="009C4EAA" w:rsidP="009C4EAA">
      <w:pPr>
        <w:pStyle w:val="TAMainText"/>
        <w:ind w:firstLine="0"/>
        <w:rPr>
          <w:rFonts w:eastAsia="Malgun Gothic"/>
          <w:lang w:eastAsia="ko-KR"/>
        </w:rPr>
      </w:pPr>
      <w:r w:rsidRPr="00C676A3">
        <w:rPr>
          <w:rFonts w:ascii="Times New Roman" w:hAnsi="Times New Roman"/>
          <w:b/>
        </w:rPr>
        <w:t xml:space="preserve">Extended Data Fig. </w:t>
      </w:r>
      <w:r>
        <w:rPr>
          <w:rFonts w:ascii="Times New Roman" w:hAnsi="Times New Roman"/>
          <w:b/>
        </w:rPr>
        <w:t>10</w:t>
      </w:r>
      <w:r w:rsidRPr="00C676A3">
        <w:rPr>
          <w:rFonts w:ascii="Times New Roman" w:hAnsi="Times New Roman"/>
          <w:b/>
        </w:rPr>
        <w:t xml:space="preserve"> ǀ </w:t>
      </w:r>
      <w:r w:rsidRPr="00C676A3">
        <w:rPr>
          <w:rFonts w:eastAsia="Malgun Gothic"/>
          <w:b/>
          <w:lang w:eastAsia="ko-KR"/>
        </w:rPr>
        <w:t xml:space="preserve">Results predicted from CFD simulation for an underground parking lot. </w:t>
      </w:r>
      <w:proofErr w:type="gramStart"/>
      <w:r w:rsidRPr="00C676A3">
        <w:rPr>
          <w:rFonts w:eastAsia="Malgun Gothic"/>
          <w:b/>
          <w:lang w:eastAsia="ko-KR"/>
        </w:rPr>
        <w:t>a,</w:t>
      </w:r>
      <w:proofErr w:type="gramEnd"/>
      <w:r w:rsidRPr="00C676A3">
        <w:rPr>
          <w:rFonts w:eastAsia="Malgun Gothic"/>
          <w:b/>
          <w:lang w:eastAsia="ko-KR"/>
        </w:rPr>
        <w:t xml:space="preserve"> </w:t>
      </w:r>
      <w:r w:rsidRPr="00C676A3">
        <w:rPr>
          <w:rFonts w:eastAsia="Malgun Gothic"/>
          <w:lang w:eastAsia="ko-KR"/>
        </w:rPr>
        <w:t xml:space="preserve">Computational domain (top view). </w:t>
      </w:r>
      <w:r w:rsidRPr="00C676A3">
        <w:rPr>
          <w:rFonts w:eastAsia="Malgun Gothic"/>
          <w:b/>
          <w:lang w:eastAsia="ko-KR"/>
        </w:rPr>
        <w:t>b</w:t>
      </w:r>
      <w:r w:rsidRPr="00C676A3">
        <w:rPr>
          <w:rFonts w:eastAsia="Malgun Gothic"/>
          <w:lang w:eastAsia="ko-KR"/>
        </w:rPr>
        <w:t xml:space="preserve">, Contours of air velocity magnitude with only the fan rooms operating. </w:t>
      </w:r>
      <w:r w:rsidRPr="00C676A3">
        <w:rPr>
          <w:rFonts w:eastAsia="Malgun Gothic"/>
          <w:b/>
          <w:lang w:eastAsia="ko-KR"/>
        </w:rPr>
        <w:t>c</w:t>
      </w:r>
      <w:r w:rsidRPr="00C676A3">
        <w:rPr>
          <w:rFonts w:eastAsia="Malgun Gothic"/>
          <w:lang w:eastAsia="ko-KR"/>
        </w:rPr>
        <w:t>, Contours of PM</w:t>
      </w:r>
      <w:r w:rsidRPr="00C676A3">
        <w:rPr>
          <w:rFonts w:eastAsia="Malgun Gothic"/>
          <w:vertAlign w:val="subscript"/>
          <w:lang w:eastAsia="ko-KR"/>
        </w:rPr>
        <w:t>10</w:t>
      </w:r>
      <w:r w:rsidRPr="00C676A3">
        <w:rPr>
          <w:rFonts w:eastAsia="Malgun Gothic"/>
          <w:lang w:eastAsia="ko-KR"/>
        </w:rPr>
        <w:t xml:space="preserve"> concentration with only the fan rooms operating. </w:t>
      </w:r>
      <w:r w:rsidRPr="00C676A3">
        <w:rPr>
          <w:rFonts w:eastAsia="Malgun Gothic"/>
          <w:b/>
          <w:lang w:eastAsia="ko-KR"/>
        </w:rPr>
        <w:t>d</w:t>
      </w:r>
      <w:r w:rsidRPr="00C676A3">
        <w:rPr>
          <w:rFonts w:eastAsia="Malgun Gothic"/>
          <w:lang w:eastAsia="ko-KR"/>
        </w:rPr>
        <w:t xml:space="preserve">, Contours of air velocity magnitude with the installation of 21 CCF proto systems and ceiling jet fans. </w:t>
      </w:r>
      <w:r w:rsidRPr="00C676A3">
        <w:rPr>
          <w:rFonts w:eastAsia="Malgun Gothic"/>
          <w:b/>
          <w:lang w:eastAsia="ko-KR"/>
        </w:rPr>
        <w:t>e</w:t>
      </w:r>
      <w:r w:rsidRPr="00C676A3">
        <w:rPr>
          <w:rFonts w:eastAsia="Malgun Gothic"/>
          <w:lang w:eastAsia="ko-KR"/>
        </w:rPr>
        <w:t>, Contours of PM</w:t>
      </w:r>
      <w:r w:rsidRPr="00C676A3">
        <w:rPr>
          <w:rFonts w:eastAsia="Malgun Gothic"/>
          <w:vertAlign w:val="subscript"/>
          <w:lang w:eastAsia="ko-KR"/>
        </w:rPr>
        <w:t>10</w:t>
      </w:r>
      <w:r w:rsidRPr="00C676A3">
        <w:rPr>
          <w:rFonts w:eastAsia="Malgun Gothic"/>
          <w:lang w:eastAsia="ko-KR"/>
        </w:rPr>
        <w:t xml:space="preserve"> concentration with the installation of 21 CCF proto systems and ceiling jet fans. The locations of the CCF proto systems are represented by red (standalone, 4,000 m</w:t>
      </w:r>
      <w:r w:rsidRPr="00C676A3">
        <w:rPr>
          <w:rFonts w:eastAsia="Malgun Gothic"/>
          <w:vertAlign w:val="superscript"/>
          <w:lang w:eastAsia="ko-KR"/>
        </w:rPr>
        <w:t>3</w:t>
      </w:r>
      <w:r w:rsidRPr="00C676A3">
        <w:rPr>
          <w:rFonts w:eastAsia="Malgun Gothic"/>
          <w:lang w:eastAsia="ko-KR"/>
        </w:rPr>
        <w:t>/h) and blue (horizontal, 8,000 m</w:t>
      </w:r>
      <w:r w:rsidRPr="00C676A3">
        <w:rPr>
          <w:rFonts w:eastAsia="Malgun Gothic"/>
          <w:vertAlign w:val="superscript"/>
          <w:lang w:eastAsia="ko-KR"/>
        </w:rPr>
        <w:t>3</w:t>
      </w:r>
      <w:r w:rsidRPr="00C676A3">
        <w:rPr>
          <w:rFonts w:eastAsia="Malgun Gothic"/>
          <w:lang w:eastAsia="ko-KR"/>
        </w:rPr>
        <w:t xml:space="preserve">/h) circles in </w:t>
      </w:r>
      <w:r w:rsidRPr="00C676A3">
        <w:rPr>
          <w:rFonts w:eastAsia="Malgun Gothic"/>
          <w:b/>
          <w:lang w:eastAsia="ko-KR"/>
        </w:rPr>
        <w:t>a</w:t>
      </w:r>
      <w:r w:rsidRPr="00C676A3">
        <w:rPr>
          <w:rFonts w:eastAsia="Malgun Gothic"/>
          <w:lang w:eastAsia="ko-KR"/>
        </w:rPr>
        <w:t xml:space="preserve">. </w:t>
      </w:r>
      <w:r w:rsidRPr="00C676A3">
        <w:rPr>
          <w:rFonts w:eastAsia="Malgun Gothic" w:hint="eastAsia"/>
          <w:lang w:eastAsia="ko-KR"/>
        </w:rPr>
        <w:t xml:space="preserve">All results </w:t>
      </w:r>
      <w:r w:rsidRPr="00C676A3">
        <w:rPr>
          <w:rFonts w:eastAsia="Malgun Gothic"/>
          <w:lang w:eastAsia="ko-KR"/>
        </w:rPr>
        <w:t>were</w:t>
      </w:r>
      <w:r w:rsidRPr="00C676A3">
        <w:rPr>
          <w:rFonts w:eastAsia="Malgun Gothic" w:hint="eastAsia"/>
          <w:lang w:eastAsia="ko-KR"/>
        </w:rPr>
        <w:t xml:space="preserve"> obtained </w:t>
      </w:r>
      <w:r w:rsidRPr="00C676A3">
        <w:rPr>
          <w:rFonts w:eastAsia="Malgun Gothic"/>
          <w:lang w:eastAsia="ko-KR"/>
        </w:rPr>
        <w:t xml:space="preserve">at 1 m above the floor level in </w:t>
      </w:r>
      <w:r w:rsidRPr="00C676A3">
        <w:rPr>
          <w:rFonts w:eastAsia="Malgun Gothic"/>
          <w:b/>
          <w:lang w:eastAsia="ko-KR"/>
        </w:rPr>
        <w:t>b–e</w:t>
      </w:r>
      <w:r w:rsidRPr="00C676A3">
        <w:rPr>
          <w:rFonts w:eastAsia="Malgun Gothic"/>
          <w:lang w:eastAsia="ko-KR"/>
        </w:rPr>
        <w:t xml:space="preserve">. </w:t>
      </w:r>
    </w:p>
    <w:p w14:paraId="1780AE86" w14:textId="77777777" w:rsidR="009C4EAA" w:rsidRPr="00C676A3" w:rsidRDefault="009C4EAA" w:rsidP="009C4EAA">
      <w:pPr>
        <w:pStyle w:val="TAMainText"/>
        <w:ind w:firstLine="0"/>
        <w:rPr>
          <w:b/>
        </w:rPr>
      </w:pPr>
      <w:r w:rsidRPr="00C676A3">
        <w:rPr>
          <w:rFonts w:eastAsia="Malgun Gothic"/>
          <w:lang w:eastAsia="ko-KR"/>
        </w:rPr>
        <w:br w:type="page"/>
      </w:r>
      <w:r w:rsidRPr="00C676A3">
        <w:rPr>
          <w:rFonts w:ascii="Times New Roman" w:hAnsi="Times New Roman"/>
          <w:b/>
        </w:rPr>
        <w:lastRenderedPageBreak/>
        <w:t xml:space="preserve">Extended Data </w:t>
      </w:r>
      <w:r w:rsidRPr="00C676A3">
        <w:rPr>
          <w:b/>
        </w:rPr>
        <w:t>Table 1</w:t>
      </w:r>
      <w:r w:rsidRPr="00C676A3">
        <w:rPr>
          <w:rFonts w:ascii="Times New Roman" w:hAnsi="Times New Roman"/>
          <w:b/>
        </w:rPr>
        <w:t xml:space="preserve"> ǀ </w:t>
      </w:r>
      <w:r w:rsidRPr="00C676A3">
        <w:rPr>
          <w:b/>
        </w:rPr>
        <w:t>Physical properties of various commercial filters, and wall length and pressured drop estimated from the pressure drop model</w:t>
      </w:r>
    </w:p>
    <w:tbl>
      <w:tblPr>
        <w:tblW w:w="921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700"/>
        <w:gridCol w:w="1838"/>
        <w:gridCol w:w="1838"/>
        <w:gridCol w:w="1838"/>
      </w:tblGrid>
      <w:tr w:rsidR="009C4EAA" w:rsidRPr="00C676A3" w14:paraId="7C904FC8" w14:textId="77777777" w:rsidTr="007F288D">
        <w:trPr>
          <w:trHeight w:val="150"/>
        </w:trPr>
        <w:tc>
          <w:tcPr>
            <w:tcW w:w="3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52" w:type="dxa"/>
              <w:bottom w:w="61" w:type="dxa"/>
              <w:right w:w="52" w:type="dxa"/>
            </w:tcMar>
            <w:vAlign w:val="center"/>
            <w:hideMark/>
          </w:tcPr>
          <w:p w14:paraId="3EB40D11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Ceramic cell density (CPSI/mil)</w:t>
            </w:r>
          </w:p>
        </w:tc>
        <w:tc>
          <w:tcPr>
            <w:tcW w:w="1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C661C78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200/11.2</w:t>
            </w:r>
          </w:p>
        </w:tc>
        <w:tc>
          <w:tcPr>
            <w:tcW w:w="1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45EF286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200/8.0</w:t>
            </w:r>
          </w:p>
        </w:tc>
        <w:tc>
          <w:tcPr>
            <w:tcW w:w="1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98ACABC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212/8.6</w:t>
            </w:r>
          </w:p>
        </w:tc>
      </w:tr>
      <w:tr w:rsidR="009C4EAA" w:rsidRPr="00C676A3" w14:paraId="7FC97103" w14:textId="77777777" w:rsidTr="007F288D">
        <w:trPr>
          <w:trHeight w:val="156"/>
        </w:trPr>
        <w:tc>
          <w:tcPr>
            <w:tcW w:w="3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4751A26B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Channel height (mm)</w:t>
            </w:r>
          </w:p>
        </w:tc>
        <w:tc>
          <w:tcPr>
            <w:tcW w:w="1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21D0B8F7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1.51</w:t>
            </w:r>
          </w:p>
        </w:tc>
        <w:tc>
          <w:tcPr>
            <w:tcW w:w="1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5F54AA4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1.59</w:t>
            </w:r>
          </w:p>
        </w:tc>
        <w:tc>
          <w:tcPr>
            <w:tcW w:w="1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4E14673D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1.53</w:t>
            </w:r>
          </w:p>
        </w:tc>
      </w:tr>
      <w:tr w:rsidR="009C4EAA" w:rsidRPr="00C676A3" w14:paraId="263EDB17" w14:textId="77777777" w:rsidTr="007F288D">
        <w:trPr>
          <w:trHeight w:val="167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6E0188D5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Wall thickness (mm)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4BEB404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0.284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B0CAE3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0.203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508555F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0.218</w:t>
            </w:r>
          </w:p>
        </w:tc>
      </w:tr>
      <w:tr w:rsidR="009C4EAA" w:rsidRPr="00C676A3" w14:paraId="12CD2238" w14:textId="77777777" w:rsidTr="007F288D">
        <w:trPr>
          <w:trHeight w:val="187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5467C158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Nominal porosity 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2B712B74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50.7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2F9CDCDB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55.8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2FD17DA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55.3</w:t>
            </w:r>
          </w:p>
        </w:tc>
      </w:tr>
      <w:tr w:rsidR="009C4EAA" w:rsidRPr="00C676A3" w14:paraId="2E697C13" w14:textId="77777777" w:rsidTr="007F288D">
        <w:trPr>
          <w:trHeight w:val="6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62A66F92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Median pore diameter (</w:t>
            </w:r>
            <w:proofErr w:type="spellStart"/>
            <w:r w:rsidRPr="00DC181B">
              <w:rPr>
                <w:sz w:val="22"/>
              </w:rPr>
              <w:t>μm</w:t>
            </w:r>
            <w:proofErr w:type="spellEnd"/>
            <w:r w:rsidRPr="00DC181B">
              <w:rPr>
                <w:sz w:val="22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26131AD8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15.03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45F98C09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13.2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17E1E9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13.5</w:t>
            </w:r>
          </w:p>
        </w:tc>
      </w:tr>
      <w:tr w:rsidR="009C4EAA" w:rsidRPr="00C676A3" w14:paraId="7CBCA1F3" w14:textId="77777777" w:rsidTr="007F288D">
        <w:trPr>
          <w:trHeight w:val="2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FC9B53A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Estimated permeability (m</w:t>
            </w:r>
            <w:r w:rsidRPr="00DC181B">
              <w:rPr>
                <w:sz w:val="22"/>
                <w:vertAlign w:val="superscript"/>
              </w:rPr>
              <w:t>2</w:t>
            </w:r>
            <w:r w:rsidRPr="00DC181B">
              <w:rPr>
                <w:sz w:val="22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83A411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9.37E−13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0DE10DF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1.01E−12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0DE09B9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1.01E−12</w:t>
            </w:r>
          </w:p>
        </w:tc>
      </w:tr>
      <w:tr w:rsidR="009C4EAA" w:rsidRPr="00C676A3" w14:paraId="3313912B" w14:textId="77777777" w:rsidTr="007F288D">
        <w:trPr>
          <w:trHeight w:val="2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6B9DE1C8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Optimal porous-wall length (mm)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22EBB543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119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47958BB4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105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4F1D535A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102</w:t>
            </w:r>
          </w:p>
        </w:tc>
      </w:tr>
      <w:tr w:rsidR="009C4EAA" w:rsidRPr="00C676A3" w14:paraId="2B5E4253" w14:textId="77777777" w:rsidTr="007F288D">
        <w:trPr>
          <w:trHeight w:val="24"/>
        </w:trPr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0B4E090" w14:textId="77777777" w:rsidR="009C4EAA" w:rsidRPr="00DC181B" w:rsidRDefault="009C4EAA" w:rsidP="007F288D">
            <w:pPr>
              <w:pStyle w:val="SMcaption"/>
              <w:rPr>
                <w:sz w:val="22"/>
              </w:rPr>
            </w:pPr>
            <w:r w:rsidRPr="00DC181B">
              <w:rPr>
                <w:sz w:val="22"/>
              </w:rPr>
              <w:t>Estimated pressure drop (Pa)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0617A1CC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111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53A6CC66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71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40FC5539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</w:rPr>
            </w:pPr>
            <w:r w:rsidRPr="00DC181B">
              <w:rPr>
                <w:sz w:val="22"/>
              </w:rPr>
              <w:t>89</w:t>
            </w:r>
          </w:p>
        </w:tc>
      </w:tr>
    </w:tbl>
    <w:p w14:paraId="5A234317" w14:textId="77777777" w:rsidR="009C4EAA" w:rsidRPr="00C676A3" w:rsidRDefault="009C4EAA" w:rsidP="009C4EAA">
      <w:pPr>
        <w:pStyle w:val="SMcaption"/>
      </w:pPr>
    </w:p>
    <w:p w14:paraId="15D1BA80" w14:textId="77777777" w:rsidR="009C4EAA" w:rsidRPr="00C676A3" w:rsidRDefault="009C4EAA" w:rsidP="009C4EAA">
      <w:pPr>
        <w:pStyle w:val="Teaser"/>
        <w:spacing w:before="0" w:line="480" w:lineRule="auto"/>
      </w:pPr>
      <w:r w:rsidRPr="00C676A3">
        <w:br w:type="page"/>
      </w:r>
      <w:r w:rsidRPr="00C676A3">
        <w:rPr>
          <w:b/>
        </w:rPr>
        <w:lastRenderedPageBreak/>
        <w:t xml:space="preserve">Extended Data Table 2 ǀ Physical properties and measuring data: pressure drop and PM removal efficiency of bare and membraned ceramic filters (at 115 mm). </w:t>
      </w:r>
      <w:r w:rsidRPr="00C676A3">
        <w:t xml:space="preserve">Note that these properties were measured using mercury intrusion </w:t>
      </w:r>
      <w:proofErr w:type="spellStart"/>
      <w:r w:rsidRPr="00C676A3">
        <w:t>porosimetry</w:t>
      </w:r>
      <w:proofErr w:type="spellEnd"/>
      <w:r w:rsidRPr="00C676A3">
        <w:t xml:space="preserve"> (MIP).</w:t>
      </w:r>
    </w:p>
    <w:tbl>
      <w:tblPr>
        <w:tblW w:w="9209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77"/>
        <w:gridCol w:w="1276"/>
        <w:gridCol w:w="2410"/>
        <w:gridCol w:w="2546"/>
      </w:tblGrid>
      <w:tr w:rsidR="009C4EAA" w:rsidRPr="00C676A3" w14:paraId="05C94C5B" w14:textId="77777777" w:rsidTr="007F288D">
        <w:trPr>
          <w:trHeight w:val="210"/>
        </w:trPr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1" w:type="dxa"/>
              <w:left w:w="52" w:type="dxa"/>
              <w:bottom w:w="61" w:type="dxa"/>
              <w:right w:w="52" w:type="dxa"/>
            </w:tcMar>
            <w:vAlign w:val="center"/>
            <w:hideMark/>
          </w:tcPr>
          <w:p w14:paraId="29EC7E9E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Ceramic filters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70C23D20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Bare CF</w:t>
            </w:r>
          </w:p>
        </w:tc>
        <w:tc>
          <w:tcPr>
            <w:tcW w:w="2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66AFEAA3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Membraned CF</w:t>
            </w:r>
          </w:p>
        </w:tc>
      </w:tr>
      <w:tr w:rsidR="009C4EAA" w:rsidRPr="00C676A3" w14:paraId="23D661CC" w14:textId="77777777" w:rsidTr="007F288D">
        <w:trPr>
          <w:trHeight w:val="258"/>
        </w:trPr>
        <w:tc>
          <w:tcPr>
            <w:tcW w:w="425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682EA12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Material</w:t>
            </w:r>
          </w:p>
        </w:tc>
        <w:tc>
          <w:tcPr>
            <w:tcW w:w="495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375A720E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Cordierite</w:t>
            </w:r>
          </w:p>
        </w:tc>
      </w:tr>
      <w:tr w:rsidR="009C4EAA" w:rsidRPr="00C676A3" w14:paraId="0BAD9190" w14:textId="77777777" w:rsidTr="007F288D">
        <w:trPr>
          <w:trHeight w:val="24"/>
        </w:trPr>
        <w:tc>
          <w:tcPr>
            <w:tcW w:w="4253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7272995C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Cell density (CPSI) / wall depth (mil)</w:t>
            </w:r>
          </w:p>
        </w:tc>
        <w:tc>
          <w:tcPr>
            <w:tcW w:w="4956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31725EDA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200 / 8.0</w:t>
            </w:r>
          </w:p>
        </w:tc>
      </w:tr>
      <w:tr w:rsidR="009C4EAA" w:rsidRPr="00C676A3" w14:paraId="78EF8695" w14:textId="77777777" w:rsidTr="007F288D">
        <w:trPr>
          <w:trHeight w:val="24"/>
        </w:trPr>
        <w:tc>
          <w:tcPr>
            <w:tcW w:w="4253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CB5F5EA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Mean pore diameter (</w:t>
            </w:r>
            <w:proofErr w:type="spellStart"/>
            <w:r w:rsidRPr="00C676A3">
              <w:rPr>
                <w:sz w:val="22"/>
                <w:szCs w:val="22"/>
              </w:rPr>
              <w:t>μm</w:t>
            </w:r>
            <w:proofErr w:type="spellEnd"/>
            <w:r w:rsidRPr="00C676A3">
              <w:rPr>
                <w:sz w:val="22"/>
                <w:szCs w:val="22"/>
              </w:rPr>
              <w:t>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0BA7D91E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rFonts w:eastAsia="Malgun Gothic"/>
                <w:sz w:val="22"/>
                <w:szCs w:val="22"/>
                <w:lang w:eastAsia="ko-KR"/>
              </w:rPr>
            </w:pPr>
            <w:r w:rsidRPr="00C676A3">
              <w:rPr>
                <w:rFonts w:eastAsia="Malgun Gothic"/>
                <w:sz w:val="22"/>
                <w:szCs w:val="22"/>
                <w:lang w:eastAsia="ko-KR"/>
              </w:rPr>
              <w:t>11.6</w:t>
            </w:r>
          </w:p>
        </w:tc>
        <w:tc>
          <w:tcPr>
            <w:tcW w:w="2546" w:type="dxa"/>
            <w:tcBorders>
              <w:top w:val="nil"/>
              <w:bottom w:val="nil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414115D6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rFonts w:eastAsia="Malgun Gothic"/>
                <w:sz w:val="22"/>
                <w:szCs w:val="22"/>
                <w:lang w:eastAsia="ko-KR"/>
              </w:rPr>
            </w:pPr>
            <w:r w:rsidRPr="00C676A3">
              <w:rPr>
                <w:rFonts w:eastAsia="Malgun Gothic"/>
                <w:sz w:val="22"/>
                <w:szCs w:val="22"/>
                <w:lang w:eastAsia="ko-KR"/>
              </w:rPr>
              <w:t>8.3</w:t>
            </w:r>
          </w:p>
        </w:tc>
      </w:tr>
      <w:tr w:rsidR="009C4EAA" w:rsidRPr="00C676A3" w14:paraId="5CDF8DC1" w14:textId="77777777" w:rsidTr="007F288D">
        <w:trPr>
          <w:trHeight w:val="24"/>
        </w:trPr>
        <w:tc>
          <w:tcPr>
            <w:tcW w:w="425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180B0C26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Porosity (%)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7ADDD7C1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rFonts w:eastAsia="Malgun Gothic"/>
                <w:sz w:val="22"/>
                <w:szCs w:val="22"/>
                <w:lang w:eastAsia="ko-KR"/>
              </w:rPr>
            </w:pPr>
            <w:r w:rsidRPr="00C676A3">
              <w:rPr>
                <w:rFonts w:eastAsia="Malgun Gothic"/>
                <w:sz w:val="22"/>
                <w:szCs w:val="22"/>
                <w:lang w:eastAsia="ko-KR"/>
              </w:rPr>
              <w:t>54.0</w:t>
            </w:r>
          </w:p>
        </w:tc>
        <w:tc>
          <w:tcPr>
            <w:tcW w:w="2546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2BAB1208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rFonts w:eastAsia="Malgun Gothic"/>
                <w:sz w:val="22"/>
                <w:szCs w:val="22"/>
                <w:lang w:eastAsia="ko-KR"/>
              </w:rPr>
            </w:pPr>
            <w:r w:rsidRPr="00C676A3">
              <w:rPr>
                <w:rFonts w:eastAsia="Malgun Gothic"/>
                <w:sz w:val="22"/>
                <w:szCs w:val="22"/>
                <w:lang w:eastAsia="ko-KR"/>
              </w:rPr>
              <w:t>55.9</w:t>
            </w:r>
          </w:p>
        </w:tc>
      </w:tr>
      <w:tr w:rsidR="009C4EAA" w:rsidRPr="00C676A3" w14:paraId="6C804559" w14:textId="77777777" w:rsidTr="007F288D">
        <w:trPr>
          <w:trHeight w:val="180"/>
        </w:trPr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074DFE95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proofErr w:type="spellStart"/>
            <w:r w:rsidRPr="00C676A3">
              <w:rPr>
                <w:sz w:val="22"/>
                <w:szCs w:val="22"/>
              </w:rPr>
              <w:t>Δp</w:t>
            </w:r>
            <w:proofErr w:type="spellEnd"/>
            <w:r w:rsidRPr="00C676A3">
              <w:rPr>
                <w:sz w:val="22"/>
                <w:szCs w:val="22"/>
              </w:rPr>
              <w:t xml:space="preserve"> (pressure drop) (Pa) at 1</w:t>
            </w:r>
            <w:r>
              <w:rPr>
                <w:sz w:val="22"/>
                <w:szCs w:val="22"/>
              </w:rPr>
              <w:t xml:space="preserve"> </w:t>
            </w:r>
            <w:r w:rsidRPr="00C676A3">
              <w:rPr>
                <w:sz w:val="22"/>
                <w:szCs w:val="22"/>
              </w:rPr>
              <w:t>m/s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562C48F5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62</w:t>
            </w:r>
          </w:p>
        </w:tc>
        <w:tc>
          <w:tcPr>
            <w:tcW w:w="2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  <w:hideMark/>
          </w:tcPr>
          <w:p w14:paraId="7BF7CCFF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  <w:szCs w:val="22"/>
              </w:rPr>
            </w:pPr>
            <w:r w:rsidRPr="00C676A3">
              <w:rPr>
                <w:sz w:val="22"/>
                <w:szCs w:val="22"/>
              </w:rPr>
              <w:t>136</w:t>
            </w:r>
          </w:p>
        </w:tc>
      </w:tr>
      <w:tr w:rsidR="009C4EAA" w:rsidRPr="00C676A3" w14:paraId="29CCCDB7" w14:textId="77777777" w:rsidTr="007F288D">
        <w:trPr>
          <w:trHeight w:val="163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vAlign w:val="center"/>
          </w:tcPr>
          <w:p w14:paraId="0FF16B22" w14:textId="77777777" w:rsidR="009C4EAA" w:rsidRPr="00C676A3" w:rsidRDefault="009C4EAA" w:rsidP="007F288D">
            <w:pPr>
              <w:pStyle w:val="NormalWeb"/>
              <w:wordWrap w:val="0"/>
              <w:spacing w:before="240" w:beforeAutospacing="0" w:after="0" w:afterAutospacing="0"/>
              <w:jc w:val="center"/>
              <w:rPr>
                <w:rFonts w:ascii="Arial" w:hAnsi="Arial" w:cs="Arial"/>
                <w:sz w:val="22"/>
              </w:rPr>
            </w:pPr>
            <w:r w:rsidRPr="00C676A3">
              <w:rPr>
                <w:rFonts w:ascii="Times New Roman" w:eastAsia="Times New Roman" w:hAnsi="Times New Roman" w:cs="Times New Roman"/>
                <w:color w:val="000000"/>
                <w:kern w:val="28"/>
                <w:sz w:val="22"/>
              </w:rPr>
              <w:t>Filter Efficiency (FE) (%)</w:t>
            </w:r>
          </w:p>
          <w:p w14:paraId="3BA7BE4F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at particle mass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2D3CB710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PM</w:t>
            </w:r>
            <w:r w:rsidRPr="00C676A3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0D47BCE7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34.9</w:t>
            </w:r>
          </w:p>
        </w:tc>
        <w:tc>
          <w:tcPr>
            <w:tcW w:w="2546" w:type="dxa"/>
            <w:tcBorders>
              <w:top w:val="single" w:sz="4" w:space="0" w:color="auto"/>
            </w:tcBorders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1426A677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94.5</w:t>
            </w:r>
          </w:p>
        </w:tc>
      </w:tr>
      <w:tr w:rsidR="009C4EAA" w:rsidRPr="00C676A3" w14:paraId="71C249CC" w14:textId="77777777" w:rsidTr="007F288D">
        <w:trPr>
          <w:trHeight w:val="163"/>
        </w:trPr>
        <w:tc>
          <w:tcPr>
            <w:tcW w:w="2977" w:type="dxa"/>
            <w:vMerge/>
            <w:vAlign w:val="center"/>
          </w:tcPr>
          <w:p w14:paraId="30FCBEF2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</w:p>
        </w:tc>
        <w:tc>
          <w:tcPr>
            <w:tcW w:w="127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6B361F1B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PM</w:t>
            </w:r>
            <w:r w:rsidRPr="00C676A3">
              <w:rPr>
                <w:color w:val="000000"/>
                <w:sz w:val="22"/>
                <w:vertAlign w:val="subscript"/>
              </w:rPr>
              <w:t>2.5-1</w:t>
            </w:r>
          </w:p>
        </w:tc>
        <w:tc>
          <w:tcPr>
            <w:tcW w:w="2410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16543CCE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62.4</w:t>
            </w:r>
          </w:p>
        </w:tc>
        <w:tc>
          <w:tcPr>
            <w:tcW w:w="254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38AD7730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99.1</w:t>
            </w:r>
          </w:p>
        </w:tc>
      </w:tr>
      <w:tr w:rsidR="009C4EAA" w:rsidRPr="00C676A3" w14:paraId="7327C18A" w14:textId="77777777" w:rsidTr="007F288D">
        <w:trPr>
          <w:trHeight w:val="163"/>
        </w:trPr>
        <w:tc>
          <w:tcPr>
            <w:tcW w:w="2977" w:type="dxa"/>
            <w:vMerge/>
            <w:vAlign w:val="center"/>
          </w:tcPr>
          <w:p w14:paraId="4595FD63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</w:p>
        </w:tc>
        <w:tc>
          <w:tcPr>
            <w:tcW w:w="127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2626968F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PM</w:t>
            </w:r>
            <w:r w:rsidRPr="00C676A3">
              <w:rPr>
                <w:color w:val="000000"/>
                <w:sz w:val="22"/>
                <w:vertAlign w:val="subscript"/>
              </w:rPr>
              <w:t>10-2.5</w:t>
            </w:r>
          </w:p>
        </w:tc>
        <w:tc>
          <w:tcPr>
            <w:tcW w:w="2410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316AAC64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83.8</w:t>
            </w:r>
          </w:p>
        </w:tc>
        <w:tc>
          <w:tcPr>
            <w:tcW w:w="254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646433E5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99.6</w:t>
            </w:r>
          </w:p>
        </w:tc>
      </w:tr>
      <w:tr w:rsidR="009C4EAA" w:rsidRPr="00C676A3" w14:paraId="3746103F" w14:textId="77777777" w:rsidTr="007F288D">
        <w:trPr>
          <w:trHeight w:val="163"/>
        </w:trPr>
        <w:tc>
          <w:tcPr>
            <w:tcW w:w="2977" w:type="dxa"/>
            <w:vMerge/>
            <w:vAlign w:val="center"/>
          </w:tcPr>
          <w:p w14:paraId="5738B3CE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</w:p>
        </w:tc>
        <w:tc>
          <w:tcPr>
            <w:tcW w:w="127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3556DC99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PM</w:t>
            </w:r>
            <w:r w:rsidRPr="00C676A3">
              <w:rPr>
                <w:color w:val="000000"/>
                <w:sz w:val="22"/>
                <w:vertAlign w:val="subscript"/>
              </w:rPr>
              <w:t>2.5</w:t>
            </w:r>
          </w:p>
        </w:tc>
        <w:tc>
          <w:tcPr>
            <w:tcW w:w="2410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6059AF99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rFonts w:eastAsia="Malgun Gothic"/>
                <w:color w:val="000000"/>
                <w:sz w:val="22"/>
              </w:rPr>
              <w:t>51.1</w:t>
            </w:r>
          </w:p>
        </w:tc>
        <w:tc>
          <w:tcPr>
            <w:tcW w:w="254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6BB26E80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97.7</w:t>
            </w:r>
          </w:p>
        </w:tc>
      </w:tr>
      <w:tr w:rsidR="009C4EAA" w:rsidRPr="00C676A3" w14:paraId="0ACC74EE" w14:textId="77777777" w:rsidTr="007F288D">
        <w:trPr>
          <w:trHeight w:val="163"/>
        </w:trPr>
        <w:tc>
          <w:tcPr>
            <w:tcW w:w="2977" w:type="dxa"/>
            <w:vMerge/>
            <w:vAlign w:val="center"/>
          </w:tcPr>
          <w:p w14:paraId="15EA2285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</w:p>
        </w:tc>
        <w:tc>
          <w:tcPr>
            <w:tcW w:w="127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523B15CB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PM</w:t>
            </w:r>
            <w:r w:rsidRPr="00C676A3">
              <w:rPr>
                <w:color w:val="000000"/>
                <w:sz w:val="22"/>
                <w:vertAlign w:val="subscript"/>
              </w:rPr>
              <w:t>10</w:t>
            </w:r>
          </w:p>
        </w:tc>
        <w:tc>
          <w:tcPr>
            <w:tcW w:w="2410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3FBFDF8B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53.6</w:t>
            </w:r>
          </w:p>
        </w:tc>
        <w:tc>
          <w:tcPr>
            <w:tcW w:w="2546" w:type="dxa"/>
            <w:shd w:val="clear" w:color="auto" w:fill="auto"/>
            <w:tcMar>
              <w:top w:w="66" w:type="dxa"/>
              <w:left w:w="133" w:type="dxa"/>
              <w:bottom w:w="66" w:type="dxa"/>
              <w:right w:w="133" w:type="dxa"/>
            </w:tcMar>
            <w:vAlign w:val="center"/>
          </w:tcPr>
          <w:p w14:paraId="3EEFA652" w14:textId="77777777" w:rsidR="009C4EAA" w:rsidRPr="00C676A3" w:rsidRDefault="009C4EAA" w:rsidP="007F288D">
            <w:pPr>
              <w:pStyle w:val="Legend"/>
              <w:spacing w:before="0"/>
              <w:jc w:val="center"/>
              <w:outlineLvl w:val="9"/>
              <w:rPr>
                <w:sz w:val="22"/>
              </w:rPr>
            </w:pPr>
            <w:r w:rsidRPr="00C676A3">
              <w:rPr>
                <w:color w:val="000000"/>
                <w:sz w:val="22"/>
              </w:rPr>
              <w:t>98.0</w:t>
            </w:r>
          </w:p>
        </w:tc>
      </w:tr>
    </w:tbl>
    <w:p w14:paraId="60AE7978" w14:textId="77777777" w:rsidR="009C4EAA" w:rsidRPr="00C676A3" w:rsidRDefault="009C4EAA" w:rsidP="009C4EAA">
      <w:pPr>
        <w:pStyle w:val="SMcaption"/>
      </w:pPr>
    </w:p>
    <w:p w14:paraId="2076D47A" w14:textId="77777777" w:rsidR="009C4EAA" w:rsidRPr="00C676A3" w:rsidRDefault="009C4EAA" w:rsidP="009C4EAA">
      <w:pPr>
        <w:pStyle w:val="SMcaption"/>
        <w:spacing w:line="480" w:lineRule="auto"/>
        <w:rPr>
          <w:b/>
        </w:rPr>
      </w:pPr>
      <w:r w:rsidRPr="00C676A3">
        <w:br w:type="page"/>
      </w:r>
      <w:r w:rsidRPr="00C676A3">
        <w:rPr>
          <w:b/>
        </w:rPr>
        <w:lastRenderedPageBreak/>
        <w:t>Extended Data Table 3 ǀ CCF performance along the catalyst coating zone with lengths of 0 to 115 mm</w:t>
      </w:r>
    </w:p>
    <w:tbl>
      <w:tblPr>
        <w:tblW w:w="935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01"/>
        <w:gridCol w:w="1418"/>
        <w:gridCol w:w="1247"/>
        <w:gridCol w:w="1247"/>
        <w:gridCol w:w="1248"/>
        <w:gridCol w:w="1247"/>
        <w:gridCol w:w="1248"/>
      </w:tblGrid>
      <w:tr w:rsidR="009C4EAA" w:rsidRPr="00C676A3" w14:paraId="7B742D9C" w14:textId="77777777" w:rsidTr="007F288D">
        <w:trPr>
          <w:trHeight w:val="689"/>
        </w:trPr>
        <w:tc>
          <w:tcPr>
            <w:tcW w:w="311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09C204AC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CCF samples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7339DE5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0 mm coating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0E14E2F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25 mm coating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5252F7EA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50 mm coating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53FDA6F8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75 mm coating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44FB659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115 mm coating</w:t>
            </w:r>
          </w:p>
        </w:tc>
      </w:tr>
      <w:tr w:rsidR="009C4EAA" w:rsidRPr="00C676A3" w14:paraId="65499780" w14:textId="77777777" w:rsidTr="007F288D">
        <w:trPr>
          <w:trHeight w:val="671"/>
        </w:trPr>
        <w:tc>
          <w:tcPr>
            <w:tcW w:w="311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3306B3E2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Catalyst (g)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32FA278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0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578A65D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1.89</w:t>
            </w:r>
          </w:p>
          <w:p w14:paraId="309336A5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(52.2 g/L)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A43155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3.02</w:t>
            </w:r>
          </w:p>
          <w:p w14:paraId="2805581B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(41.7 g/L)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011CF8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4.58</w:t>
            </w:r>
          </w:p>
          <w:p w14:paraId="76549349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(42.2 g/L)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5A35EEB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6.41</w:t>
            </w:r>
          </w:p>
          <w:p w14:paraId="077D198B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(38.8 g/L)</w:t>
            </w:r>
          </w:p>
        </w:tc>
      </w:tr>
      <w:tr w:rsidR="009C4EAA" w:rsidRPr="00C676A3" w14:paraId="79BDF7F2" w14:textId="77777777" w:rsidTr="007F288D">
        <w:trPr>
          <w:trHeight w:val="680"/>
        </w:trPr>
        <w:tc>
          <w:tcPr>
            <w:tcW w:w="311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5345F792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VOC removal efficiency (%)</w:t>
            </w:r>
          </w:p>
          <w:p w14:paraId="3E376F5C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</w:t>
            </w:r>
            <w:r w:rsidRPr="00DC181B">
              <w:rPr>
                <w:sz w:val="22"/>
                <w:szCs w:val="22"/>
              </w:rPr>
              <w:t xml:space="preserve"> 10 L/min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FB7F5A9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-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F583B0B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71.5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6DE0F8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79.0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005A11A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67.2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302492C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60.6</w:t>
            </w:r>
          </w:p>
        </w:tc>
      </w:tr>
      <w:tr w:rsidR="009C4EAA" w:rsidRPr="00C676A3" w14:paraId="0BA63E40" w14:textId="77777777" w:rsidTr="007F288D">
        <w:trPr>
          <w:trHeight w:val="689"/>
        </w:trPr>
        <w:tc>
          <w:tcPr>
            <w:tcW w:w="311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07DDEC63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Initial Pressure drop (Pa)</w:t>
            </w:r>
          </w:p>
          <w:p w14:paraId="67C253F9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</w:t>
            </w:r>
            <w:r w:rsidRPr="00DC181B">
              <w:rPr>
                <w:sz w:val="22"/>
                <w:szCs w:val="22"/>
              </w:rPr>
              <w:t xml:space="preserve"> 1 m/s (86.8 L/min)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51C78A3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137.6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04CBE62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163.2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B30A625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208.9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462AC8A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  <w:lang w:eastAsia="ko-KR"/>
              </w:rPr>
            </w:pPr>
            <w:r w:rsidRPr="00DC181B">
              <w:rPr>
                <w:sz w:val="22"/>
                <w:szCs w:val="22"/>
                <w:lang w:eastAsia="ko-KR"/>
              </w:rPr>
              <w:t>286.2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881EE77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551.0</w:t>
            </w:r>
          </w:p>
        </w:tc>
      </w:tr>
      <w:tr w:rsidR="009C4EAA" w:rsidRPr="00C676A3" w14:paraId="6A4CC7F6" w14:textId="77777777" w:rsidTr="007F288D">
        <w:trPr>
          <w:trHeight w:val="388"/>
        </w:trPr>
        <w:tc>
          <w:tcPr>
            <w:tcW w:w="170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03AEC9C3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sz w:val="22"/>
                <w:szCs w:val="22"/>
              </w:rPr>
              <w:t>Initial Filter Efficiency (%)</w:t>
            </w:r>
          </w:p>
          <w:p w14:paraId="637EED45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</w:t>
            </w:r>
            <w:r w:rsidRPr="00DC181B">
              <w:rPr>
                <w:sz w:val="22"/>
                <w:szCs w:val="22"/>
              </w:rPr>
              <w:t xml:space="preserve"> particle mass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  <w:hideMark/>
          </w:tcPr>
          <w:p w14:paraId="17614916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PM</w:t>
            </w:r>
            <w:r w:rsidRPr="00DC181B">
              <w:rPr>
                <w:rFonts w:eastAsia="삼성긴고딕 Medium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3D7C6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95.3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3D94F3B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color w:val="000000"/>
                <w:sz w:val="22"/>
                <w:szCs w:val="22"/>
              </w:rPr>
              <w:t xml:space="preserve">92.2 </w:t>
            </w:r>
          </w:p>
        </w:tc>
        <w:tc>
          <w:tcPr>
            <w:tcW w:w="124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2C17AE6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89.8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94BC2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85.5</w:t>
            </w:r>
          </w:p>
        </w:tc>
        <w:tc>
          <w:tcPr>
            <w:tcW w:w="124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C01C0C2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80.8</w:t>
            </w:r>
          </w:p>
        </w:tc>
      </w:tr>
      <w:tr w:rsidR="009C4EAA" w:rsidRPr="00C676A3" w14:paraId="47F3DDB2" w14:textId="77777777" w:rsidTr="007F288D">
        <w:trPr>
          <w:trHeight w:val="38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1EA0216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002D472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PM</w:t>
            </w:r>
            <w:r w:rsidRPr="00DC181B">
              <w:rPr>
                <w:rFonts w:eastAsia="삼성긴고딕 Medium"/>
                <w:sz w:val="22"/>
                <w:szCs w:val="22"/>
                <w:vertAlign w:val="subscript"/>
              </w:rPr>
              <w:t>2.5</w:t>
            </w:r>
            <w:r w:rsidRPr="00DC181B">
              <w:rPr>
                <w:sz w:val="22"/>
                <w:szCs w:val="22"/>
                <w:vertAlign w:val="subscript"/>
              </w:rPr>
              <w:t>–</w:t>
            </w:r>
            <w:r w:rsidRPr="00DC181B">
              <w:rPr>
                <w:rFonts w:eastAsia="삼성긴고딕 Medium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40E7C0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99.1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AB802FD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color w:val="000000"/>
                <w:sz w:val="22"/>
                <w:szCs w:val="22"/>
              </w:rPr>
              <w:t xml:space="preserve">99.1 </w:t>
            </w: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05776DC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98.3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6778C52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97.8</w:t>
            </w: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34EFAA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92.9</w:t>
            </w:r>
          </w:p>
        </w:tc>
      </w:tr>
      <w:tr w:rsidR="009C4EAA" w:rsidRPr="00C676A3" w14:paraId="53458CB9" w14:textId="77777777" w:rsidTr="007F288D">
        <w:trPr>
          <w:trHeight w:val="38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718CD27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4274545D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PM</w:t>
            </w:r>
            <w:r w:rsidRPr="00DC181B">
              <w:rPr>
                <w:rFonts w:eastAsia="삼성긴고딕 Medium"/>
                <w:sz w:val="22"/>
                <w:szCs w:val="22"/>
                <w:vertAlign w:val="subscript"/>
              </w:rPr>
              <w:t>10</w:t>
            </w:r>
            <w:r w:rsidRPr="00DC181B">
              <w:rPr>
                <w:sz w:val="22"/>
                <w:szCs w:val="22"/>
                <w:vertAlign w:val="subscript"/>
              </w:rPr>
              <w:t>–</w:t>
            </w:r>
            <w:r w:rsidRPr="00DC181B">
              <w:rPr>
                <w:rFonts w:eastAsia="삼성긴고딕 Medium"/>
                <w:sz w:val="22"/>
                <w:szCs w:val="22"/>
                <w:vertAlign w:val="subscript"/>
              </w:rPr>
              <w:t>2.5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3D541F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99.5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74F58F9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color w:val="000000"/>
                <w:sz w:val="22"/>
                <w:szCs w:val="22"/>
              </w:rPr>
              <w:t xml:space="preserve">99.8 </w:t>
            </w: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A15188F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99.5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65BE019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99.1</w:t>
            </w: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DB0D0C3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93.2</w:t>
            </w:r>
          </w:p>
        </w:tc>
      </w:tr>
      <w:tr w:rsidR="009C4EAA" w:rsidRPr="00C676A3" w14:paraId="4C43E117" w14:textId="77777777" w:rsidTr="007F288D">
        <w:trPr>
          <w:trHeight w:val="38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2E3484C7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2FD68B87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PM</w:t>
            </w:r>
            <w:r w:rsidRPr="00DC181B">
              <w:rPr>
                <w:rFonts w:eastAsia="삼성긴고딕 Medium"/>
                <w:sz w:val="22"/>
                <w:szCs w:val="22"/>
                <w:vertAlign w:val="subscript"/>
              </w:rPr>
              <w:t>2.5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4B38D96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97.9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74BA1A4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color w:val="000000"/>
                <w:sz w:val="22"/>
                <w:szCs w:val="22"/>
              </w:rPr>
              <w:t xml:space="preserve">97.0 </w:t>
            </w: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B84C480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95.8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F735DFC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93.9</w:t>
            </w: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7E94D35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88.6</w:t>
            </w:r>
          </w:p>
        </w:tc>
      </w:tr>
      <w:tr w:rsidR="009C4EAA" w:rsidRPr="00C676A3" w14:paraId="14768D6D" w14:textId="77777777" w:rsidTr="007F288D">
        <w:trPr>
          <w:trHeight w:val="388"/>
        </w:trPr>
        <w:tc>
          <w:tcPr>
            <w:tcW w:w="1701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631F0C7D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1" w:type="dxa"/>
              <w:left w:w="123" w:type="dxa"/>
              <w:bottom w:w="61" w:type="dxa"/>
              <w:right w:w="123" w:type="dxa"/>
            </w:tcMar>
            <w:vAlign w:val="center"/>
          </w:tcPr>
          <w:p w14:paraId="392F0F25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PM</w:t>
            </w:r>
            <w:r w:rsidRPr="00DC181B">
              <w:rPr>
                <w:rFonts w:eastAsia="삼성긴고딕 Medium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24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D64E252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98.1</w:t>
            </w:r>
          </w:p>
        </w:tc>
        <w:tc>
          <w:tcPr>
            <w:tcW w:w="124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24B4281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color w:val="000000"/>
                <w:sz w:val="22"/>
                <w:szCs w:val="22"/>
              </w:rPr>
              <w:t xml:space="preserve">97.4 </w:t>
            </w:r>
          </w:p>
        </w:tc>
        <w:tc>
          <w:tcPr>
            <w:tcW w:w="124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C42F2C2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96.4</w:t>
            </w:r>
          </w:p>
        </w:tc>
        <w:tc>
          <w:tcPr>
            <w:tcW w:w="124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F67B02E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94.7</w:t>
            </w:r>
          </w:p>
        </w:tc>
        <w:tc>
          <w:tcPr>
            <w:tcW w:w="124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7DEABED" w14:textId="77777777" w:rsidR="009C4EAA" w:rsidRPr="00DC181B" w:rsidRDefault="009C4EAA" w:rsidP="007F288D">
            <w:pPr>
              <w:pStyle w:val="SMcaption"/>
              <w:jc w:val="center"/>
              <w:rPr>
                <w:sz w:val="22"/>
                <w:szCs w:val="22"/>
              </w:rPr>
            </w:pPr>
            <w:r w:rsidRPr="00DC181B">
              <w:rPr>
                <w:rFonts w:eastAsia="삼성긴고딕 Medium"/>
                <w:sz w:val="22"/>
                <w:szCs w:val="22"/>
              </w:rPr>
              <w:t>89.1</w:t>
            </w:r>
          </w:p>
        </w:tc>
      </w:tr>
    </w:tbl>
    <w:p w14:paraId="231C3869" w14:textId="77777777" w:rsidR="009C4EAA" w:rsidRPr="00E519F3" w:rsidRDefault="009C4EAA" w:rsidP="009C4EAA">
      <w:pPr>
        <w:rPr>
          <w:rFonts w:ascii="Times New Roman" w:hAnsi="Times New Roman"/>
          <w:sz w:val="22"/>
          <w:szCs w:val="22"/>
          <w:lang w:eastAsia="ja-JP"/>
        </w:rPr>
      </w:pPr>
    </w:p>
    <w:p w14:paraId="1CFE5FFE" w14:textId="77777777" w:rsidR="00744BCE" w:rsidRDefault="00744BCE"/>
    <w:sectPr w:rsidR="00744BCE" w:rsidSect="00835DB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1440" w:right="1440" w:bottom="1440" w:left="1440" w:header="0" w:footer="0" w:gutter="0"/>
      <w:lnNumType w:countBy="1" w:restart="continuous"/>
      <w:cols w:space="47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Che">
    <w:altName w:val="바탕체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삼성긴고딕 Medium">
    <w:charset w:val="81"/>
    <w:family w:val="modern"/>
    <w:pitch w:val="variable"/>
    <w:sig w:usb0="800002A7" w:usb1="29D7FCF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D93E8" w14:textId="77777777" w:rsidR="0049788A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14:paraId="4E7FF589" w14:textId="77777777" w:rsidR="0049788A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B6BF5" w14:textId="77777777" w:rsidR="00E519F3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B984C" w14:textId="77777777" w:rsidR="00E519F3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EDC56" w14:textId="77777777" w:rsidR="00E519F3" w:rsidRDefault="00000000" w:rsidP="00E519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FDBD8" w14:textId="77777777" w:rsidR="00E519F3" w:rsidRDefault="00000000" w:rsidP="00E519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8F941" w14:textId="77777777" w:rsidR="00E519F3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AA"/>
    <w:rsid w:val="00744BCE"/>
    <w:rsid w:val="009C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8D2AB"/>
  <w15:chartTrackingRefBased/>
  <w15:docId w15:val="{E9CDC821-327B-4C1D-8586-FC4A8E5A4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EAA"/>
    <w:pPr>
      <w:spacing w:after="200" w:line="240" w:lineRule="auto"/>
      <w:jc w:val="both"/>
    </w:pPr>
    <w:rPr>
      <w:rFonts w:ascii="Times" w:eastAsia="MS Mincho" w:hAnsi="Times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9C4EAA"/>
    <w:pPr>
      <w:spacing w:after="0" w:line="480" w:lineRule="auto"/>
      <w:ind w:firstLine="202"/>
    </w:pPr>
  </w:style>
  <w:style w:type="paragraph" w:styleId="Footer">
    <w:name w:val="footer"/>
    <w:basedOn w:val="Normal"/>
    <w:link w:val="FooterChar"/>
    <w:uiPriority w:val="99"/>
    <w:rsid w:val="009C4E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4EAA"/>
    <w:rPr>
      <w:rFonts w:ascii="Times" w:eastAsia="MS Mincho" w:hAnsi="Times" w:cs="Times New Roman"/>
      <w:sz w:val="24"/>
      <w:szCs w:val="20"/>
      <w:lang w:val="en-GB"/>
    </w:rPr>
  </w:style>
  <w:style w:type="character" w:styleId="PageNumber">
    <w:name w:val="page number"/>
    <w:basedOn w:val="DefaultParagraphFont"/>
    <w:rsid w:val="009C4EAA"/>
  </w:style>
  <w:style w:type="paragraph" w:styleId="Header">
    <w:name w:val="header"/>
    <w:basedOn w:val="Normal"/>
    <w:link w:val="HeaderChar"/>
    <w:unhideWhenUsed/>
    <w:rsid w:val="009C4EA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9C4EAA"/>
    <w:rPr>
      <w:rFonts w:ascii="Times" w:eastAsia="MS Mincho" w:hAnsi="Times" w:cs="Times New Roman"/>
      <w:sz w:val="24"/>
      <w:szCs w:val="20"/>
      <w:lang w:val="en-GB"/>
    </w:rPr>
  </w:style>
  <w:style w:type="paragraph" w:styleId="NormalWeb">
    <w:name w:val="Normal (Web)"/>
    <w:basedOn w:val="Normal"/>
    <w:link w:val="NormalWebChar"/>
    <w:uiPriority w:val="99"/>
    <w:unhideWhenUsed/>
    <w:rsid w:val="009C4EAA"/>
    <w:pPr>
      <w:spacing w:before="100" w:beforeAutospacing="1" w:after="100" w:afterAutospacing="1"/>
      <w:jc w:val="left"/>
    </w:pPr>
    <w:rPr>
      <w:rFonts w:ascii="Gulim" w:eastAsia="Gulim" w:hAnsi="Gulim" w:cs="Gulim"/>
      <w:szCs w:val="24"/>
      <w:lang w:eastAsia="ko-KR"/>
    </w:rPr>
  </w:style>
  <w:style w:type="character" w:customStyle="1" w:styleId="NormalWebChar">
    <w:name w:val="Normal (Web) Char"/>
    <w:link w:val="NormalWeb"/>
    <w:uiPriority w:val="99"/>
    <w:rsid w:val="009C4EAA"/>
    <w:rPr>
      <w:rFonts w:ascii="Gulim" w:eastAsia="Gulim" w:hAnsi="Gulim" w:cs="Gulim"/>
      <w:sz w:val="24"/>
      <w:szCs w:val="24"/>
      <w:lang w:val="en-GB" w:eastAsia="ko-KR"/>
    </w:rPr>
  </w:style>
  <w:style w:type="paragraph" w:customStyle="1" w:styleId="Teaser">
    <w:name w:val="Teaser"/>
    <w:basedOn w:val="Normal"/>
    <w:rsid w:val="009C4EAA"/>
    <w:pPr>
      <w:spacing w:before="120" w:after="0"/>
      <w:jc w:val="left"/>
    </w:pPr>
    <w:rPr>
      <w:rFonts w:ascii="Times New Roman" w:eastAsia="Times New Roman" w:hAnsi="Times New Roman"/>
      <w:szCs w:val="24"/>
    </w:rPr>
  </w:style>
  <w:style w:type="paragraph" w:customStyle="1" w:styleId="SMcaption">
    <w:name w:val="SM caption"/>
    <w:basedOn w:val="Normal"/>
    <w:qFormat/>
    <w:rsid w:val="009C4EAA"/>
    <w:pPr>
      <w:spacing w:after="0"/>
      <w:jc w:val="left"/>
    </w:pPr>
    <w:rPr>
      <w:rFonts w:ascii="Times New Roman" w:eastAsia="Malgun Gothic" w:hAnsi="Times New Roman"/>
    </w:rPr>
  </w:style>
  <w:style w:type="paragraph" w:customStyle="1" w:styleId="Legend">
    <w:name w:val="Legend"/>
    <w:basedOn w:val="Normal"/>
    <w:rsid w:val="009C4EAA"/>
    <w:pPr>
      <w:keepNext/>
      <w:spacing w:before="240" w:after="0"/>
      <w:jc w:val="left"/>
      <w:outlineLvl w:val="0"/>
    </w:pPr>
    <w:rPr>
      <w:rFonts w:ascii="Times New Roman" w:eastAsia="Times New Roman" w:hAnsi="Times New Roman"/>
      <w:kern w:val="28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9C4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eader" Target="header2.xml"/><Relationship Id="rId10" Type="http://schemas.openxmlformats.org/officeDocument/2006/relationships/image" Target="media/image7.png"/><Relationship Id="rId19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1035</Words>
  <Characters>5902</Characters>
  <Application>Microsoft Office Word</Application>
  <DocSecurity>0</DocSecurity>
  <Lines>49</Lines>
  <Paragraphs>13</Paragraphs>
  <ScaleCrop>false</ScaleCrop>
  <Company/>
  <LinksUpToDate>false</LinksUpToDate>
  <CharactersWithSpaces>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2022-09-23T10:08:00Z</dcterms:created>
  <dcterms:modified xsi:type="dcterms:W3CDTF">2022-09-23T10:08:00Z</dcterms:modified>
</cp:coreProperties>
</file>