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/>
          <w:lang w:eastAsia="zh-Hans"/>
        </w:rPr>
      </w:pPr>
      <w:r>
        <w:rPr>
          <w:rFonts w:hint="eastAsia"/>
          <w:b/>
          <w:lang w:eastAsia="zh-Hans"/>
        </w:rPr>
        <w:t>Supplement</w:t>
      </w:r>
    </w:p>
    <w:p>
      <w:pPr>
        <w:pStyle w:val="7"/>
        <w:spacing w:line="360" w:lineRule="auto"/>
      </w:pPr>
      <w:r>
        <w:rPr>
          <w:rFonts w:hint="eastAsia"/>
        </w:rPr>
        <w:t>MATERIALS AND METHODS</w:t>
      </w:r>
    </w:p>
    <w:p>
      <w:pPr>
        <w:pStyle w:val="7"/>
        <w:spacing w:line="360" w:lineRule="auto"/>
      </w:pPr>
      <w:r>
        <w:rPr>
          <w:rFonts w:hint="eastAsia"/>
        </w:rPr>
        <w:t>Immunohistochemical staining</w:t>
      </w:r>
      <w:r>
        <w:t xml:space="preserve"> </w:t>
      </w:r>
    </w:p>
    <w:p>
      <w:pPr>
        <w:jc w:val="both"/>
        <w:rPr>
          <w:rFonts w:eastAsia="宋体"/>
          <w:color w:val="000000"/>
          <w:szCs w:val="21"/>
        </w:rPr>
      </w:pPr>
      <w:r>
        <w:rPr>
          <w:shd w:val="clear" w:color="000000" w:fill="FFFFFF"/>
        </w:rPr>
        <w:t xml:space="preserve">BM specimens used in this study were prepared from paraffin-embedded blocks. Thin slides of 4 μm were cut and subjected to immunohistochemistry (IHC) for </w:t>
      </w:r>
      <w:r>
        <w:rPr>
          <w:rFonts w:hint="eastAsia" w:eastAsia="宋体"/>
          <w:color w:val="000000"/>
          <w:szCs w:val="21"/>
        </w:rPr>
        <w:t>SSBP1</w:t>
      </w:r>
      <w:r>
        <w:rPr>
          <w:rFonts w:eastAsia="宋体"/>
          <w:color w:val="000000"/>
          <w:szCs w:val="21"/>
        </w:rPr>
        <w:t xml:space="preserve"> (rabbit monoclonal EPR4034; 1:100 dilution; cat no. ab109362; </w:t>
      </w:r>
      <w:r>
        <w:t>Abcam, Cambridge, MA, USA</w:t>
      </w:r>
      <w:r>
        <w:rPr>
          <w:rFonts w:eastAsia="宋体"/>
          <w:color w:val="000000"/>
          <w:szCs w:val="21"/>
        </w:rPr>
        <w:t>)</w:t>
      </w:r>
      <w:r>
        <w:rPr>
          <w:shd w:val="clear" w:color="000000" w:fill="FFFFFF"/>
        </w:rPr>
        <w:t xml:space="preserve"> for 32 min. The reaction was revealed with diaminobenzidine (DAB) and counterstained with Harris’ hematoxylin. </w:t>
      </w:r>
      <w:r>
        <w:rPr>
          <w:rFonts w:hint="eastAsia"/>
          <w:shd w:val="clear" w:color="000000" w:fill="FFFFFF"/>
        </w:rPr>
        <w:t xml:space="preserve">According to the manufacturer's protocol, we used colon cancer tissue samples with high expression of </w:t>
      </w:r>
      <w:r>
        <w:rPr>
          <w:shd w:val="clear" w:color="000000" w:fill="FFFFFF"/>
        </w:rPr>
        <w:t>SSBP</w:t>
      </w:r>
      <w:r>
        <w:rPr>
          <w:rFonts w:hint="eastAsia"/>
          <w:shd w:val="clear" w:color="000000" w:fill="FFFFFF"/>
        </w:rPr>
        <w:t>1 as positive and negative control groups</w:t>
      </w:r>
      <w:r>
        <w:rPr>
          <w:shd w:val="clear" w:color="000000" w:fill="FFFFFF"/>
        </w:rPr>
        <w:t>. The staining was evaluated by two independent pathologists under a light microscope (magnification, × 40) by calculating H-scores, obtained by multiplying the percentage and staining intensity scores in &gt;10 fields, as described previously</w:t>
      </w:r>
      <w:r>
        <w:rPr>
          <w:shd w:val="clear" w:color="000000" w:fill="FFFFFF"/>
        </w:rPr>
        <w:fldChar w:fldCharType="begin">
          <w:fldData xml:space="preserve">PEVuZE5vdGU+PENpdGU+PEF1dGhvcj5IdWFuZzwvQXV0aG9yPjxZZWFyPjIwMDU8L1llYXI+PFJl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</w:fldData>
        </w:fldChar>
      </w:r>
      <w:r>
        <w:rPr>
          <w:shd w:val="clear" w:color="000000" w:fill="FFFFFF"/>
        </w:rPr>
        <w:instrText xml:space="preserve"> ADDIN EN.CITE </w:instrText>
      </w:r>
      <w:r>
        <w:rPr>
          <w:shd w:val="clear" w:color="000000" w:fill="FFFFFF"/>
        </w:rPr>
        <w:fldChar w:fldCharType="begin">
          <w:fldData xml:space="preserve">PEVuZE5vdGU+PENpdGU+PEF1dGhvcj5IdWFuZzwvQXV0aG9yPjxZZWFyPjIwMDU8L1llYXI+PFJl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</w:fldData>
        </w:fldChar>
      </w:r>
      <w:r>
        <w:rPr>
          <w:shd w:val="clear" w:color="000000" w:fill="FFFFFF"/>
        </w:rPr>
        <w:instrText xml:space="preserve"> ADDIN EN.CITE.DATA </w:instrText>
      </w:r>
      <w:r>
        <w:rPr>
          <w:shd w:val="clear" w:color="000000" w:fill="FFFFFF"/>
        </w:rPr>
        <w:fldChar w:fldCharType="end"/>
      </w:r>
      <w:r>
        <w:rPr>
          <w:shd w:val="clear" w:color="000000" w:fill="FFFFFF"/>
        </w:rPr>
        <w:fldChar w:fldCharType="separate"/>
      </w:r>
      <w:r>
        <w:rPr>
          <w:shd w:val="clear" w:color="000000" w:fill="FFFFFF"/>
          <w:vertAlign w:val="superscript"/>
        </w:rPr>
        <w:t>1.</w:t>
      </w:r>
      <w:r>
        <w:rPr>
          <w:shd w:val="clear" w:color="000000" w:fill="FFFFFF"/>
        </w:rPr>
        <w:fldChar w:fldCharType="end"/>
      </w:r>
      <w:r>
        <w:rPr>
          <w:shd w:val="clear" w:color="000000" w:fill="FFFFFF"/>
        </w:rPr>
        <w:t xml:space="preserve">. Cases with a score of more or less than the median value were defined as having high or low expression, respectively. </w:t>
      </w:r>
      <w:r>
        <w:rPr>
          <w:rFonts w:eastAsia="宋体"/>
          <w:color w:val="000000"/>
          <w:szCs w:val="21"/>
        </w:rPr>
        <w:t>Two senior pathologists evaluated the results of IHC separately. H</w:t>
      </w:r>
      <w:r>
        <w:rPr>
          <w:rFonts w:hint="eastAsia" w:eastAsia="宋体"/>
          <w:color w:val="000000"/>
          <w:szCs w:val="21"/>
        </w:rPr>
        <w:t>-</w:t>
      </w:r>
      <w:r>
        <w:rPr>
          <w:rFonts w:eastAsia="宋体"/>
          <w:color w:val="000000"/>
          <w:szCs w:val="21"/>
        </w:rPr>
        <w:t>score was used to calculate the intensity and area of cell staining for semi-quantified.</w:t>
      </w:r>
      <w:r>
        <w:rPr>
          <w:rFonts w:hint="eastAsia" w:eastAsia="宋体"/>
          <w:color w:val="000000"/>
          <w:szCs w:val="21"/>
        </w:rPr>
        <w:t xml:space="preserve"> </w:t>
      </w:r>
      <w:r>
        <w:rPr>
          <w:rFonts w:eastAsia="宋体"/>
          <w:color w:val="000000"/>
          <w:szCs w:val="21"/>
        </w:rPr>
        <w:t>Using the median H-score</w:t>
      </w:r>
      <w:r>
        <w:rPr>
          <w:rFonts w:hint="eastAsia" w:eastAsia="宋体"/>
          <w:color w:val="000000"/>
          <w:szCs w:val="21"/>
        </w:rPr>
        <w:t xml:space="preserve"> </w:t>
      </w:r>
      <w:r>
        <w:rPr>
          <w:rFonts w:eastAsia="宋体"/>
          <w:color w:val="000000"/>
          <w:szCs w:val="21"/>
        </w:rPr>
        <w:t xml:space="preserve">as a </w:t>
      </w:r>
      <w:r>
        <w:rPr>
          <w:rFonts w:hint="eastAsia" w:eastAsia="宋体"/>
          <w:color w:val="000000"/>
          <w:szCs w:val="21"/>
        </w:rPr>
        <w:t xml:space="preserve">cutoff </w:t>
      </w:r>
      <w:r>
        <w:rPr>
          <w:rFonts w:eastAsia="宋体"/>
          <w:color w:val="000000"/>
          <w:szCs w:val="21"/>
        </w:rPr>
        <w:t xml:space="preserve">value, the patients were divided into </w:t>
      </w:r>
      <w:r>
        <w:rPr>
          <w:rFonts w:hint="eastAsia" w:eastAsia="宋体"/>
          <w:color w:val="000000"/>
          <w:szCs w:val="21"/>
        </w:rPr>
        <w:t>SSBP1</w:t>
      </w:r>
      <w:r>
        <w:rPr>
          <w:rFonts w:eastAsia="宋体"/>
          <w:color w:val="000000"/>
          <w:szCs w:val="21"/>
        </w:rPr>
        <w:t xml:space="preserve"> high-expression and low-expression groups.</w:t>
      </w:r>
    </w:p>
    <w:p>
      <w:pPr>
        <w:jc w:val="both"/>
        <w:rPr>
          <w:rFonts w:eastAsia="宋体"/>
          <w:color w:val="000000"/>
          <w:szCs w:val="21"/>
          <w:lang w:eastAsia="zh-Hans"/>
        </w:rPr>
      </w:pPr>
    </w:p>
    <w:p>
      <w:pPr>
        <w:pStyle w:val="7"/>
        <w:jc w:val="both"/>
      </w:pPr>
      <w:r>
        <w:rPr>
          <w:rFonts w:hint="eastAsia"/>
          <w:lang w:eastAsia="zh-Hans"/>
        </w:rPr>
        <w:t>C</w:t>
      </w:r>
      <w:r>
        <w:t xml:space="preserve">ell lines </w:t>
      </w:r>
      <w:r>
        <w:rPr>
          <w:rFonts w:hint="eastAsia"/>
          <w:lang w:eastAsia="zh-Hans"/>
        </w:rPr>
        <w:t>and</w:t>
      </w:r>
      <w:r>
        <w:rPr>
          <w:lang w:eastAsia="zh-Hans"/>
        </w:rPr>
        <w:t xml:space="preserve"> reagents</w:t>
      </w:r>
    </w:p>
    <w:p>
      <w:pPr>
        <w:jc w:val="both"/>
      </w:pPr>
      <w:r>
        <w:t>The human MM cell lines</w:t>
      </w:r>
      <w:r>
        <w:rPr>
          <w:rFonts w:hint="eastAsia"/>
        </w:rPr>
        <w:t xml:space="preserve"> </w:t>
      </w:r>
      <w:r>
        <w:t>RPMI8266</w:t>
      </w:r>
      <w:r>
        <w:rPr>
          <w:rFonts w:hint="eastAsia"/>
        </w:rPr>
        <w:t xml:space="preserve"> and MM.1</w:t>
      </w:r>
      <w:r>
        <w:t xml:space="preserve">S </w:t>
      </w:r>
      <w:r>
        <w:rPr>
          <w:rFonts w:hint="eastAsia"/>
        </w:rPr>
        <w:t xml:space="preserve">were obtained from </w:t>
      </w:r>
      <w:r>
        <w:t xml:space="preserve">ATCC </w:t>
      </w:r>
      <w:r>
        <w:rPr>
          <w:rFonts w:hint="eastAsia"/>
        </w:rPr>
        <w:t>(</w:t>
      </w:r>
      <w:r>
        <w:t xml:space="preserve">Manassas, VA, USA) </w:t>
      </w:r>
      <w:r>
        <w:rPr>
          <w:rFonts w:hint="eastAsia"/>
        </w:rPr>
        <w:t>and</w:t>
      </w:r>
      <w:r>
        <w:t xml:space="preserve"> cultured in RPMI</w:t>
      </w:r>
      <w:r>
        <w:rPr>
          <w:rFonts w:hint="eastAsia"/>
        </w:rPr>
        <w:t xml:space="preserve"> </w:t>
      </w:r>
      <w:r>
        <w:t xml:space="preserve">1640 medium supplemented with 10% heat-inactivated fetal bovine serum. </w:t>
      </w:r>
      <w:r>
        <w:rPr>
          <w:rFonts w:eastAsia="宋体"/>
        </w:rPr>
        <w:t>Primary a</w:t>
      </w:r>
      <w:r>
        <w:rPr>
          <w:rFonts w:hint="eastAsia"/>
        </w:rPr>
        <w:t xml:space="preserve">ntibodies for </w:t>
      </w:r>
      <w:r>
        <w:rPr>
          <w:rFonts w:hint="eastAsia"/>
          <w:lang w:eastAsia="zh-Hans"/>
        </w:rPr>
        <w:t>p</w:t>
      </w:r>
      <w:r>
        <w:rPr>
          <w:lang w:eastAsia="zh-Hans"/>
        </w:rPr>
        <w:t>38-mitogen-activated protein kinase (</w:t>
      </w:r>
      <w:r>
        <w:rPr>
          <w:rFonts w:eastAsia="宋体"/>
        </w:rPr>
        <w:t>MAPK) (#</w:t>
      </w:r>
      <w:r>
        <w:t>YT6121)</w:t>
      </w:r>
      <w:r>
        <w:rPr>
          <w:lang w:eastAsia="zh-Hans"/>
        </w:rPr>
        <w:t xml:space="preserve">, </w:t>
      </w:r>
      <w:r>
        <w:rPr>
          <w:rFonts w:hint="eastAsia"/>
        </w:rPr>
        <w:t>phosphorylated</w:t>
      </w:r>
      <w:r>
        <w:t xml:space="preserve"> </w:t>
      </w:r>
      <w:r>
        <w:rPr>
          <w:rFonts w:hint="eastAsia"/>
          <w:lang w:eastAsia="zh-Hans"/>
        </w:rPr>
        <w:t>p</w:t>
      </w:r>
      <w:r>
        <w:rPr>
          <w:lang w:eastAsia="zh-Hans"/>
        </w:rPr>
        <w:t>38</w:t>
      </w:r>
      <w:r>
        <w:rPr>
          <w:rFonts w:eastAsia="宋体"/>
        </w:rPr>
        <w:t xml:space="preserve">MAPK </w:t>
      </w:r>
      <w:r>
        <w:rPr>
          <w:lang w:eastAsia="zh-Hans"/>
        </w:rPr>
        <w:t>(p-p38</w:t>
      </w:r>
      <w:r>
        <w:rPr>
          <w:rFonts w:eastAsia="宋体"/>
        </w:rPr>
        <w:t>MAPK</w:t>
      </w:r>
      <w:r>
        <w:rPr>
          <w:lang w:eastAsia="zh-Hans"/>
        </w:rPr>
        <w:t xml:space="preserve">) </w:t>
      </w:r>
      <w:r>
        <w:rPr>
          <w:rFonts w:hint="eastAsia"/>
        </w:rPr>
        <w:t>(</w:t>
      </w:r>
      <w:r>
        <w:t xml:space="preserve">#YP0338), </w:t>
      </w:r>
      <w:r>
        <w:rPr>
          <w:rFonts w:hint="eastAsia"/>
        </w:rPr>
        <w:t>ERK</w:t>
      </w:r>
      <w:r>
        <w:t xml:space="preserve"> (#YT1625)</w:t>
      </w:r>
      <w:r>
        <w:rPr>
          <w:rFonts w:hint="eastAsia"/>
        </w:rPr>
        <w:t>, phosphorylated ERK (p-ERK)</w:t>
      </w:r>
      <w:r>
        <w:t xml:space="preserve"> (#YP0101)</w:t>
      </w:r>
      <w:r>
        <w:rPr>
          <w:rFonts w:hint="eastAsia"/>
        </w:rPr>
        <w:t>, JNK</w:t>
      </w:r>
      <w:r>
        <w:t xml:space="preserve"> (#YM1403)</w:t>
      </w:r>
      <w:r>
        <w:rPr>
          <w:rFonts w:hint="eastAsia"/>
        </w:rPr>
        <w:t xml:space="preserve">, </w:t>
      </w:r>
      <w:r>
        <w:rPr>
          <w:rFonts w:hint="eastAsia"/>
          <w:lang w:eastAsia="zh-Hans"/>
        </w:rPr>
        <w:t>and</w:t>
      </w:r>
      <w:r>
        <w:rPr>
          <w:lang w:eastAsia="zh-Hans"/>
        </w:rPr>
        <w:t xml:space="preserve"> </w:t>
      </w:r>
      <w:r>
        <w:rPr>
          <w:rFonts w:hint="eastAsia"/>
        </w:rPr>
        <w:t xml:space="preserve">phosphorylated </w:t>
      </w:r>
      <w:r>
        <w:t>JN</w:t>
      </w:r>
      <w:r>
        <w:rPr>
          <w:rFonts w:hint="eastAsia"/>
        </w:rPr>
        <w:t>K</w:t>
      </w:r>
      <w:r>
        <w:t xml:space="preserve"> (p-JNK) (#YP0157) </w:t>
      </w:r>
      <w:r>
        <w:rPr>
          <w:rFonts w:hint="eastAsia"/>
        </w:rPr>
        <w:t>were purchased from</w:t>
      </w:r>
      <w:r>
        <w:t xml:space="preserve"> </w:t>
      </w:r>
      <w:r>
        <w:rPr>
          <w:rFonts w:hint="eastAsia" w:eastAsia="宋体"/>
        </w:rPr>
        <w:t>Immunoway</w:t>
      </w:r>
      <w:r>
        <w:rPr>
          <w:rFonts w:eastAsia="宋体"/>
        </w:rPr>
        <w:t xml:space="preserve"> (Texas, USA).</w:t>
      </w:r>
      <w:r>
        <w:rPr>
          <w:rFonts w:hint="eastAsia"/>
        </w:rPr>
        <w:t xml:space="preserve"> Antibodies for</w:t>
      </w:r>
      <w:r>
        <w:t xml:space="preserve"> </w:t>
      </w:r>
      <w:r>
        <w:rPr>
          <w:spacing w:val="3"/>
          <w:shd w:val="clear" w:color="auto" w:fill="FFFFFF"/>
          <w:lang w:eastAsia="zh-Hans"/>
        </w:rPr>
        <w:t>cytochrome c (Cyt C)</w:t>
      </w:r>
      <w:r>
        <w:rPr>
          <w:rFonts w:eastAsia="宋体"/>
          <w:iCs/>
        </w:rPr>
        <w:t xml:space="preserve"> (#</w:t>
      </w:r>
      <w:r>
        <w:t xml:space="preserve">A4912) </w:t>
      </w:r>
      <w:r>
        <w:rPr>
          <w:rFonts w:hint="eastAsia" w:eastAsia="宋体"/>
          <w:iCs/>
          <w:lang w:eastAsia="zh-Hans"/>
        </w:rPr>
        <w:t>an</w:t>
      </w:r>
      <w:r>
        <w:rPr>
          <w:rFonts w:eastAsia="宋体"/>
          <w:iCs/>
          <w:lang w:eastAsia="zh-Hans"/>
        </w:rPr>
        <w:t>d</w:t>
      </w:r>
      <w:r>
        <w:rPr>
          <w:rFonts w:eastAsia="宋体"/>
          <w:iCs/>
        </w:rPr>
        <w:t xml:space="preserve"> </w:t>
      </w:r>
      <w:r>
        <w:rPr>
          <w:rFonts w:hint="eastAsia" w:eastAsia="宋体"/>
        </w:rPr>
        <w:t>C</w:t>
      </w:r>
      <w:r>
        <w:rPr>
          <w:rFonts w:eastAsia="宋体"/>
        </w:rPr>
        <w:t>OX IV (#</w:t>
      </w:r>
      <w:r>
        <w:t>A11631)</w:t>
      </w:r>
      <w:r>
        <w:rPr>
          <w:rFonts w:eastAsia="宋体"/>
          <w:iCs/>
        </w:rPr>
        <w:t xml:space="preserve"> </w:t>
      </w:r>
      <w:r>
        <w:rPr>
          <w:rFonts w:hint="eastAsia"/>
        </w:rPr>
        <w:t>were purchased from</w:t>
      </w:r>
      <w:r>
        <w:t xml:space="preserve"> </w:t>
      </w:r>
      <w:r>
        <w:rPr>
          <w:rFonts w:hint="eastAsia" w:eastAsia="宋体"/>
        </w:rPr>
        <w:t>Abclonal (Wuhan, China)</w:t>
      </w:r>
      <w:r>
        <w:rPr>
          <w:rFonts w:eastAsia="宋体"/>
        </w:rPr>
        <w:t xml:space="preserve">. </w:t>
      </w:r>
      <w:r>
        <w:rPr>
          <w:rFonts w:hint="eastAsia"/>
        </w:rPr>
        <w:t xml:space="preserve">Antibodies for </w:t>
      </w:r>
      <w:r>
        <w:t>C</w:t>
      </w:r>
      <w:r>
        <w:rPr>
          <w:rFonts w:hint="eastAsia"/>
        </w:rPr>
        <w:t>leaved</w:t>
      </w:r>
      <w:r>
        <w:t>-C</w:t>
      </w:r>
      <w:r>
        <w:rPr>
          <w:rFonts w:hint="eastAsia"/>
        </w:rPr>
        <w:t>aspase</w:t>
      </w:r>
      <w:r>
        <w:t xml:space="preserve"> </w:t>
      </w:r>
      <w:r>
        <w:rPr>
          <w:rFonts w:hint="eastAsia"/>
        </w:rPr>
        <w:t>3</w:t>
      </w:r>
      <w:r>
        <w:t xml:space="preserve"> (#</w:t>
      </w:r>
      <w:r>
        <w:rPr>
          <w:rFonts w:eastAsia="宋体"/>
        </w:rPr>
        <w:t>9664)</w:t>
      </w:r>
      <w:r>
        <w:t xml:space="preserve">, </w:t>
      </w:r>
      <w:r>
        <w:rPr>
          <w:rFonts w:hint="eastAsia"/>
        </w:rPr>
        <w:t>Caspase</w:t>
      </w:r>
      <w:r>
        <w:t xml:space="preserve"> 9 (#</w:t>
      </w:r>
      <w:r>
        <w:rPr>
          <w:rFonts w:eastAsia="宋体"/>
        </w:rPr>
        <w:t>9508)</w:t>
      </w:r>
      <w:r>
        <w:t xml:space="preserve">, and PARP (#9532) </w:t>
      </w:r>
      <w:r>
        <w:rPr>
          <w:rFonts w:hint="eastAsia"/>
        </w:rPr>
        <w:t xml:space="preserve">were purchased from </w:t>
      </w:r>
      <w:r>
        <w:fldChar w:fldCharType="begin"/>
      </w:r>
      <w:r>
        <w:instrText xml:space="preserve"> HYPERLINK "http://www.baidu.com/link?url=zyPF89ytksXmNkw4135ADSKX-IjtarQRnUMNSSWFBV23lqIfJbDDLFJl5sIpXXql" \t "_blank" </w:instrText>
      </w:r>
      <w:r>
        <w:fldChar w:fldCharType="separate"/>
      </w:r>
      <w:r>
        <w:rPr>
          <w:rFonts w:eastAsia="宋体"/>
        </w:rPr>
        <w:t>Cell Signaling Technology</w:t>
      </w:r>
      <w:r>
        <w:rPr>
          <w:rFonts w:eastAsia="宋体"/>
        </w:rPr>
        <w:fldChar w:fldCharType="end"/>
      </w:r>
      <w:r>
        <w:rPr>
          <w:rFonts w:eastAsia="宋体"/>
        </w:rPr>
        <w:t xml:space="preserve"> </w:t>
      </w:r>
      <w:r>
        <w:rPr>
          <w:rFonts w:hint="eastAsia"/>
        </w:rPr>
        <w:t>(Danvers, MA</w:t>
      </w:r>
      <w:r>
        <w:t>,</w:t>
      </w:r>
      <w:r>
        <w:rPr>
          <w:rFonts w:hint="eastAsia"/>
        </w:rPr>
        <w:t xml:space="preserve"> USA).</w:t>
      </w:r>
      <w:r>
        <w:t xml:space="preserve"> </w:t>
      </w:r>
      <w:r>
        <w:rPr>
          <w:rFonts w:hint="eastAsia"/>
        </w:rPr>
        <w:t>Antibod</w:t>
      </w:r>
      <w:r>
        <w:t>ies</w:t>
      </w:r>
      <w:r>
        <w:rPr>
          <w:rFonts w:hint="eastAsia"/>
        </w:rPr>
        <w:t xml:space="preserve"> for</w:t>
      </w:r>
      <w:r>
        <w:t xml:space="preserve"> </w:t>
      </w:r>
      <w:r>
        <w:rPr>
          <w:rFonts w:hint="eastAsia"/>
        </w:rPr>
        <w:t>GAPDH</w:t>
      </w:r>
      <w:r>
        <w:t xml:space="preserve"> and β-actin</w:t>
      </w:r>
      <w:r>
        <w:rPr>
          <w:rFonts w:hint="eastAsia"/>
        </w:rPr>
        <w:t xml:space="preserve"> were </w:t>
      </w:r>
      <w:r>
        <w:t>obtain</w:t>
      </w:r>
      <w:r>
        <w:rPr>
          <w:rFonts w:hint="eastAsia"/>
        </w:rPr>
        <w:t>ed from</w:t>
      </w:r>
      <w:r>
        <w:t xml:space="preserve"> Santa Cruz Bio-tech (CA, USA). </w:t>
      </w:r>
      <w:r>
        <w:rPr>
          <w:rFonts w:hint="eastAsia"/>
        </w:rPr>
        <w:t>Antibod</w:t>
      </w:r>
      <w:r>
        <w:t>y</w:t>
      </w:r>
      <w:r>
        <w:rPr>
          <w:rFonts w:hint="eastAsia"/>
        </w:rPr>
        <w:t xml:space="preserve"> for</w:t>
      </w:r>
      <w:r>
        <w:t xml:space="preserve"> SSBP1 </w:t>
      </w:r>
      <w:r>
        <w:rPr>
          <w:rFonts w:eastAsia="宋体"/>
        </w:rPr>
        <w:t>(</w:t>
      </w:r>
      <w:r>
        <w:t xml:space="preserve">#12212-1-AP) was </w:t>
      </w:r>
      <w:r>
        <w:rPr>
          <w:rFonts w:hint="eastAsia"/>
        </w:rPr>
        <w:t xml:space="preserve">purchased from </w:t>
      </w:r>
      <w:r>
        <w:rPr>
          <w:rFonts w:hint="eastAsia" w:eastAsia="宋体"/>
        </w:rPr>
        <w:t>Proteintech</w:t>
      </w:r>
      <w:r>
        <w:rPr>
          <w:rFonts w:eastAsia="宋体"/>
        </w:rPr>
        <w:t xml:space="preserve"> (Wuhan, China) .</w:t>
      </w:r>
    </w:p>
    <w:p>
      <w:pPr>
        <w:jc w:val="both"/>
        <w:rPr>
          <w:rFonts w:eastAsia="宋体"/>
          <w:color w:val="000000"/>
          <w:szCs w:val="21"/>
        </w:rPr>
      </w:pPr>
    </w:p>
    <w:p>
      <w:pPr>
        <w:jc w:val="both"/>
        <w:rPr>
          <w:b/>
        </w:rPr>
      </w:pPr>
      <w:r>
        <w:rPr>
          <w:rFonts w:hint="eastAsia"/>
          <w:b/>
        </w:rPr>
        <w:t>Western blot analysis</w:t>
      </w:r>
    </w:p>
    <w:p>
      <w:pPr>
        <w:jc w:val="both"/>
      </w:pPr>
      <w:r>
        <w:rPr>
          <w:rFonts w:hint="eastAsia"/>
        </w:rPr>
        <w:t>Following wash with PBS, the cultured cells were lysed phenylmethylsulfonyl fluoride (PMSF) (1 mM)</w:t>
      </w:r>
      <w:r>
        <w:t xml:space="preserve"> and </w:t>
      </w:r>
      <w:r>
        <w:rPr>
          <w:rFonts w:hint="eastAsia"/>
        </w:rPr>
        <w:t>radioimmunoprecipitation assay (RIPA) buffer</w:t>
      </w:r>
      <w:r>
        <w:t xml:space="preserve"> </w:t>
      </w:r>
      <w:r>
        <w:rPr>
          <w:rFonts w:hint="eastAsia"/>
        </w:rPr>
        <w:t xml:space="preserve">for 15 minutes. To measure the protein concentration, the lysates were centrifuged with 12,000 </w:t>
      </w:r>
      <w:r>
        <w:rPr>
          <w:rFonts w:ascii="Times New Roman Italic" w:hAnsi="Times New Roman Italic" w:cs="Times New Roman Italic"/>
          <w:i/>
          <w:iCs/>
        </w:rPr>
        <w:t>g</w:t>
      </w:r>
      <w:r>
        <w:rPr>
          <w:rFonts w:hint="eastAsia"/>
        </w:rPr>
        <w:t xml:space="preserve"> at 4</w:t>
      </w:r>
      <w:r>
        <w:rPr>
          <w:rFonts w:eastAsia="MS Mincho"/>
        </w:rPr>
        <w:t>°C</w:t>
      </w:r>
      <w:r>
        <w:rPr>
          <w:rFonts w:hint="eastAsia"/>
        </w:rPr>
        <w:t xml:space="preserve"> for 15 minutes. The concentrations were then </w:t>
      </w:r>
      <w:r>
        <w:t>assessed</w:t>
      </w:r>
      <w:r>
        <w:rPr>
          <w:rFonts w:hint="eastAsia"/>
        </w:rPr>
        <w:t xml:space="preserve"> using a BCA assay kit (Beyotime, Haimen, China). A 10% sodium dodecyl sulfate-polyacrylamide gel electrophoresis (SDS-PAGE) method was used to separate equal amounts of protein, which was then transferred onto polyvinylidene difluoride (PVDF) membranes. The membranes are blocked with 10% nonfat milk in Tris-buffered saline Tween-20 (TBST) at room temperature for 2 hours before being incubated with primary antibodies</w:t>
      </w:r>
      <w:r>
        <w:rPr>
          <w:rFonts w:eastAsia="MS Mincho"/>
        </w:rPr>
        <w:t>. They</w:t>
      </w:r>
      <w:r>
        <w:rPr>
          <w:rFonts w:hint="eastAsia" w:eastAsia="MS Mincho"/>
        </w:rPr>
        <w:t xml:space="preserve"> </w:t>
      </w:r>
      <w:r>
        <w:rPr>
          <w:rFonts w:eastAsia="MS Mincho"/>
        </w:rPr>
        <w:t xml:space="preserve">were </w:t>
      </w:r>
      <w:r>
        <w:rPr>
          <w:rFonts w:hint="eastAsia" w:eastAsia="MS Mincho"/>
        </w:rPr>
        <w:t>listed below</w:t>
      </w:r>
      <w:r>
        <w:rPr>
          <w:rFonts w:hint="eastAsia"/>
        </w:rPr>
        <w:t xml:space="preserve">: </w:t>
      </w:r>
      <w:r>
        <w:rPr>
          <w:rFonts w:eastAsia="等线"/>
        </w:rPr>
        <w:t xml:space="preserve">SSBP1, </w:t>
      </w:r>
      <w:r>
        <w:rPr>
          <w:rFonts w:hint="eastAsia" w:eastAsia="宋体"/>
        </w:rPr>
        <w:t>cytochrome</w:t>
      </w:r>
      <w:r>
        <w:rPr>
          <w:rFonts w:eastAsia="宋体"/>
        </w:rPr>
        <w:t xml:space="preserve"> C (</w:t>
      </w:r>
      <w:r>
        <w:t xml:space="preserve">Cyt C), Bax, Bcl-2, PARP, cleaved caspase 3, caspase 9, </w:t>
      </w:r>
      <w:r>
        <w:rPr>
          <w:rFonts w:hint="eastAsia" w:eastAsia="宋体"/>
        </w:rPr>
        <w:t>p</w:t>
      </w:r>
      <w:r>
        <w:rPr>
          <w:rFonts w:eastAsia="宋体"/>
        </w:rPr>
        <w:t>-</w:t>
      </w:r>
      <w:r>
        <w:rPr>
          <w:rFonts w:hint="eastAsia" w:eastAsia="宋体"/>
        </w:rPr>
        <w:t>p</w:t>
      </w:r>
      <w:r>
        <w:rPr>
          <w:rFonts w:eastAsia="宋体"/>
        </w:rPr>
        <w:t xml:space="preserve">38MAPK, </w:t>
      </w:r>
      <w:r>
        <w:rPr>
          <w:rFonts w:hint="eastAsia" w:eastAsia="宋体"/>
        </w:rPr>
        <w:t>p</w:t>
      </w:r>
      <w:r>
        <w:rPr>
          <w:rFonts w:eastAsia="宋体"/>
        </w:rPr>
        <w:t xml:space="preserve">38MAPK, </w:t>
      </w:r>
      <w:r>
        <w:rPr>
          <w:rFonts w:hint="eastAsia" w:eastAsia="宋体"/>
        </w:rPr>
        <w:t>p</w:t>
      </w:r>
      <w:r>
        <w:rPr>
          <w:rFonts w:eastAsia="宋体"/>
        </w:rPr>
        <w:t xml:space="preserve">-ERK, </w:t>
      </w:r>
      <w:r>
        <w:rPr>
          <w:rFonts w:hint="eastAsia" w:eastAsia="宋体"/>
        </w:rPr>
        <w:t>ERK</w:t>
      </w:r>
      <w:r>
        <w:rPr>
          <w:rFonts w:eastAsia="宋体"/>
        </w:rPr>
        <w:t xml:space="preserve">, </w:t>
      </w:r>
      <w:r>
        <w:rPr>
          <w:rFonts w:hint="eastAsia" w:eastAsia="宋体"/>
        </w:rPr>
        <w:t>p-</w:t>
      </w:r>
      <w:r>
        <w:rPr>
          <w:rFonts w:eastAsia="宋体"/>
        </w:rPr>
        <w:t xml:space="preserve">JNK, </w:t>
      </w:r>
      <w:r>
        <w:rPr>
          <w:rFonts w:hint="eastAsia" w:eastAsia="宋体"/>
        </w:rPr>
        <w:t>JNK</w:t>
      </w:r>
      <w:r>
        <w:rPr>
          <w:rFonts w:hint="eastAsia"/>
        </w:rPr>
        <w:t>,</w:t>
      </w:r>
      <w:r>
        <w:t xml:space="preserve"> COX IV</w:t>
      </w:r>
      <w:r>
        <w:rPr>
          <w:rFonts w:hint="eastAsia"/>
        </w:rPr>
        <w:t>,</w:t>
      </w:r>
      <w:r>
        <w:t xml:space="preserve"> β-actin,</w:t>
      </w:r>
      <w:r>
        <w:rPr>
          <w:rFonts w:eastAsia="等线"/>
        </w:rPr>
        <w:t xml:space="preserve"> and </w:t>
      </w:r>
      <w:r>
        <w:rPr>
          <w:rFonts w:hint="eastAsia"/>
        </w:rPr>
        <w:t>GAPDH</w:t>
      </w:r>
      <w:r>
        <w:rPr>
          <w:rFonts w:eastAsia="等线"/>
        </w:rPr>
        <w:t xml:space="preserve">. </w:t>
      </w:r>
      <w:r>
        <w:rPr>
          <w:rFonts w:hint="eastAsia" w:eastAsia="等线"/>
        </w:rPr>
        <w:t>Then, secondary antibodies linked to horseradish peroxidase (HRP) (Beyotime, Haimen, China) were incubated for 2 hours at room temperature</w:t>
      </w:r>
      <w:r>
        <w:rPr>
          <w:rFonts w:eastAsia="等线"/>
        </w:rPr>
        <w:t xml:space="preserve">. </w:t>
      </w:r>
      <w:r>
        <w:rPr>
          <w:rFonts w:hint="eastAsia" w:eastAsia="等线"/>
        </w:rPr>
        <w:t>A western blotting system using ECL (Beyotime, Haimen, China)</w:t>
      </w:r>
      <w:r>
        <w:rPr>
          <w:rFonts w:eastAsia="等线"/>
        </w:rPr>
        <w:t xml:space="preserve"> </w:t>
      </w:r>
      <w:r>
        <w:rPr>
          <w:rFonts w:hint="eastAsia" w:eastAsia="等线"/>
        </w:rPr>
        <w:t>was used to visualize immunoreactive bands</w:t>
      </w:r>
      <w:r>
        <w:rPr>
          <w:rFonts w:eastAsia="等线"/>
        </w:rPr>
        <w:t xml:space="preserve">. Finally, </w:t>
      </w:r>
      <w:r>
        <w:rPr>
          <w:rFonts w:hint="eastAsia"/>
        </w:rPr>
        <w:t>the signals</w:t>
      </w:r>
      <w:r>
        <w:t xml:space="preserve"> were detected by </w:t>
      </w:r>
      <w:r>
        <w:rPr>
          <w:rFonts w:hint="eastAsia"/>
        </w:rPr>
        <w:t xml:space="preserve">Quantity One software (Bio-Rad) .  </w:t>
      </w:r>
    </w:p>
    <w:p>
      <w:pPr>
        <w:jc w:val="both"/>
        <w:rPr>
          <w:rFonts w:eastAsia="宋体"/>
          <w:color w:val="000000"/>
          <w:szCs w:val="21"/>
        </w:rPr>
      </w:pPr>
    </w:p>
    <w:p>
      <w:pPr>
        <w:pStyle w:val="7"/>
        <w:rPr>
          <w:rFonts w:eastAsia="宋体"/>
          <w:color w:val="000000"/>
          <w:szCs w:val="21"/>
        </w:rPr>
      </w:pPr>
      <w:bookmarkStart w:id="0" w:name="OLE_LINK51"/>
      <w:r>
        <w:t>CRISPR/Cas9-mediated inactivation of</w:t>
      </w:r>
      <w:r>
        <w:rPr>
          <w:rFonts w:hint="eastAsia"/>
        </w:rPr>
        <w:t xml:space="preserve"> SSBP1</w:t>
      </w:r>
      <w:bookmarkEnd w:id="0"/>
    </w:p>
    <w:p>
      <w:pPr>
        <w:jc w:val="both"/>
        <w:rPr>
          <w:shd w:val="clear" w:color="000000" w:fill="FFFFFF"/>
        </w:rPr>
      </w:pPr>
      <w:r>
        <w:t>C</w:t>
      </w:r>
      <w:r>
        <w:rPr>
          <w:rFonts w:hint="eastAsia"/>
        </w:rPr>
        <w:t>RISPR/Cas9</w:t>
      </w:r>
      <w:r>
        <w:t>-</w:t>
      </w:r>
      <w:r>
        <w:rPr>
          <w:rFonts w:hint="eastAsia"/>
        </w:rPr>
        <w:t xml:space="preserve">mediated </w:t>
      </w:r>
      <w:r>
        <w:t>SSBP1 inactivation</w:t>
      </w:r>
      <w:r>
        <w:rPr>
          <w:rFonts w:hint="eastAsia"/>
        </w:rPr>
        <w:t xml:space="preserve"> in </w:t>
      </w:r>
      <w:r>
        <w:t>MM</w:t>
      </w:r>
      <w:r>
        <w:rPr>
          <w:rFonts w:hint="eastAsia"/>
        </w:rPr>
        <w:t xml:space="preserve"> cells was carried out </w:t>
      </w:r>
      <w:r>
        <w:t xml:space="preserve">as previously described. Lentiviral vectors harboring Cas9 and sgRNA (Shanghai Genechem co., Ltd.) were constructed for the transfection of the MM cells. </w:t>
      </w:r>
      <w:r>
        <w:rPr>
          <w:rFonts w:hint="eastAsia"/>
        </w:rPr>
        <w:t>Three different short guide RNAs (sgRNAs) against</w:t>
      </w:r>
      <w:r>
        <w:t xml:space="preserve"> SSBP1 were designed as</w:t>
      </w:r>
      <w:r>
        <w:rPr>
          <w:rFonts w:hint="eastAsia"/>
          <w:shd w:val="clear" w:color="000000" w:fill="FFFFFF"/>
        </w:rPr>
        <w:t xml:space="preserve"> </w:t>
      </w:r>
      <w:r>
        <w:t>as follows: sgRNA</w:t>
      </w:r>
      <w:r>
        <w:rPr>
          <w:rFonts w:hint="eastAsia"/>
        </w:rPr>
        <w:t>1</w:t>
      </w:r>
      <w:r>
        <w:t>, CAA</w:t>
      </w:r>
      <w:r>
        <w:rPr>
          <w:rFonts w:hint="eastAsia"/>
        </w:rPr>
        <w:t xml:space="preserve"> </w:t>
      </w:r>
      <w:r>
        <w:t>GTA</w:t>
      </w:r>
      <w:r>
        <w:rPr>
          <w:rFonts w:hint="eastAsia"/>
        </w:rPr>
        <w:t xml:space="preserve"> </w:t>
      </w:r>
      <w:r>
        <w:t>AGT</w:t>
      </w:r>
      <w:r>
        <w:rPr>
          <w:rFonts w:hint="eastAsia"/>
        </w:rPr>
        <w:t xml:space="preserve"> </w:t>
      </w:r>
      <w:r>
        <w:t>GCA</w:t>
      </w:r>
      <w:r>
        <w:rPr>
          <w:rFonts w:hint="eastAsia"/>
        </w:rPr>
        <w:t xml:space="preserve"> </w:t>
      </w:r>
      <w:r>
        <w:t>CAC</w:t>
      </w:r>
      <w:r>
        <w:rPr>
          <w:rFonts w:hint="eastAsia"/>
        </w:rPr>
        <w:t xml:space="preserve"> </w:t>
      </w:r>
      <w:r>
        <w:t>GAT</w:t>
      </w:r>
      <w:r>
        <w:rPr>
          <w:rFonts w:hint="eastAsia"/>
        </w:rPr>
        <w:t xml:space="preserve"> </w:t>
      </w:r>
      <w:r>
        <w:t>TC; sgRNA</w:t>
      </w:r>
      <w:r>
        <w:rPr>
          <w:rFonts w:hint="eastAsia"/>
        </w:rPr>
        <w:t>2</w:t>
      </w:r>
      <w:r>
        <w:t>, GTC</w:t>
      </w:r>
      <w:r>
        <w:rPr>
          <w:rFonts w:hint="eastAsia"/>
        </w:rPr>
        <w:t xml:space="preserve"> </w:t>
      </w:r>
      <w:r>
        <w:t>CGA</w:t>
      </w:r>
      <w:r>
        <w:rPr>
          <w:rFonts w:hint="eastAsia"/>
        </w:rPr>
        <w:t xml:space="preserve"> </w:t>
      </w:r>
      <w:r>
        <w:t>AAC</w:t>
      </w:r>
      <w:r>
        <w:rPr>
          <w:rFonts w:hint="eastAsia"/>
        </w:rPr>
        <w:t xml:space="preserve"> </w:t>
      </w:r>
      <w:r>
        <w:t>AAC</w:t>
      </w:r>
      <w:r>
        <w:rPr>
          <w:rFonts w:hint="eastAsia"/>
        </w:rPr>
        <w:t xml:space="preserve"> </w:t>
      </w:r>
      <w:r>
        <w:t>TAC</w:t>
      </w:r>
      <w:r>
        <w:rPr>
          <w:rFonts w:hint="eastAsia"/>
        </w:rPr>
        <w:t xml:space="preserve"> </w:t>
      </w:r>
      <w:r>
        <w:t>CAG</w:t>
      </w:r>
      <w:r>
        <w:rPr>
          <w:rFonts w:hint="eastAsia"/>
        </w:rPr>
        <w:t xml:space="preserve"> </w:t>
      </w:r>
      <w:r>
        <w:t>TT; sgRNA</w:t>
      </w:r>
      <w:r>
        <w:rPr>
          <w:rFonts w:hint="eastAsia"/>
        </w:rPr>
        <w:t>3</w:t>
      </w:r>
      <w:r>
        <w:t>, CTA</w:t>
      </w:r>
      <w:r>
        <w:rPr>
          <w:rFonts w:hint="eastAsia"/>
        </w:rPr>
        <w:t xml:space="preserve"> </w:t>
      </w:r>
      <w:r>
        <w:t>ATG</w:t>
      </w:r>
      <w:r>
        <w:rPr>
          <w:rFonts w:hint="eastAsia"/>
        </w:rPr>
        <w:t xml:space="preserve"> </w:t>
      </w:r>
      <w:r>
        <w:t>AGA</w:t>
      </w:r>
      <w:r>
        <w:rPr>
          <w:rFonts w:hint="eastAsia"/>
        </w:rPr>
        <w:t xml:space="preserve"> </w:t>
      </w:r>
      <w:r>
        <w:t>TGT</w:t>
      </w:r>
      <w:r>
        <w:rPr>
          <w:rFonts w:hint="eastAsia"/>
        </w:rPr>
        <w:t xml:space="preserve"> </w:t>
      </w:r>
      <w:r>
        <w:t>GGC</w:t>
      </w:r>
      <w:r>
        <w:rPr>
          <w:rFonts w:hint="eastAsia"/>
        </w:rPr>
        <w:t xml:space="preserve"> </w:t>
      </w:r>
      <w:r>
        <w:t>GAT</w:t>
      </w:r>
      <w:r>
        <w:rPr>
          <w:rFonts w:hint="eastAsia"/>
        </w:rPr>
        <w:t xml:space="preserve"> </w:t>
      </w:r>
      <w:r>
        <w:t xml:space="preserve">CA. </w:t>
      </w:r>
      <w:r>
        <w:rPr>
          <w:rFonts w:hint="eastAsia"/>
        </w:rPr>
        <w:t>The sequence</w:t>
      </w:r>
      <w:r>
        <w:t>s</w:t>
      </w:r>
      <w:r>
        <w:rPr>
          <w:rFonts w:hint="eastAsia"/>
        </w:rPr>
        <w:t xml:space="preserve"> of</w:t>
      </w:r>
      <w:r>
        <w:t xml:space="preserve"> control sgRNA were CGC TTC CGC GGC CCG TTC AA</w:t>
      </w:r>
      <w:r>
        <w:rPr>
          <w:shd w:val="clear" w:color="000000" w:fill="FFFFFF"/>
        </w:rPr>
        <w:t xml:space="preserve">. They </w:t>
      </w:r>
      <w:r>
        <w:rPr>
          <w:rFonts w:hint="eastAsia"/>
          <w:shd w:val="clear" w:color="000000" w:fill="FFFFFF"/>
        </w:rPr>
        <w:t xml:space="preserve">were packaged into lentiviruses, which were named </w:t>
      </w:r>
      <w:r>
        <w:rPr>
          <w:rFonts w:hint="eastAsia"/>
        </w:rPr>
        <w:t>SSBP1</w:t>
      </w:r>
      <w:r>
        <w:t>-sgRNA</w:t>
      </w:r>
      <w:r>
        <w:rPr>
          <w:rFonts w:hint="eastAsia"/>
        </w:rPr>
        <w:t>1</w:t>
      </w:r>
      <w:r>
        <w:t xml:space="preserve">, </w:t>
      </w:r>
      <w:r>
        <w:rPr>
          <w:rFonts w:hint="eastAsia"/>
        </w:rPr>
        <w:t>SSBP1</w:t>
      </w:r>
      <w:r>
        <w:t>-sgRNA</w:t>
      </w:r>
      <w:r>
        <w:rPr>
          <w:rFonts w:hint="eastAsia"/>
        </w:rPr>
        <w:t>2</w:t>
      </w:r>
      <w:r>
        <w:t xml:space="preserve">, </w:t>
      </w:r>
      <w:r>
        <w:rPr>
          <w:rFonts w:hint="eastAsia"/>
        </w:rPr>
        <w:t>SSBP1</w:t>
      </w:r>
      <w:r>
        <w:t>-sgRNA</w:t>
      </w:r>
      <w:r>
        <w:rPr>
          <w:rFonts w:hint="eastAsia"/>
        </w:rPr>
        <w:t>3</w:t>
      </w:r>
      <w:r>
        <w:t xml:space="preserve">, and GFP, respectively. </w:t>
      </w:r>
      <w:r>
        <w:rPr>
          <w:shd w:val="clear" w:color="000000" w:fill="FFFFFF"/>
        </w:rPr>
        <w:t xml:space="preserve">According to the manufacturer's protocol, lentiviruses were transfected into RPMI8226 (multiplication of infection, MOI=50) or MM.1S (MOI=100) cells for further experiments. 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t>RESULTS</w:t>
      </w:r>
    </w:p>
    <w:p>
      <w:pPr>
        <w:jc w:val="both"/>
        <w:rPr>
          <w:b/>
        </w:rPr>
      </w:pPr>
      <w:r>
        <w:rPr>
          <w:b/>
        </w:rPr>
        <w:t>D</w:t>
      </w:r>
      <w:r>
        <w:rPr>
          <w:rFonts w:hint="eastAsia"/>
          <w:b/>
        </w:rPr>
        <w:t xml:space="preserve">ata pre-processing </w:t>
      </w:r>
    </w:p>
    <w:p>
      <w:pPr>
        <w:jc w:val="both"/>
      </w:pPr>
      <w:r>
        <w:t>To generate gene co-expression networks,</w:t>
      </w:r>
      <w:r>
        <w:rPr>
          <w:rFonts w:hint="eastAsia"/>
        </w:rPr>
        <w:t xml:space="preserve"> r</w:t>
      </w:r>
      <w:r>
        <w:t xml:space="preserve">aw data from </w:t>
      </w:r>
      <w:r>
        <w:rPr>
          <w:rFonts w:hint="eastAsia"/>
        </w:rPr>
        <w:t xml:space="preserve">GSE6477 </w:t>
      </w:r>
      <w:r>
        <w:t>microarray dataset were</w:t>
      </w:r>
      <w:r>
        <w:rPr>
          <w:rFonts w:hint="eastAsia"/>
        </w:rPr>
        <w:t xml:space="preserve"> </w:t>
      </w:r>
      <w:r>
        <w:t>pre-processed identically</w:t>
      </w:r>
      <w:r>
        <w:rPr>
          <w:rFonts w:hint="eastAsia"/>
        </w:rPr>
        <w:t xml:space="preserve"> </w:t>
      </w:r>
      <w:r>
        <w:t>for</w:t>
      </w:r>
      <w:r>
        <w:rPr>
          <w:rFonts w:hint="eastAsia"/>
        </w:rPr>
        <w:t xml:space="preserve"> </w:t>
      </w:r>
      <w:r>
        <w:t>background</w:t>
      </w:r>
      <w:r>
        <w:rPr>
          <w:rFonts w:hint="eastAsia"/>
        </w:rPr>
        <w:t xml:space="preserve"> </w:t>
      </w:r>
      <w:r>
        <w:t>correction</w:t>
      </w:r>
      <w:r>
        <w:rPr>
          <w:rFonts w:hint="eastAsia"/>
        </w:rPr>
        <w:t xml:space="preserve"> </w:t>
      </w:r>
      <w:r>
        <w:t>and</w:t>
      </w:r>
      <w:r>
        <w:rPr>
          <w:rFonts w:hint="eastAsia"/>
        </w:rPr>
        <w:t xml:space="preserve"> </w:t>
      </w:r>
      <w:r>
        <w:t>normalization.</w:t>
      </w:r>
      <w:r>
        <w:rPr>
          <w:rFonts w:hint="eastAsia"/>
        </w:rPr>
        <w:t xml:space="preserve"> </w:t>
      </w:r>
      <w:r>
        <w:t>Firstly,</w:t>
      </w:r>
      <w:r>
        <w:rPr>
          <w:rFonts w:hint="eastAsia"/>
        </w:rPr>
        <w:t xml:space="preserve"> t</w:t>
      </w:r>
      <w:r>
        <w:t>he probes matching several or without genes were removed out from the data set, and secondly the average expression value of multiple probes match</w:t>
      </w:r>
      <w:r>
        <w:rPr>
          <w:rFonts w:hint="eastAsia"/>
        </w:rPr>
        <w:t>ing</w:t>
      </w:r>
      <w:r>
        <w:t xml:space="preserve"> a single gene was calculated. Finally, we identify</w:t>
      </w:r>
      <w:r>
        <w:rPr>
          <w:rFonts w:hint="eastAsia"/>
        </w:rPr>
        <w:t xml:space="preserve"> </w:t>
      </w:r>
      <w:r>
        <w:t>in total 1</w:t>
      </w:r>
      <w:r>
        <w:rPr>
          <w:rFonts w:hint="eastAsia"/>
        </w:rPr>
        <w:t>2546</w:t>
      </w:r>
      <w:r>
        <w:t xml:space="preserve"> genes that were expressed. Since the WGCNA was</w:t>
      </w:r>
      <w:r>
        <w:rPr>
          <w:rFonts w:hint="eastAsia"/>
        </w:rPr>
        <w:t xml:space="preserve"> </w:t>
      </w:r>
      <w:r>
        <w:t>restricted</w:t>
      </w:r>
      <w:r>
        <w:rPr>
          <w:rFonts w:hint="eastAsia"/>
        </w:rPr>
        <w:t xml:space="preserve"> </w:t>
      </w:r>
      <w:r>
        <w:t>to</w:t>
      </w:r>
      <w:r>
        <w:rPr>
          <w:rFonts w:hint="eastAsia"/>
        </w:rPr>
        <w:t xml:space="preserve"> </w:t>
      </w:r>
      <w:r>
        <w:t>3600</w:t>
      </w:r>
      <w:r>
        <w:rPr>
          <w:rFonts w:hint="eastAsia"/>
        </w:rPr>
        <w:t xml:space="preserve"> </w:t>
      </w:r>
      <w:r>
        <w:t>genes,</w:t>
      </w:r>
      <w:r>
        <w:rPr>
          <w:rFonts w:hint="eastAsia"/>
        </w:rPr>
        <w:t xml:space="preserve"> </w:t>
      </w:r>
      <w:r>
        <w:t>we</w:t>
      </w:r>
      <w:r>
        <w:rPr>
          <w:rFonts w:hint="eastAsia"/>
        </w:rPr>
        <w:t xml:space="preserve"> </w:t>
      </w:r>
      <w:r>
        <w:t>chose</w:t>
      </w:r>
      <w:r>
        <w:rPr>
          <w:rFonts w:hint="eastAsia"/>
        </w:rPr>
        <w:t xml:space="preserve"> </w:t>
      </w:r>
      <w:r>
        <w:t>the</w:t>
      </w:r>
      <w:r>
        <w:rPr>
          <w:rFonts w:hint="eastAsia"/>
        </w:rPr>
        <w:t xml:space="preserve"> </w:t>
      </w:r>
      <w:r>
        <w:t>genes</w:t>
      </w:r>
      <w:r>
        <w:rPr>
          <w:rFonts w:hint="eastAsia"/>
        </w:rPr>
        <w:t xml:space="preserve"> </w:t>
      </w:r>
      <w:r>
        <w:t>of</w:t>
      </w:r>
      <w:r>
        <w:rPr>
          <w:rFonts w:hint="eastAsia"/>
        </w:rPr>
        <w:t xml:space="preserve"> </w:t>
      </w:r>
      <w:r>
        <w:t>which</w:t>
      </w:r>
      <w:r>
        <w:rPr>
          <w:rFonts w:hint="eastAsia"/>
        </w:rPr>
        <w:t xml:space="preserve"> </w:t>
      </w:r>
      <w:r>
        <w:t>expression values have the larger variance.</w:t>
      </w:r>
      <w:r>
        <w:rPr>
          <w:rFonts w:hint="eastAsia"/>
        </w:rPr>
        <w:t xml:space="preserve"> </w:t>
      </w:r>
      <w:r>
        <w:t xml:space="preserve">The </w:t>
      </w:r>
      <w:r>
        <w:rPr>
          <w:rFonts w:hint="eastAsia"/>
        </w:rPr>
        <w:t>3600</w:t>
      </w:r>
      <w:r>
        <w:t xml:space="preserve"> genes </w:t>
      </w:r>
      <w:r>
        <w:rPr>
          <w:rFonts w:hint="eastAsia"/>
        </w:rPr>
        <w:t>(28.69</w:t>
      </w:r>
      <w:r>
        <w:t>% of the total gene amount</w:t>
      </w:r>
      <w:r>
        <w:rPr>
          <w:rFonts w:hint="eastAsia"/>
        </w:rPr>
        <w:t xml:space="preserve">) were </w:t>
      </w:r>
      <w:r>
        <w:t xml:space="preserve">investigated as input for hierarchical clustering analysis, which was performed with the function </w:t>
      </w:r>
      <w:r>
        <w:rPr>
          <w:i/>
        </w:rPr>
        <w:t>hclust</w:t>
      </w:r>
      <w:r>
        <w:t xml:space="preserve">. </w:t>
      </w:r>
      <w:r>
        <w:rPr>
          <w:rFonts w:hint="eastAsia"/>
        </w:rPr>
        <w:t xml:space="preserve">After removed one sample (GSM148937) </w:t>
      </w:r>
      <w:r>
        <w:t>identified as an outlier</w:t>
      </w:r>
      <w:r>
        <w:rPr>
          <w:rFonts w:hint="eastAsia"/>
        </w:rPr>
        <w:t xml:space="preserve"> with </w:t>
      </w:r>
      <w:r>
        <w:t xml:space="preserve">cutoff </w:t>
      </w:r>
      <w:r>
        <w:rPr>
          <w:rFonts w:hint="eastAsia"/>
        </w:rPr>
        <w:t>height 65, the remaining 161 samples</w:t>
      </w:r>
      <w:r>
        <w:t xml:space="preserve"> were further subsequent analysis</w:t>
      </w:r>
      <w:r>
        <w:rPr>
          <w:rFonts w:hint="eastAsia"/>
        </w:rPr>
        <w:t xml:space="preserve"> (Fig. </w:t>
      </w:r>
      <w:r>
        <w:rPr>
          <w:rFonts w:hint="eastAsia"/>
          <w:lang w:eastAsia="zh-Hans"/>
        </w:rPr>
        <w:t>S</w:t>
      </w:r>
      <w:r>
        <w:rPr>
          <w:rFonts w:hint="eastAsia"/>
        </w:rPr>
        <w:t>1a)</w:t>
      </w:r>
      <w:r>
        <w:t>.</w:t>
      </w:r>
    </w:p>
    <w:p>
      <w:pPr>
        <w:ind w:firstLine="240" w:firstLineChars="100"/>
      </w:pPr>
      <w:r>
        <w:t xml:space="preserve">Prior to WGCNA conducted to further study the </w:t>
      </w:r>
      <w:r>
        <w:rPr>
          <w:rFonts w:hint="eastAsia"/>
        </w:rPr>
        <w:t>3600</w:t>
      </w:r>
      <w:r>
        <w:t xml:space="preserve"> genes obtained from the </w:t>
      </w:r>
      <w:r>
        <w:rPr>
          <w:rFonts w:hint="eastAsia"/>
        </w:rPr>
        <w:t>161</w:t>
      </w:r>
      <w:r>
        <w:t xml:space="preserve"> samples discussed above, we performed the analysis of network topology for various softthresholding powers in order to have relative balanced scale</w:t>
      </w:r>
      <w:r>
        <w:rPr>
          <w:rFonts w:hint="eastAsia"/>
        </w:rPr>
        <w:t xml:space="preserve"> </w:t>
      </w:r>
      <w:r>
        <w:t>independence and mean connectivity of the WGCNA. As shown in Figure S</w:t>
      </w:r>
      <w:r>
        <w:rPr>
          <w:rFonts w:hint="eastAsia"/>
        </w:rPr>
        <w:t>1B-C</w:t>
      </w:r>
      <w:r>
        <w:t xml:space="preserve">, power </w:t>
      </w:r>
      <w:r>
        <w:rPr>
          <w:rFonts w:hint="eastAsia"/>
        </w:rPr>
        <w:t>7</w:t>
      </w:r>
      <w:r>
        <w:t>, the lowest power for which the scale-free topology ﬁt index reaches 0.</w:t>
      </w:r>
      <w:r>
        <w:rPr>
          <w:rFonts w:hint="eastAsia"/>
        </w:rPr>
        <w:t>85</w:t>
      </w:r>
      <w:r>
        <w:t>, was chosen to produce a hierarchical clustering tree (dendrogram)</w:t>
      </w:r>
      <w:r>
        <w:rPr>
          <w:rFonts w:hint="eastAsia"/>
        </w:rPr>
        <w:t>.</w:t>
      </w:r>
    </w:p>
    <w:p>
      <w:pPr>
        <w:jc w:val="both"/>
      </w:pPr>
      <w:r>
        <w:rPr>
          <w:rFonts w:hint="eastAsia"/>
        </w:rPr>
        <w:drawing>
          <wp:inline distT="0" distB="0" distL="114300" distR="114300">
            <wp:extent cx="4655185" cy="4699000"/>
            <wp:effectExtent l="0" t="0" r="2540" b="635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5185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/>
    <w:p/>
    <w:p>
      <w:pPr>
        <w:jc w:val="both"/>
      </w:pPr>
      <w:r>
        <w:t>Fig</w:t>
      </w:r>
      <w:r>
        <w:rPr>
          <w:rFonts w:hint="eastAsia"/>
        </w:rPr>
        <w:t>.</w:t>
      </w:r>
      <w:r>
        <w:t xml:space="preserve"> S1 Clustering dendrogram of </w:t>
      </w:r>
      <w:r>
        <w:rPr>
          <w:rFonts w:hint="eastAsia"/>
        </w:rPr>
        <w:t xml:space="preserve">161 </w:t>
      </w:r>
      <w:r>
        <w:t xml:space="preserve">samples and the clinical traits. </w:t>
      </w:r>
      <w:r>
        <w:rPr>
          <w:rFonts w:hint="eastAsia"/>
          <w:b/>
          <w:bCs/>
        </w:rPr>
        <w:t xml:space="preserve">a </w:t>
      </w:r>
      <w:r>
        <w:t xml:space="preserve">The clustering was based on the expression data of differentially expressed genes among samples from </w:t>
      </w:r>
      <w:bookmarkStart w:id="1" w:name="OLE_LINK8"/>
      <w:r>
        <w:rPr>
          <w:rFonts w:hint="eastAsia"/>
        </w:rPr>
        <w:t>Normal donor</w:t>
      </w:r>
      <w:r>
        <w:t>s</w:t>
      </w:r>
      <w:r>
        <w:rPr>
          <w:rFonts w:hint="eastAsia"/>
        </w:rPr>
        <w:t xml:space="preserve"> and patients with with plasma cell disease</w:t>
      </w:r>
      <w:r>
        <w:t xml:space="preserve"> at </w:t>
      </w:r>
      <w:r>
        <w:rPr>
          <w:rFonts w:hint="eastAsia"/>
        </w:rPr>
        <w:t>different stage</w:t>
      </w:r>
      <w:r>
        <w:t xml:space="preserve">s </w:t>
      </w:r>
      <w:r>
        <w:rPr>
          <w:rFonts w:hint="eastAsia"/>
        </w:rPr>
        <w:t>(MGUS, Smoldering MM, N</w:t>
      </w:r>
      <w:r>
        <w:rPr>
          <w:rFonts w:hint="eastAsia"/>
          <w:lang w:eastAsia="zh-Hans"/>
        </w:rPr>
        <w:t>D</w:t>
      </w:r>
      <w:r>
        <w:rPr>
          <w:rFonts w:hint="eastAsia"/>
        </w:rPr>
        <w:t>MM</w:t>
      </w:r>
      <w:r>
        <w:t xml:space="preserve"> </w:t>
      </w:r>
      <w:r>
        <w:rPr>
          <w:rFonts w:hint="eastAsia"/>
        </w:rPr>
        <w:t>and Relapsed MM)</w:t>
      </w:r>
      <w:r>
        <w:t>.</w:t>
      </w:r>
      <w:bookmarkEnd w:id="1"/>
      <w:r>
        <w:t xml:space="preserve"> </w:t>
      </w:r>
      <w:r>
        <w:rPr>
          <w:rFonts w:hint="eastAsia"/>
          <w:b/>
          <w:bCs/>
        </w:rPr>
        <w:t xml:space="preserve">b </w:t>
      </w:r>
      <w:r>
        <w:t xml:space="preserve">Analysis of the scale-free ﬁt index for various soft-thresholding powers (β). </w:t>
      </w:r>
      <w:r>
        <w:rPr>
          <w:rFonts w:hint="eastAsia"/>
          <w:b/>
          <w:bCs/>
        </w:rPr>
        <w:t>c</w:t>
      </w:r>
      <w:r>
        <w:rPr>
          <w:rFonts w:hint="eastAsia"/>
        </w:rPr>
        <w:t xml:space="preserve"> </w:t>
      </w:r>
      <w:r>
        <w:t>Analysis of the mean connectivity for various soft-thresholding powers.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hint="eastAsia"/>
        </w:rPr>
        <w:drawing>
          <wp:inline distT="0" distB="0" distL="114300" distR="114300">
            <wp:extent cx="4471035" cy="5416550"/>
            <wp:effectExtent l="0" t="0" r="5715" b="317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541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Fig</w:t>
      </w:r>
      <w:r>
        <w:rPr>
          <w:rFonts w:hint="eastAsia" w:ascii="Times New Roman Regular" w:hAnsi="Times New Roman Regular" w:cs="Times New Roman Regular"/>
        </w:rPr>
        <w:t>.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cs="Times New Roman Regular"/>
        </w:rPr>
        <w:t>S</w:t>
      </w:r>
      <w:r>
        <w:rPr>
          <w:rFonts w:ascii="Times New Roman Regular" w:hAnsi="Times New Roman Regular" w:cs="Times New Roman Regular"/>
        </w:rPr>
        <w:t xml:space="preserve">2 Turquoise module genes enrichment analysis and network. </w:t>
      </w:r>
      <w:r>
        <w:rPr>
          <w:rFonts w:hint="eastAsia" w:ascii="Times New Roman Regular" w:hAnsi="Times New Roman Regular" w:cs="Times New Roman Regular"/>
          <w:b/>
          <w:bCs/>
        </w:rPr>
        <w:t>a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eastAsia="宋体" w:cs="Times New Roman Regular"/>
        </w:rPr>
        <w:t>A</w:t>
      </w:r>
      <w:r>
        <w:rPr>
          <w:rFonts w:ascii="Times New Roman Regular" w:hAnsi="Times New Roman Regular" w:cs="Times New Roman Regular"/>
        </w:rPr>
        <w:t>nalysis of</w:t>
      </w:r>
      <w:r>
        <w:rPr>
          <w:rFonts w:hint="eastAsia" w:ascii="Times New Roman Regular" w:hAnsi="Times New Roman Regular" w:eastAsia="宋体" w:cs="Times New Roman Regular"/>
        </w:rPr>
        <w:t xml:space="preserve"> </w:t>
      </w:r>
      <w:r>
        <w:rPr>
          <w:rFonts w:ascii="Times New Roman Regular" w:hAnsi="Times New Roman Regular" w:cs="Times New Roman Regular"/>
        </w:rPr>
        <w:t xml:space="preserve">Gene ontology enrichment </w:t>
      </w:r>
      <w:r>
        <w:rPr>
          <w:rFonts w:hint="eastAsia" w:ascii="Times New Roman Regular" w:hAnsi="Times New Roman Regular" w:eastAsia="宋体" w:cs="Times New Roman Regular"/>
        </w:rPr>
        <w:t xml:space="preserve">in </w:t>
      </w:r>
      <w:r>
        <w:rPr>
          <w:rFonts w:ascii="Times New Roman Regular" w:hAnsi="Times New Roman Regular" w:cs="Times New Roman Regular"/>
        </w:rPr>
        <w:t xml:space="preserve">turquoise module genes. </w:t>
      </w:r>
      <w:r>
        <w:rPr>
          <w:rFonts w:hint="eastAsia" w:ascii="Times New Roman Regular" w:hAnsi="Times New Roman Regular" w:cs="Times New Roman Regular"/>
          <w:b/>
          <w:bCs/>
        </w:rPr>
        <w:t>b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eastAsia="宋体" w:cs="Times New Roman Regular"/>
        </w:rPr>
        <w:t>A</w:t>
      </w:r>
      <w:r>
        <w:rPr>
          <w:rFonts w:ascii="Times New Roman Regular" w:hAnsi="Times New Roman Regular" w:cs="Times New Roman Regular"/>
        </w:rPr>
        <w:t xml:space="preserve">nalysis of KEGG pathway enrichment </w:t>
      </w:r>
      <w:r>
        <w:rPr>
          <w:rFonts w:hint="eastAsia" w:ascii="Times New Roman Regular" w:hAnsi="Times New Roman Regular" w:eastAsia="宋体" w:cs="Times New Roman Regular"/>
        </w:rPr>
        <w:t xml:space="preserve">in </w:t>
      </w:r>
      <w:r>
        <w:rPr>
          <w:rFonts w:ascii="Times New Roman Regular" w:hAnsi="Times New Roman Regular" w:cs="Times New Roman Regular"/>
        </w:rPr>
        <w:t xml:space="preserve">turquoise module genes. </w:t>
      </w:r>
      <w:r>
        <w:rPr>
          <w:rFonts w:hint="eastAsia" w:ascii="Times New Roman Regular" w:hAnsi="Times New Roman Regular" w:cs="Times New Roman Regular"/>
          <w:b/>
          <w:bCs/>
        </w:rPr>
        <w:t>c</w:t>
      </w:r>
      <w:r>
        <w:rPr>
          <w:rFonts w:hint="eastAsia" w:ascii="Times New Roman Regular" w:hAnsi="Times New Roman Regular" w:cs="Times New Roman Regular"/>
        </w:rPr>
        <w:t xml:space="preserve"> </w:t>
      </w:r>
      <w:r>
        <w:rPr>
          <w:rFonts w:ascii="Times New Roman Regular" w:hAnsi="Times New Roman Regular" w:cs="Times New Roman Regular"/>
        </w:rPr>
        <w:t xml:space="preserve">The subnetwork is illustrated with Gephi software. Top hub genes of the turquoise module are </w:t>
      </w:r>
      <w:r>
        <w:rPr>
          <w:rFonts w:hint="eastAsia" w:ascii="Times New Roman Regular" w:hAnsi="Times New Roman Regular" w:cs="Times New Roman Regular"/>
          <w:lang w:eastAsia="zh-Hans"/>
        </w:rPr>
        <w:t>dis</w:t>
      </w:r>
      <w:r>
        <w:rPr>
          <w:rFonts w:ascii="Times New Roman Regular" w:hAnsi="Times New Roman Regular" w:cs="Times New Roman Regular"/>
          <w:lang w:eastAsia="zh-Hans"/>
        </w:rPr>
        <w:t>played as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cs="Times New Roman Regular"/>
        </w:rPr>
        <w:t xml:space="preserve">the color of </w:t>
      </w:r>
      <w:r>
        <w:rPr>
          <w:rFonts w:ascii="Times New Roman Regular" w:hAnsi="Times New Roman Regular" w:cs="Times New Roman Regular"/>
        </w:rPr>
        <w:t xml:space="preserve">turquoise. </w:t>
      </w:r>
      <w:r>
        <w:rPr>
          <w:rFonts w:hint="eastAsia" w:ascii="Times New Roman Regular" w:hAnsi="Times New Roman Regular" w:cs="Times New Roman Regular"/>
        </w:rPr>
        <w:t xml:space="preserve">Circle diameter and color depth </w:t>
      </w:r>
      <w:r>
        <w:rPr>
          <w:rFonts w:ascii="Times New Roman Regular" w:hAnsi="Times New Roman Regular" w:cs="Times New Roman Regular"/>
        </w:rPr>
        <w:t>are</w:t>
      </w:r>
      <w:r>
        <w:rPr>
          <w:rFonts w:hint="eastAsia" w:ascii="Times New Roman Regular" w:hAnsi="Times New Roman Regular" w:cs="Times New Roman Regular"/>
        </w:rPr>
        <w:t xml:space="preserve"> used to measure gene importance in descending order</w:t>
      </w:r>
      <w:r>
        <w:rPr>
          <w:rFonts w:ascii="Times New Roman Regular" w:hAnsi="Times New Roman Regular" w:cs="Times New Roman Regular"/>
        </w:rPr>
        <w:t>. T</w:t>
      </w:r>
      <w:r>
        <w:rPr>
          <w:rFonts w:hint="eastAsia" w:ascii="Times New Roman Regular" w:hAnsi="Times New Roman Regular" w:cs="Times New Roman Regular"/>
        </w:rPr>
        <w:t>he top 6 hub genes identified by CytoHubba in Cytoscape</w:t>
      </w:r>
      <w:r>
        <w:rPr>
          <w:rFonts w:ascii="Times New Roman Regular" w:hAnsi="Times New Roman Regular" w:cs="Times New Roman Regular"/>
        </w:rPr>
        <w:t xml:space="preserve"> are shown in red</w:t>
      </w:r>
      <w:r>
        <w:rPr>
          <w:rFonts w:hint="eastAsia" w:ascii="Times New Roman Regular" w:hAnsi="Times New Roman Regular" w:cs="Times New Roman Regular"/>
        </w:rPr>
        <w:t>.</w:t>
      </w:r>
    </w:p>
    <w:p>
      <w:pPr>
        <w:jc w:val="both"/>
      </w:pP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drawing>
          <wp:inline distT="0" distB="0" distL="114300" distR="114300">
            <wp:extent cx="4596130" cy="4987290"/>
            <wp:effectExtent l="0" t="0" r="4445" b="381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6130" cy="498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Fig</w:t>
      </w:r>
      <w:r>
        <w:rPr>
          <w:rFonts w:hint="eastAsia" w:ascii="Times New Roman Regular" w:hAnsi="Times New Roman Regular" w:cs="Times New Roman Regular"/>
        </w:rPr>
        <w:t>.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cs="Times New Roman Regular"/>
        </w:rPr>
        <w:t>S</w:t>
      </w:r>
      <w:r>
        <w:rPr>
          <w:rFonts w:ascii="Times New Roman Regular" w:hAnsi="Times New Roman Regular" w:cs="Times New Roman Regular"/>
        </w:rPr>
        <w:t xml:space="preserve">3 Green module genes enrichment analysis and network. </w:t>
      </w:r>
      <w:r>
        <w:rPr>
          <w:rFonts w:hint="eastAsia" w:ascii="Times New Roman Regular" w:hAnsi="Times New Roman Regular" w:cs="Times New Roman Regular"/>
          <w:b/>
          <w:bCs/>
        </w:rPr>
        <w:t>a</w:t>
      </w:r>
      <w:r>
        <w:rPr>
          <w:rFonts w:ascii="Times New Roman Regular" w:hAnsi="Times New Roman Regular" w:cs="Times New Roman Regular"/>
          <w:b/>
          <w:bCs/>
        </w:rPr>
        <w:t xml:space="preserve"> </w:t>
      </w:r>
      <w:r>
        <w:rPr>
          <w:rFonts w:hint="eastAsia" w:ascii="Times New Roman Regular" w:hAnsi="Times New Roman Regular" w:eastAsia="宋体" w:cs="Times New Roman Regular"/>
        </w:rPr>
        <w:t>A</w:t>
      </w:r>
      <w:r>
        <w:rPr>
          <w:rFonts w:ascii="Times New Roman Regular" w:hAnsi="Times New Roman Regular" w:cs="Times New Roman Regular"/>
        </w:rPr>
        <w:t>nalysis of</w:t>
      </w:r>
      <w:r>
        <w:rPr>
          <w:rFonts w:hint="eastAsia" w:ascii="Times New Roman Regular" w:hAnsi="Times New Roman Regular" w:eastAsia="宋体" w:cs="Times New Roman Regular"/>
        </w:rPr>
        <w:t xml:space="preserve"> </w:t>
      </w:r>
      <w:r>
        <w:rPr>
          <w:rFonts w:ascii="Times New Roman Regular" w:hAnsi="Times New Roman Regular" w:cs="Times New Roman Regular"/>
        </w:rPr>
        <w:t xml:space="preserve">Gene ontology enrichment </w:t>
      </w:r>
      <w:r>
        <w:rPr>
          <w:rFonts w:hint="eastAsia" w:ascii="Times New Roman Regular" w:hAnsi="Times New Roman Regular" w:eastAsia="宋体" w:cs="Times New Roman Regular"/>
        </w:rPr>
        <w:t xml:space="preserve">in </w:t>
      </w:r>
      <w:r>
        <w:rPr>
          <w:rFonts w:ascii="Times New Roman Regular" w:hAnsi="Times New Roman Regular" w:cs="Times New Roman Regular"/>
        </w:rPr>
        <w:t xml:space="preserve">turquoise module genes. </w:t>
      </w:r>
      <w:r>
        <w:rPr>
          <w:rFonts w:hint="eastAsia" w:ascii="Times New Roman Regular" w:hAnsi="Times New Roman Regular" w:cs="Times New Roman Regular"/>
          <w:b/>
          <w:bCs/>
        </w:rPr>
        <w:t>b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eastAsia="宋体" w:cs="Times New Roman Regular"/>
        </w:rPr>
        <w:t>A</w:t>
      </w:r>
      <w:r>
        <w:rPr>
          <w:rFonts w:ascii="Times New Roman Regular" w:hAnsi="Times New Roman Regular" w:cs="Times New Roman Regular"/>
        </w:rPr>
        <w:t xml:space="preserve">nalysis of KEGG pathway enrichment </w:t>
      </w:r>
      <w:r>
        <w:rPr>
          <w:rFonts w:hint="eastAsia" w:ascii="Times New Roman Regular" w:hAnsi="Times New Roman Regular" w:eastAsia="宋体" w:cs="Times New Roman Regular"/>
        </w:rPr>
        <w:t xml:space="preserve">in </w:t>
      </w:r>
      <w:r>
        <w:rPr>
          <w:rFonts w:ascii="Times New Roman Regular" w:hAnsi="Times New Roman Regular" w:cs="Times New Roman Regular"/>
        </w:rPr>
        <w:t xml:space="preserve">turquoise module genes. </w:t>
      </w:r>
      <w:r>
        <w:rPr>
          <w:rFonts w:hint="eastAsia" w:ascii="Times New Roman Regular" w:hAnsi="Times New Roman Regular" w:cs="Times New Roman Regular"/>
          <w:b/>
          <w:bCs/>
        </w:rPr>
        <w:t>c</w:t>
      </w:r>
      <w:r>
        <w:rPr>
          <w:rFonts w:ascii="Times New Roman Regular" w:hAnsi="Times New Roman Regular" w:cs="Times New Roman Regular"/>
          <w:b/>
          <w:bCs/>
        </w:rPr>
        <w:t xml:space="preserve"> </w:t>
      </w:r>
      <w:r>
        <w:rPr>
          <w:rFonts w:ascii="Times New Roman Regular" w:hAnsi="Times New Roman Regular" w:cs="Times New Roman Regular"/>
        </w:rPr>
        <w:t xml:space="preserve">The subnetwork is illustrated with Gephi software. Top hub genes of the green module are </w:t>
      </w:r>
      <w:r>
        <w:rPr>
          <w:rFonts w:hint="eastAsia" w:ascii="Times New Roman Regular" w:hAnsi="Times New Roman Regular" w:cs="Times New Roman Regular"/>
          <w:lang w:eastAsia="zh-Hans"/>
        </w:rPr>
        <w:t>dis</w:t>
      </w:r>
      <w:r>
        <w:rPr>
          <w:rFonts w:ascii="Times New Roman Regular" w:hAnsi="Times New Roman Regular" w:cs="Times New Roman Regular"/>
          <w:lang w:eastAsia="zh-Hans"/>
        </w:rPr>
        <w:t>played as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eastAsia" w:ascii="Times New Roman Regular" w:hAnsi="Times New Roman Regular" w:cs="Times New Roman Regular"/>
        </w:rPr>
        <w:t>the color</w:t>
      </w:r>
      <w:r>
        <w:rPr>
          <w:rFonts w:ascii="Times New Roman Regular" w:hAnsi="Times New Roman Regular" w:cs="Times New Roman Regular"/>
        </w:rPr>
        <w:t xml:space="preserve">. </w:t>
      </w:r>
      <w:r>
        <w:rPr>
          <w:rFonts w:hint="eastAsia" w:ascii="Times New Roman Regular" w:hAnsi="Times New Roman Regular" w:cs="Times New Roman Regular"/>
        </w:rPr>
        <w:t xml:space="preserve">Circle diameter and color depth </w:t>
      </w:r>
      <w:r>
        <w:rPr>
          <w:rFonts w:ascii="Times New Roman Regular" w:hAnsi="Times New Roman Regular" w:cs="Times New Roman Regular"/>
        </w:rPr>
        <w:t>are</w:t>
      </w:r>
      <w:r>
        <w:rPr>
          <w:rFonts w:hint="eastAsia" w:ascii="Times New Roman Regular" w:hAnsi="Times New Roman Regular" w:cs="Times New Roman Regular"/>
        </w:rPr>
        <w:t xml:space="preserve"> used to measure gene importance in descending order</w:t>
      </w:r>
      <w:r>
        <w:rPr>
          <w:rFonts w:ascii="Times New Roman Regular" w:hAnsi="Times New Roman Regular" w:cs="Times New Roman Regular"/>
        </w:rPr>
        <w:t>. T</w:t>
      </w:r>
      <w:r>
        <w:rPr>
          <w:rFonts w:hint="eastAsia" w:ascii="Times New Roman Regular" w:hAnsi="Times New Roman Regular" w:cs="Times New Roman Regular"/>
        </w:rPr>
        <w:t>he top 6 hub genes identified by CytoHubba in Cytoscape</w:t>
      </w:r>
      <w:r>
        <w:rPr>
          <w:rFonts w:ascii="Times New Roman Regular" w:hAnsi="Times New Roman Regular" w:cs="Times New Roman Regular"/>
        </w:rPr>
        <w:t xml:space="preserve"> are shown in red</w:t>
      </w:r>
      <w:r>
        <w:rPr>
          <w:rFonts w:hint="eastAsia" w:ascii="Times New Roman Regular" w:hAnsi="Times New Roman Regular" w:cs="Times New Roman Regular"/>
        </w:rPr>
        <w:t>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hint="eastAsia"/>
        </w:rPr>
        <w:drawing>
          <wp:inline distT="0" distB="0" distL="114300" distR="114300">
            <wp:extent cx="3969385" cy="6652895"/>
            <wp:effectExtent l="0" t="0" r="2540" b="5080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9385" cy="665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Times New Roman Bold" w:hAnsi="Times New Roman Bold" w:cs="Times New Roman Bold"/>
        </w:rPr>
        <w:t xml:space="preserve">Fig. </w:t>
      </w:r>
      <w:r>
        <w:rPr>
          <w:rFonts w:hint="eastAsia" w:ascii="Times New Roman Bold" w:hAnsi="Times New Roman Bold" w:cs="Times New Roman Bold"/>
        </w:rPr>
        <w:t>S4</w:t>
      </w:r>
      <w:r>
        <w:rPr>
          <w:rFonts w:ascii="Times New Roman Regular" w:hAnsi="Times New Roman Regular" w:cs="Times New Roman Regular"/>
        </w:rPr>
        <w:t xml:space="preserve"> Overall survival (OS) and Event free survival (EFS) analysis of 4 hub genes (SSBP1, SNRPE, NPM1 and HMOX1) in multiple myeloma using the independent dataset</w:t>
      </w:r>
      <w:r>
        <w:rPr>
          <w:rFonts w:hint="eastAsia" w:ascii="Times New Roman Regular" w:hAnsi="Times New Roman Regular" w:cs="Times New Roman Regular"/>
        </w:rPr>
        <w:t xml:space="preserve"> GSE24080</w:t>
      </w:r>
      <w:r>
        <w:rPr>
          <w:rFonts w:ascii="Times New Roman Regular" w:hAnsi="Times New Roman Regular" w:cs="Times New Roman Regular"/>
        </w:rPr>
        <w:t xml:space="preserve">. </w:t>
      </w:r>
      <w:r>
        <w:rPr>
          <w:rFonts w:ascii="Times New Roman Bold" w:hAnsi="Times New Roman Bold" w:cs="Times New Roman Bold"/>
          <w:b/>
          <w:bCs/>
        </w:rPr>
        <w:t>a</w:t>
      </w:r>
      <w:r>
        <w:rPr>
          <w:rFonts w:ascii="Times New Roman Regular" w:hAnsi="Times New Roman Regular" w:cs="Times New Roman Regular"/>
        </w:rPr>
        <w:t xml:space="preserve"> OS analysis of SSBP1. </w:t>
      </w:r>
      <w:r>
        <w:rPr>
          <w:rFonts w:ascii="Times New Roman Bold" w:hAnsi="Times New Roman Bold" w:cs="Times New Roman Bold"/>
          <w:b/>
          <w:bCs/>
        </w:rPr>
        <w:t>b</w:t>
      </w:r>
      <w:r>
        <w:rPr>
          <w:rFonts w:ascii="Times New Roman Regular" w:hAnsi="Times New Roman Regular" w:cs="Times New Roman Regular"/>
        </w:rPr>
        <w:t xml:space="preserve"> EFS analysis of SSBP1. </w:t>
      </w:r>
      <w:r>
        <w:rPr>
          <w:rFonts w:ascii="Times New Roman Bold" w:hAnsi="Times New Roman Bold" w:cs="Times New Roman Bold"/>
          <w:b/>
          <w:bCs/>
        </w:rPr>
        <w:t>c</w:t>
      </w:r>
      <w:r>
        <w:rPr>
          <w:rFonts w:ascii="Times New Roman Regular" w:hAnsi="Times New Roman Regular" w:cs="Times New Roman Regular"/>
        </w:rPr>
        <w:t xml:space="preserve"> OS analysis of SNRPE. </w:t>
      </w:r>
      <w:r>
        <w:rPr>
          <w:rFonts w:ascii="Times New Roman Bold" w:hAnsi="Times New Roman Bold" w:cs="Times New Roman Bold"/>
          <w:b/>
          <w:bCs/>
        </w:rPr>
        <w:t>d</w:t>
      </w:r>
      <w:r>
        <w:rPr>
          <w:rFonts w:ascii="Times New Roman Regular" w:hAnsi="Times New Roman Regular" w:cs="Times New Roman Regular"/>
        </w:rPr>
        <w:t xml:space="preserve"> EFS analysis of SNRPE. </w:t>
      </w:r>
      <w:r>
        <w:rPr>
          <w:rFonts w:ascii="Times New Roman Bold" w:hAnsi="Times New Roman Bold" w:cs="Times New Roman Bold"/>
          <w:b/>
          <w:bCs/>
        </w:rPr>
        <w:t>e</w:t>
      </w:r>
      <w:r>
        <w:rPr>
          <w:rFonts w:ascii="Times New Roman Regular" w:hAnsi="Times New Roman Regular" w:cs="Times New Roman Regular"/>
        </w:rPr>
        <w:t xml:space="preserve"> OS analysis of NPM1. </w:t>
      </w:r>
      <w:r>
        <w:rPr>
          <w:rFonts w:ascii="Times New Roman Bold" w:hAnsi="Times New Roman Bold" w:cs="Times New Roman Bold"/>
          <w:b/>
          <w:bCs/>
        </w:rPr>
        <w:t>f</w:t>
      </w:r>
      <w:r>
        <w:rPr>
          <w:rFonts w:ascii="Times New Roman Regular" w:hAnsi="Times New Roman Regular" w:cs="Times New Roman Regular"/>
        </w:rPr>
        <w:t xml:space="preserve"> EFS analysis of NPM1. </w:t>
      </w:r>
      <w:r>
        <w:rPr>
          <w:rFonts w:ascii="Times New Roman Bold" w:hAnsi="Times New Roman Bold" w:cs="Times New Roman Bold"/>
          <w:b/>
          <w:bCs/>
        </w:rPr>
        <w:t>g</w:t>
      </w:r>
      <w:r>
        <w:rPr>
          <w:rFonts w:ascii="Times New Roman Regular" w:hAnsi="Times New Roman Regular" w:cs="Times New Roman Regular"/>
        </w:rPr>
        <w:t xml:space="preserve"> OS analysis of HMOX1. </w:t>
      </w:r>
      <w:r>
        <w:rPr>
          <w:rFonts w:ascii="Times New Roman Bold" w:hAnsi="Times New Roman Bold" w:cs="Times New Roman Bold"/>
          <w:b/>
          <w:bCs/>
        </w:rPr>
        <w:t>h</w:t>
      </w:r>
      <w:r>
        <w:rPr>
          <w:rFonts w:ascii="Times New Roman Regular" w:hAnsi="Times New Roman Regular" w:cs="Times New Roman Regular"/>
        </w:rPr>
        <w:t xml:space="preserve"> EFS analysis of HMOX1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hint="eastAsia"/>
        </w:rPr>
        <w:drawing>
          <wp:inline distT="0" distB="0" distL="114300" distR="114300">
            <wp:extent cx="4247515" cy="4284345"/>
            <wp:effectExtent l="0" t="0" r="635" b="1905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r>
        <w:t>Fig</w:t>
      </w:r>
      <w:r>
        <w:rPr>
          <w:rFonts w:hint="eastAsia"/>
        </w:rPr>
        <w:t>.</w:t>
      </w:r>
      <w:r>
        <w:t xml:space="preserve"> S</w:t>
      </w:r>
      <w:r>
        <w:rPr>
          <w:rFonts w:hint="eastAsia"/>
        </w:rPr>
        <w:t xml:space="preserve">5 </w:t>
      </w:r>
      <w:r>
        <w:t>Effect</w:t>
      </w:r>
      <w:r>
        <w:rPr>
          <w:rFonts w:hint="eastAsia"/>
          <w:lang w:eastAsia="zh-Hans"/>
        </w:rPr>
        <w:t>s</w:t>
      </w:r>
      <w:r>
        <w:t xml:space="preserve"> of 7 hub genes (</w:t>
      </w:r>
      <w:r>
        <w:rPr>
          <w:iCs/>
        </w:rPr>
        <w:t xml:space="preserve">UQCR11, ATP5O, </w:t>
      </w:r>
      <w:bookmarkStart w:id="2" w:name="OLE_LINK14"/>
      <w:r>
        <w:rPr>
          <w:iCs/>
        </w:rPr>
        <w:t>COX6B1</w:t>
      </w:r>
      <w:bookmarkEnd w:id="2"/>
      <w:r>
        <w:rPr>
          <w:iCs/>
        </w:rPr>
        <w:t>, ETFA, FBL, GPI,</w:t>
      </w:r>
      <w:r>
        <w:rPr>
          <w:rFonts w:hint="eastAsia"/>
          <w:iCs/>
        </w:rPr>
        <w:t xml:space="preserve"> and</w:t>
      </w:r>
      <w:r>
        <w:rPr>
          <w:iCs/>
        </w:rPr>
        <w:t xml:space="preserve"> </w:t>
      </w:r>
      <w:bookmarkStart w:id="3" w:name="OLE_LINK15"/>
      <w:r>
        <w:rPr>
          <w:iCs/>
        </w:rPr>
        <w:t>AHCY</w:t>
      </w:r>
      <w:bookmarkEnd w:id="3"/>
      <w:r>
        <w:rPr>
          <w:iCs/>
        </w:rPr>
        <w:t>)</w:t>
      </w:r>
      <w:r>
        <w:t xml:space="preserve"> in turquoise module on overall survival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  <w:b/>
          <w:bCs/>
        </w:rPr>
        <w:t>a</w:t>
      </w:r>
      <w:r>
        <w:t xml:space="preserve"> and event free survival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>b</w:t>
      </w:r>
      <w:r>
        <w:rPr>
          <w:b/>
          <w:bCs/>
        </w:rPr>
        <w:t xml:space="preserve"> </w:t>
      </w:r>
      <w:r>
        <w:t xml:space="preserve">of patients with multiple myeloma </w:t>
      </w:r>
      <w:r>
        <w:rPr>
          <w:rFonts w:ascii="Times New Roman Regular" w:hAnsi="Times New Roman Regular" w:cs="Times New Roman Regular"/>
        </w:rPr>
        <w:t>based on the independent dataset</w:t>
      </w:r>
      <w:r>
        <w:rPr>
          <w:rFonts w:hint="eastAsia" w:ascii="Times New Roman Regular" w:hAnsi="Times New Roman Regular" w:cs="Times New Roman Regular"/>
        </w:rPr>
        <w:t xml:space="preserve"> GSE24080</w:t>
      </w:r>
      <w:r>
        <w:rPr>
          <w:rFonts w:ascii="Times New Roman Regular" w:hAnsi="Times New Roman Regular" w:cs="Times New Roman Regular"/>
        </w:rPr>
        <w:t>.</w:t>
      </w:r>
      <w:r>
        <w:t xml:space="preserve"> </w:t>
      </w:r>
    </w:p>
    <w:p/>
    <w:p>
      <w:r>
        <w:rPr>
          <w:rFonts w:hint="eastAsia"/>
        </w:rPr>
        <w:drawing>
          <wp:inline distT="0" distB="0" distL="114300" distR="114300">
            <wp:extent cx="4422775" cy="3705225"/>
            <wp:effectExtent l="0" t="0" r="6350" b="0"/>
            <wp:docPr id="6" name="图片 6" descr="Figure S6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6 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2277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Fig</w:t>
      </w:r>
      <w:r>
        <w:rPr>
          <w:rFonts w:hint="eastAsia"/>
        </w:rPr>
        <w:t xml:space="preserve">. </w:t>
      </w:r>
      <w:r>
        <w:t>S</w:t>
      </w:r>
      <w:r>
        <w:rPr>
          <w:rFonts w:hint="eastAsia"/>
        </w:rPr>
        <w:t xml:space="preserve">6 </w:t>
      </w:r>
      <w:r>
        <w:t>Effect</w:t>
      </w:r>
      <w:r>
        <w:rPr>
          <w:rFonts w:hint="eastAsia"/>
          <w:lang w:eastAsia="zh-Hans"/>
        </w:rPr>
        <w:t>s</w:t>
      </w:r>
      <w:r>
        <w:t xml:space="preserve"> of 9 hub genes (</w:t>
      </w:r>
      <w:r>
        <w:rPr>
          <w:iCs/>
        </w:rPr>
        <w:t xml:space="preserve">MMD, </w:t>
      </w:r>
      <w:bookmarkStart w:id="4" w:name="OLE_LINK17"/>
      <w:r>
        <w:rPr>
          <w:iCs/>
        </w:rPr>
        <w:t>CSTA</w:t>
      </w:r>
      <w:bookmarkEnd w:id="4"/>
      <w:r>
        <w:rPr>
          <w:iCs/>
        </w:rPr>
        <w:t xml:space="preserve">, FABP4, FRMD4B, </w:t>
      </w:r>
      <w:bookmarkStart w:id="5" w:name="OLE_LINK18"/>
      <w:r>
        <w:rPr>
          <w:iCs/>
        </w:rPr>
        <w:t>FTL</w:t>
      </w:r>
      <w:bookmarkEnd w:id="5"/>
      <w:r>
        <w:rPr>
          <w:iCs/>
        </w:rPr>
        <w:t xml:space="preserve">, HLA-DPB1, </w:t>
      </w:r>
      <w:bookmarkStart w:id="6" w:name="OLE_LINK16"/>
      <w:r>
        <w:rPr>
          <w:iCs/>
        </w:rPr>
        <w:t>ITGB2</w:t>
      </w:r>
      <w:bookmarkEnd w:id="6"/>
      <w:r>
        <w:rPr>
          <w:iCs/>
        </w:rPr>
        <w:t>, LILRB5</w:t>
      </w:r>
      <w:r>
        <w:rPr>
          <w:rFonts w:eastAsia="等线"/>
          <w:iCs/>
        </w:rPr>
        <w:t>, and</w:t>
      </w:r>
      <w:r>
        <w:rPr>
          <w:rFonts w:hint="eastAsia"/>
          <w:iCs/>
        </w:rPr>
        <w:t xml:space="preserve"> </w:t>
      </w:r>
      <w:r>
        <w:rPr>
          <w:iCs/>
        </w:rPr>
        <w:t>MS4A6A)</w:t>
      </w:r>
      <w:r>
        <w:t xml:space="preserve"> in green module on overall survival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  <w:b/>
          <w:bCs/>
        </w:rPr>
        <w:t>a</w:t>
      </w:r>
      <w:r>
        <w:t xml:space="preserve"> and event free survival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  <w:b/>
          <w:bCs/>
        </w:rPr>
        <w:t>b</w:t>
      </w:r>
      <w:r>
        <w:rPr>
          <w:b/>
          <w:bCs/>
        </w:rPr>
        <w:t xml:space="preserve"> </w:t>
      </w:r>
      <w:r>
        <w:t xml:space="preserve">of patients with multiple myeloma </w:t>
      </w:r>
      <w:r>
        <w:rPr>
          <w:rFonts w:ascii="Times New Roman Regular" w:hAnsi="Times New Roman Regular" w:cs="Times New Roman Regular"/>
        </w:rPr>
        <w:t>based on the independent dataset</w:t>
      </w:r>
      <w:r>
        <w:rPr>
          <w:rFonts w:hint="eastAsia" w:ascii="Times New Roman Regular" w:hAnsi="Times New Roman Regular" w:cs="Times New Roman Regular"/>
        </w:rPr>
        <w:t xml:space="preserve"> GSE24080</w:t>
      </w:r>
      <w:r>
        <w:rPr>
          <w:rFonts w:ascii="Times New Roman Regular" w:hAnsi="Times New Roman Regular" w:cs="Times New Roman Regular"/>
        </w:rPr>
        <w:t>.</w:t>
      </w:r>
      <w:r>
        <w:t xml:space="preserve"> </w:t>
      </w:r>
    </w:p>
    <w:p/>
    <w:p/>
    <w:p/>
    <w:p/>
    <w:p/>
    <w:p/>
    <w:p/>
    <w:p/>
    <w:p/>
    <w:p/>
    <w:p/>
    <w:p/>
    <w:p/>
    <w:p/>
    <w:p/>
    <w:p/>
    <w:p/>
    <w:p/>
    <w:p>
      <w:bookmarkStart w:id="7" w:name="_GoBack"/>
      <w:bookmarkEnd w:id="7"/>
    </w:p>
    <w:p/>
    <w:p/>
    <w:p>
      <w:pPr>
        <w:jc w:val="both"/>
        <w:rPr>
          <w:rFonts w:ascii="Times New Roman Regular" w:hAnsi="Times New Roman Regular" w:eastAsia="宋体" w:cs="Times New Roman Regular"/>
          <w:b/>
          <w:bCs/>
        </w:rPr>
      </w:pPr>
      <w:r>
        <w:rPr>
          <w:rFonts w:ascii="Times New Roman Regular" w:hAnsi="Times New Roman Regular" w:eastAsia="宋体" w:cs="Times New Roman Regular"/>
          <w:b/>
          <w:bCs/>
        </w:rPr>
        <w:t xml:space="preserve">Table 1. </w:t>
      </w:r>
      <w:r>
        <w:rPr>
          <w:rFonts w:ascii="Times New Roman Regular" w:hAnsi="Times New Roman Regular" w:eastAsia="宋体" w:cs="Times New Roman Regular"/>
        </w:rPr>
        <w:t xml:space="preserve">The relationship between SSBP1 levels and clinical characteristics </w:t>
      </w:r>
      <w:r>
        <w:rPr>
          <w:rFonts w:ascii="Times New Roman Regular" w:hAnsi="Times New Roman Regular" w:eastAsia="宋体" w:cs="Times New Roman Regular"/>
          <w:lang w:eastAsia="zh-Hans"/>
        </w:rPr>
        <w:t>of</w:t>
      </w:r>
      <w:r>
        <w:rPr>
          <w:rFonts w:ascii="Times New Roman Regular" w:hAnsi="Times New Roman Regular" w:eastAsia="宋体" w:cs="Times New Roman Regular"/>
        </w:rPr>
        <w:t xml:space="preserve"> patients with newly diagnosed multiple myeloma</w:t>
      </w:r>
    </w:p>
    <w:tbl>
      <w:tblPr>
        <w:tblStyle w:val="4"/>
        <w:tblW w:w="7338" w:type="dxa"/>
        <w:jc w:val="center"/>
        <w:tblCellSpacing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4"/>
        <w:gridCol w:w="1632"/>
        <w:gridCol w:w="1842"/>
        <w:gridCol w:w="156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tblCellSpacing w:w="0" w:type="dxa"/>
          <w:jc w:val="center"/>
        </w:trPr>
        <w:tc>
          <w:tcPr>
            <w:tcW w:w="23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80"/>
              </w:tabs>
              <w:spacing w:before="100" w:beforeAutospacing="1" w:after="100" w:afterAutospacing="1" w:line="360" w:lineRule="auto"/>
              <w:ind w:right="943" w:rightChars="393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Characteristic</w:t>
            </w: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SSBP1 High-score group(N=27)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SSBP1 Low-score group(N=27)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ind w:right="91" w:rightChars="38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P 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single" w:color="auto" w:sz="4" w:space="0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Male, no. (%)</w:t>
            </w:r>
          </w:p>
        </w:tc>
        <w:tc>
          <w:tcPr>
            <w:tcW w:w="1632" w:type="dxa"/>
            <w:tcBorders>
              <w:top w:val="single" w:color="auto" w:sz="4" w:space="0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15 /27 (55.6)</w:t>
            </w:r>
          </w:p>
        </w:tc>
        <w:tc>
          <w:tcPr>
            <w:tcW w:w="1842" w:type="dxa"/>
            <w:tcBorders>
              <w:top w:val="single" w:color="auto" w:sz="4" w:space="0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14/27 (51.9)</w:t>
            </w:r>
          </w:p>
        </w:tc>
        <w:tc>
          <w:tcPr>
            <w:tcW w:w="1560" w:type="dxa"/>
            <w:tcBorders>
              <w:top w:val="single" w:color="auto" w:sz="4" w:space="0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ind w:firstLine="360" w:firstLineChars="20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1.0000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Age, Median (years)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58 (38-80)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63 (36-80)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ind w:firstLine="360" w:firstLineChars="20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0.1054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BMPCs (%)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38.17±5.91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38.76±5.09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ind w:firstLine="360" w:firstLineChars="20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0.9398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Serum calcium (mmol/L)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2.42±0.09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2.19±0.05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0.0292*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ESR (mm/hr)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70.44±8.12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49.70±8.79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ind w:firstLine="360" w:firstLineChars="20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0.0890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LDH (U/L)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370.30±56.93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226.40±33.69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0.0342*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HGB (g/L)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88.00±4.87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89.07±4.89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0.8768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sCr (umol/L)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142.60±22.82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118.00±25.32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0.4736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Serum 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β2-MG (mg/L)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8.07±1.27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6.76±0.99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0.4194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CRP（mg/dL）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16.74±3.25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9.47±2.00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0.0620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ISS stages, no. (%)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0.5202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      I </w:t>
            </w:r>
          </w:p>
        </w:tc>
        <w:tc>
          <w:tcPr>
            <w:tcW w:w="163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1（3.70）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2（7.41）</w:t>
            </w: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23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     II  </w:t>
            </w: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8（29.63）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11（40.74）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23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    III</w:t>
            </w: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18（66.67）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14（51.85）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Times New Roman Regular" w:hAnsi="Times New Roman Regular" w:eastAsia="宋体" w:cs="Times New Roman Regular"/>
              </w:rPr>
            </w:pPr>
          </w:p>
        </w:tc>
      </w:tr>
    </w:tbl>
    <w:p>
      <w:pPr>
        <w:ind w:right="139" w:rightChars="58"/>
        <w:rPr>
          <w:rFonts w:ascii="Times New Roman Regular" w:hAnsi="Times New Roman Regular" w:eastAsia="宋体" w:cs="Times New Roman Regular"/>
          <w:sz w:val="18"/>
          <w:szCs w:val="18"/>
        </w:rPr>
      </w:pPr>
      <w:r>
        <w:rPr>
          <w:rFonts w:ascii="Times New Roman Regular" w:hAnsi="Times New Roman Regular" w:eastAsia="宋体" w:cs="Times New Roman Regular"/>
          <w:sz w:val="18"/>
          <w:szCs w:val="18"/>
        </w:rPr>
        <w:t xml:space="preserve">Abbreviations: BMPCs, bone marrow plasma cells; </w:t>
      </w:r>
      <w:r>
        <w:rPr>
          <w:rFonts w:ascii="Times New Roman Regular" w:hAnsi="Times New Roman Regular" w:eastAsia="宋体" w:cs="Times New Roman Regular"/>
          <w:sz w:val="18"/>
          <w:szCs w:val="18"/>
          <w:lang w:eastAsia="zh-Hans"/>
        </w:rPr>
        <w:t xml:space="preserve">ESR, erythrocyte sedimentation rate; </w:t>
      </w:r>
      <w:r>
        <w:rPr>
          <w:rFonts w:ascii="Times New Roman Regular" w:hAnsi="Times New Roman Regular" w:eastAsia="宋体" w:cs="Times New Roman Regular"/>
          <w:sz w:val="18"/>
          <w:szCs w:val="18"/>
        </w:rPr>
        <w:t xml:space="preserve">LDH, lactate dehydrogenase; </w:t>
      </w:r>
      <w:r>
        <w:rPr>
          <w:rFonts w:ascii="Times New Roman Regular" w:hAnsi="Times New Roman Regular" w:eastAsia="宋体" w:cs="Times New Roman Regular"/>
          <w:sz w:val="18"/>
          <w:szCs w:val="18"/>
          <w:lang w:eastAsia="zh-Hans"/>
        </w:rPr>
        <w:t xml:space="preserve">HGB, </w:t>
      </w:r>
      <w:r>
        <w:rPr>
          <w:rFonts w:ascii="Times New Roman Regular" w:hAnsi="Times New Roman Regular" w:eastAsia="宋体" w:cs="Times New Roman Regular"/>
          <w:sz w:val="18"/>
          <w:szCs w:val="18"/>
        </w:rPr>
        <w:t>hemoglobin; sCr, serum creatinine; Serum β</w:t>
      </w:r>
      <w:r>
        <w:rPr>
          <w:rFonts w:ascii="Times New Roman Regular" w:hAnsi="Times New Roman Regular" w:eastAsia="宋体" w:cs="Times New Roman Regular"/>
          <w:sz w:val="18"/>
          <w:szCs w:val="18"/>
          <w:vertAlign w:val="subscript"/>
        </w:rPr>
        <w:t>2</w:t>
      </w:r>
      <w:r>
        <w:rPr>
          <w:rFonts w:ascii="Times New Roman Regular" w:hAnsi="Times New Roman Regular" w:eastAsia="宋体" w:cs="Times New Roman Regular"/>
          <w:sz w:val="18"/>
          <w:szCs w:val="18"/>
        </w:rPr>
        <w:t>-MG, serum β2-microglobulin; CRP, C-reactive protein; ISS, International Staging System</w:t>
      </w:r>
      <w:r>
        <w:rPr>
          <w:rFonts w:ascii="Times New Roman Regular" w:hAnsi="Times New Roman Regular" w:cs="Times New Roman Regular"/>
        </w:rPr>
        <w:t xml:space="preserve">. </w:t>
      </w:r>
      <w:r>
        <w:rPr>
          <w:rFonts w:ascii="Times New Roman Regular" w:hAnsi="Times New Roman Regular" w:eastAsia="宋体" w:cs="Times New Roman Regular"/>
          <w:sz w:val="18"/>
          <w:szCs w:val="18"/>
        </w:rPr>
        <w:t>*P&lt;0.05.</w:t>
      </w:r>
    </w:p>
    <w:p/>
    <w:p/>
    <w:p/>
    <w:p/>
    <w:p/>
    <w:p/>
    <w:p/>
    <w:p/>
    <w:p/>
    <w:p/>
    <w:p/>
    <w:p/>
    <w:p/>
    <w:p/>
    <w:p/>
    <w:p/>
    <w:p>
      <w:pPr>
        <w:pStyle w:val="1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t>1. Huang HJ et al. Association between tumour characteristics and HER-2/neu by immunohistochemistry in 1362 women with primary operable breast cancer. J Clin Pathol.</w:t>
      </w:r>
      <w:r>
        <w:rPr>
          <w:b/>
        </w:rPr>
        <w:t>58</w:t>
      </w:r>
      <w:r>
        <w:t>,611-616(2005).</w:t>
      </w:r>
    </w:p>
    <w:p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Italic">
    <w:altName w:val="Times New Roman"/>
    <w:panose1 w:val="02020503050405090304"/>
    <w:charset w:val="00"/>
    <w:family w:val="auto"/>
    <w:pitch w:val="default"/>
    <w:sig w:usb0="00000000" w:usb1="00000000" w:usb2="00000009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ID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dvfxde2xt22yedx0mv29ziw2et5f9e9fre&quot;&gt;supplementary&lt;record-ids&gt;&lt;item&gt;1&lt;/item&gt;&lt;/record-ids&gt;&lt;/item&gt;&lt;/Libraries&gt;"/>
  </w:docVars>
  <w:rsids>
    <w:rsidRoot w:val="6FFF7E5D"/>
    <w:rsid w:val="000B1300"/>
    <w:rsid w:val="003900F0"/>
    <w:rsid w:val="00517854"/>
    <w:rsid w:val="00651B99"/>
    <w:rsid w:val="00CF2B79"/>
    <w:rsid w:val="00E67717"/>
    <w:rsid w:val="08356A95"/>
    <w:rsid w:val="089530B4"/>
    <w:rsid w:val="09B07041"/>
    <w:rsid w:val="0CBA7FF9"/>
    <w:rsid w:val="10E53ED4"/>
    <w:rsid w:val="129E0CE1"/>
    <w:rsid w:val="14FC7D43"/>
    <w:rsid w:val="1979123A"/>
    <w:rsid w:val="1A7C1C29"/>
    <w:rsid w:val="1ACF4024"/>
    <w:rsid w:val="1B7F4727"/>
    <w:rsid w:val="1C824BD6"/>
    <w:rsid w:val="1D0859E5"/>
    <w:rsid w:val="1D572DE9"/>
    <w:rsid w:val="1F7E5F56"/>
    <w:rsid w:val="20271720"/>
    <w:rsid w:val="20380DB4"/>
    <w:rsid w:val="21F0085F"/>
    <w:rsid w:val="24D54F2D"/>
    <w:rsid w:val="25AA71F2"/>
    <w:rsid w:val="269B0A0E"/>
    <w:rsid w:val="2F89190E"/>
    <w:rsid w:val="30692621"/>
    <w:rsid w:val="3683028A"/>
    <w:rsid w:val="39A6092B"/>
    <w:rsid w:val="3C4B0F61"/>
    <w:rsid w:val="42156C78"/>
    <w:rsid w:val="49212F8B"/>
    <w:rsid w:val="4E2FF5CC"/>
    <w:rsid w:val="508D3722"/>
    <w:rsid w:val="538B05BD"/>
    <w:rsid w:val="5677FC84"/>
    <w:rsid w:val="575B1A5E"/>
    <w:rsid w:val="5AB3195C"/>
    <w:rsid w:val="5AE27FC0"/>
    <w:rsid w:val="5D36626E"/>
    <w:rsid w:val="5D9653DC"/>
    <w:rsid w:val="62A54A51"/>
    <w:rsid w:val="62CA7FAC"/>
    <w:rsid w:val="630A7348"/>
    <w:rsid w:val="63CA1E1F"/>
    <w:rsid w:val="6EAF3E35"/>
    <w:rsid w:val="6FEED974"/>
    <w:rsid w:val="6FFF7E5D"/>
    <w:rsid w:val="71B017EB"/>
    <w:rsid w:val="723A0B5A"/>
    <w:rsid w:val="75F7AAF6"/>
    <w:rsid w:val="76CA5143"/>
    <w:rsid w:val="7732045F"/>
    <w:rsid w:val="77A935A7"/>
    <w:rsid w:val="7BC37C47"/>
    <w:rsid w:val="7C7B4B7F"/>
    <w:rsid w:val="7CBE565D"/>
    <w:rsid w:val="7CE85DBF"/>
    <w:rsid w:val="7FF7CC9F"/>
    <w:rsid w:val="7FFF2A9B"/>
    <w:rsid w:val="B4AFBEF4"/>
    <w:rsid w:val="E7EFD1A2"/>
    <w:rsid w:val="EFE5924C"/>
    <w:rsid w:val="F21DF751"/>
    <w:rsid w:val="F3635C8B"/>
    <w:rsid w:val="F77F06E4"/>
    <w:rsid w:val="FAE94816"/>
    <w:rsid w:val="FB7FD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</w:style>
  <w:style w:type="character" w:styleId="6">
    <w:name w:val="annotation reference"/>
    <w:basedOn w:val="5"/>
    <w:qFormat/>
    <w:uiPriority w:val="0"/>
    <w:rPr>
      <w:sz w:val="21"/>
      <w:szCs w:val="21"/>
    </w:rPr>
  </w:style>
  <w:style w:type="paragraph" w:customStyle="1" w:styleId="7">
    <w:name w:val="样式2"/>
    <w:basedOn w:val="2"/>
    <w:qFormat/>
    <w:uiPriority w:val="0"/>
    <w:pPr>
      <w:spacing w:before="0" w:after="0"/>
    </w:pPr>
    <w:rPr>
      <w:sz w:val="24"/>
    </w:rPr>
  </w:style>
  <w:style w:type="paragraph" w:customStyle="1" w:styleId="8">
    <w:name w:val="EndNote Bibliography Title"/>
    <w:basedOn w:val="1"/>
    <w:link w:val="9"/>
    <w:qFormat/>
    <w:uiPriority w:val="0"/>
    <w:pPr>
      <w:jc w:val="center"/>
    </w:pPr>
  </w:style>
  <w:style w:type="character" w:customStyle="1" w:styleId="9">
    <w:name w:val="EndNote Bibliography Title 字符"/>
    <w:basedOn w:val="5"/>
    <w:link w:val="8"/>
    <w:qFormat/>
    <w:uiPriority w:val="0"/>
    <w:rPr>
      <w:rFonts w:eastAsiaTheme="minorEastAsia"/>
      <w:sz w:val="24"/>
      <w:szCs w:val="24"/>
    </w:rPr>
  </w:style>
  <w:style w:type="paragraph" w:customStyle="1" w:styleId="10">
    <w:name w:val="EndNote Bibliography"/>
    <w:basedOn w:val="1"/>
    <w:link w:val="11"/>
    <w:qFormat/>
    <w:uiPriority w:val="0"/>
  </w:style>
  <w:style w:type="character" w:customStyle="1" w:styleId="11">
    <w:name w:val="EndNote Bibliography 字符"/>
    <w:basedOn w:val="5"/>
    <w:link w:val="10"/>
    <w:qFormat/>
    <w:uiPriority w:val="0"/>
    <w:rPr>
      <w:rFonts w:eastAsiaTheme="minor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1376</Words>
  <Characters>7849</Characters>
  <Lines>65</Lines>
  <Paragraphs>18</Paragraphs>
  <TotalTime>4</TotalTime>
  <ScaleCrop>false</ScaleCrop>
  <LinksUpToDate>false</LinksUpToDate>
  <CharactersWithSpaces>9207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2021-10-30T17:08:00Z</dcterms:created>
  <dc:creator>zengzhiyong</dc:creator>
  <cp:lastModifiedBy>彩云飞</cp:lastModifiedBy>
  <dcterms:modified xsi:type="dcterms:W3CDTF">2022-07-15T16:02:16Z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