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1CC7DC" w14:textId="7607E1D7" w:rsidR="005C5E99" w:rsidRPr="001C4E46" w:rsidRDefault="00344BF7" w:rsidP="005C5E99">
      <w:pPr>
        <w:pStyle w:val="Heading2"/>
        <w:spacing w:before="0" w:after="200" w:line="480" w:lineRule="auto"/>
        <w:rPr>
          <w:rStyle w:val="None"/>
          <w:rFonts w:ascii="Times New Roman" w:eastAsia="Calibri" w:hAnsi="Times New Roman" w:cs="Times New Roman"/>
          <w:color w:val="000000"/>
          <w:sz w:val="32"/>
          <w:szCs w:val="22"/>
          <w:u w:color="000000"/>
        </w:rPr>
      </w:pPr>
      <w:r w:rsidRPr="001C4E46">
        <w:rPr>
          <w:rStyle w:val="None"/>
          <w:rFonts w:ascii="Times New Roman" w:eastAsia="Calibri" w:hAnsi="Times New Roman" w:cs="Times New Roman"/>
          <w:color w:val="000000"/>
          <w:sz w:val="32"/>
          <w:szCs w:val="22"/>
          <w:u w:color="000000"/>
        </w:rPr>
        <w:t>Supplementary Material</w:t>
      </w:r>
      <w:r w:rsidR="00CA28AE" w:rsidRPr="001C4E46">
        <w:rPr>
          <w:rStyle w:val="None"/>
          <w:rFonts w:ascii="Times New Roman" w:eastAsia="Calibri" w:hAnsi="Times New Roman" w:cs="Times New Roman"/>
          <w:color w:val="000000"/>
          <w:sz w:val="32"/>
          <w:szCs w:val="22"/>
          <w:u w:color="000000"/>
        </w:rPr>
        <w:t xml:space="preserve"> 2</w:t>
      </w:r>
    </w:p>
    <w:p w14:paraId="0A7B4F49" w14:textId="713E9666" w:rsidR="005C5E99" w:rsidRPr="001C4E46" w:rsidRDefault="005C5E99" w:rsidP="005C5E99">
      <w:pPr>
        <w:pStyle w:val="Heading2"/>
        <w:spacing w:before="0" w:after="200" w:line="480" w:lineRule="auto"/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</w:pPr>
      <w:r w:rsidRPr="001C4E46"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  <w:t>Multiplex PCR</w:t>
      </w:r>
    </w:p>
    <w:p w14:paraId="1FC92812" w14:textId="4F8648FF" w:rsidR="00E36C7C" w:rsidRPr="001C4E46" w:rsidRDefault="00E36C7C" w:rsidP="00E36C7C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  <w:shd w:val="clear" w:color="auto" w:fill="FFFFFF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The multiplex PCR protocol of van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Asten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/>
        </w:rPr>
        <w:t>et al</w:t>
      </w:r>
      <w:r w:rsidRPr="001C4E46">
        <w:rPr>
          <w:rStyle w:val="None"/>
          <w:rFonts w:ascii="Times New Roman" w:eastAsia="Calibri" w:hAnsi="Times New Roman" w:cs="Times New Roman"/>
        </w:rPr>
        <w:t xml:space="preserve">. </w:t>
      </w:r>
      <w:r w:rsidRPr="001C4E46">
        <w:rPr>
          <w:rStyle w:val="None"/>
          <w:rFonts w:ascii="Times New Roman" w:eastAsia="Calibri" w:hAnsi="Times New Roman" w:cs="Times New Roman"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</w:rPr>
        <w:instrText xml:space="preserve"> ADDIN EN.CITE &lt;EndNote&gt;&lt;Cite&gt;&lt;Author&gt;van Asten&lt;/Author&gt;&lt;Year&gt;2009&lt;/Year&gt;&lt;RecNum&gt;15&lt;/RecNum&gt;&lt;DisplayText&gt;[1]&lt;/DisplayText&gt;&lt;record&gt;&lt;rec-number&gt;15&lt;/rec-number&gt;&lt;foreign-keys&gt;&lt;key app="EN" db-id="szdp2xstjz2e04ers5wxfrs2frp50ewfasfx" timestamp="1538409237"&gt;15&lt;/key&gt;&lt;/foreign-keys&gt;&lt;ref-type name="Journal Article"&gt;17&lt;/ref-type&gt;&lt;contributors&gt;&lt;authors&gt;&lt;author&gt;van Asten, Alphons J. A. M.&lt;/author&gt;&lt;author&gt;van der Wiel, Cornelia W.&lt;/author&gt;&lt;author&gt;Nikolaou, Georgios&lt;/author&gt;&lt;author&gt;Houwers, Dirk J.&lt;/author&gt;&lt;author&gt;Gröne, Andrea&lt;/author&gt;&lt;/authors&gt;&lt;/contributors&gt;&lt;titles&gt;&lt;title&gt;A multiplex PCR for toxin typing of Clostridium perfringens isolates&lt;/title&gt;&lt;secondary-title&gt;Veterinary Microbiology&lt;/secondary-title&gt;&lt;/titles&gt;&lt;periodical&gt;&lt;full-title&gt;Veterinary Microbiology&lt;/full-title&gt;&lt;/periodical&gt;&lt;pages&gt;411-412&lt;/pages&gt;&lt;volume&gt;136&lt;/volume&gt;&lt;number&gt;3&lt;/number&gt;&lt;keywords&gt;&lt;keyword&gt;Multiplex PCR&lt;/keyword&gt;&lt;keyword&gt;Toxin type&lt;/keyword&gt;&lt;keyword&gt;Beta2 toxin&lt;/keyword&gt;&lt;/keywords&gt;&lt;dates&gt;&lt;year&gt;2009&lt;/year&gt;&lt;pub-dates&gt;&lt;date&gt;2009/05/12/&lt;/date&gt;&lt;/pub-dates&gt;&lt;/dates&gt;&lt;isbn&gt;0378-1135&lt;/isbn&gt;&lt;urls&gt;&lt;related-urls&gt;&lt;url&gt;http://www.sciencedirect.com/science/article/pii/S037811350800552X&lt;/url&gt;&lt;/related-urls&gt;&lt;/urls&gt;&lt;electronic-resource-num&gt;https://doi.org/10.1016/j.vetmic.2008.11.024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noProof/>
        </w:rPr>
        <w:t>[1]</w:t>
      </w:r>
      <w:r w:rsidRPr="001C4E46">
        <w:rPr>
          <w:rStyle w:val="None"/>
          <w:rFonts w:ascii="Times New Roman" w:eastAsia="Calibri" w:hAnsi="Times New Roman" w:cs="Times New Roman"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</w:rPr>
        <w:t xml:space="preserve"> was used to screen for the presence of </w:t>
      </w:r>
      <w:bookmarkStart w:id="0" w:name="_Hlk525740061"/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cpa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cpb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iA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etx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cpe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and </w:t>
      </w:r>
      <w:r w:rsidRPr="001C4E46">
        <w:rPr>
          <w:rStyle w:val="None"/>
          <w:rFonts w:ascii="Times New Roman" w:eastAsia="Calibri" w:hAnsi="Times New Roman" w:cs="Times New Roman"/>
          <w:i/>
          <w:iCs/>
        </w:rPr>
        <w:t>cpb2</w:t>
      </w:r>
      <w:bookmarkEnd w:id="0"/>
      <w:r w:rsidRPr="001C4E46">
        <w:rPr>
          <w:rStyle w:val="None"/>
          <w:rFonts w:ascii="Times New Roman" w:eastAsia="Calibri" w:hAnsi="Times New Roman" w:cs="Times New Roman"/>
        </w:rPr>
        <w:t xml:space="preserve">. Each 50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reaction contained 1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DNA template (prepared by suspending colonies in distilled water, heating at 95 </w:t>
      </w:r>
      <w:r w:rsidRPr="001C4E46">
        <w:rPr>
          <w:rStyle w:val="None"/>
          <w:rFonts w:ascii="Times New Roman" w:eastAsia="Calibri" w:hAnsi="Times New Roman" w:cs="Times New Roman"/>
          <w:lang w:val="it-IT"/>
        </w:rPr>
        <w:t>°</w:t>
      </w:r>
      <w:r w:rsidRPr="001C4E46">
        <w:rPr>
          <w:rStyle w:val="None"/>
          <w:rFonts w:ascii="Times New Roman" w:eastAsia="Calibri" w:hAnsi="Times New Roman" w:cs="Times New Roman"/>
        </w:rPr>
        <w:t>C for 10 minutes and centrifuging at 17,000 xg</w:t>
      </w:r>
      <w:r w:rsidRPr="001C4E46">
        <w:rPr>
          <w:rStyle w:val="None"/>
          <w:rFonts w:ascii="Times New Roman" w:eastAsia="Calibri" w:hAnsi="Times New Roman" w:cs="Times New Roman"/>
          <w:vertAlign w:val="superscript"/>
        </w:rPr>
        <w:t>-1</w:t>
      </w:r>
      <w:r w:rsidRPr="001C4E46">
        <w:rPr>
          <w:rStyle w:val="None"/>
          <w:rFonts w:ascii="Times New Roman" w:eastAsia="Calibri" w:hAnsi="Times New Roman" w:cs="Times New Roman"/>
        </w:rPr>
        <w:t xml:space="preserve">), 7.5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10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nM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primer mix (Table 2), 10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5x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Taq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Master Mix (New England Biolabs), 31.5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ultra-pure water.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Thermal cycling consisted of initial denaturation at 94 °C for 1 minute followed by 34 cycles of denaturation at 94 °C for 20 seconds, annealing at 53 °C for 1 minute, extension at 68 °C for 1 minute, followed by final extension at 68 °C for 1 minute. </w:t>
      </w:r>
    </w:p>
    <w:p w14:paraId="03130B8A" w14:textId="77777777" w:rsidR="00E36C7C" w:rsidRPr="001C4E46" w:rsidRDefault="00E36C7C" w:rsidP="00E36C7C">
      <w:pPr>
        <w:pStyle w:val="Caption"/>
        <w:spacing w:after="200" w:line="480" w:lineRule="auto"/>
        <w:rPr>
          <w:rStyle w:val="None"/>
          <w:rFonts w:eastAsia="Calibri" w:cs="Times New Roman"/>
          <w:bCs w:val="0"/>
          <w:i/>
          <w:iCs/>
          <w:caps w:val="0"/>
          <w:sz w:val="22"/>
          <w:szCs w:val="22"/>
        </w:rPr>
      </w:pPr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  <w:lang w:val="en-US"/>
        </w:rPr>
        <w:t>Table</w:t>
      </w:r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</w:t>
      </w:r>
      <w:r w:rsidRPr="001C4E46">
        <w:rPr>
          <w:rStyle w:val="None"/>
          <w:rFonts w:eastAsia="Calibri" w:cs="Times New Roman"/>
          <w:sz w:val="22"/>
          <w:shd w:val="clear" w:color="auto" w:fill="FFFFFF"/>
        </w:rPr>
        <w:t xml:space="preserve">2. </w:t>
      </w:r>
      <w:r w:rsidRPr="001C4E46">
        <w:rPr>
          <w:rStyle w:val="None"/>
          <w:rFonts w:eastAsia="Calibri" w:cs="Times New Roman"/>
          <w:i/>
          <w:sz w:val="22"/>
          <w:shd w:val="clear" w:color="auto" w:fill="FFFFFF"/>
        </w:rPr>
        <w:t xml:space="preserve">C. </w:t>
      </w:r>
      <w:r w:rsidRPr="001C4E46">
        <w:rPr>
          <w:rStyle w:val="None"/>
          <w:rFonts w:eastAsia="Calibri" w:cs="Times New Roman"/>
          <w:i/>
          <w:caps w:val="0"/>
          <w:sz w:val="22"/>
          <w:shd w:val="clear" w:color="auto" w:fill="FFFFFF"/>
        </w:rPr>
        <w:t>perfringens</w:t>
      </w:r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</w:t>
      </w:r>
      <w:proofErr w:type="spellStart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>toxin</w:t>
      </w:r>
      <w:proofErr w:type="spellEnd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</w:t>
      </w:r>
      <w:proofErr w:type="spellStart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>gene</w:t>
      </w:r>
      <w:proofErr w:type="spellEnd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 multiplex PCR </w:t>
      </w:r>
      <w:proofErr w:type="spellStart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>primers</w:t>
      </w:r>
      <w:proofErr w:type="spellEnd"/>
      <w:r w:rsidRPr="001C4E46">
        <w:rPr>
          <w:rStyle w:val="None"/>
          <w:rFonts w:eastAsia="Calibri" w:cs="Times New Roman"/>
          <w:caps w:val="0"/>
          <w:sz w:val="22"/>
          <w:shd w:val="clear" w:color="auto" w:fill="FFFFFF"/>
        </w:rPr>
        <w:t xml:space="preserve">.  </w:t>
      </w:r>
    </w:p>
    <w:tbl>
      <w:tblPr>
        <w:tblStyle w:val="TableGrid"/>
        <w:tblW w:w="7801" w:type="dxa"/>
        <w:jc w:val="center"/>
        <w:tblLayout w:type="fixed"/>
        <w:tblLook w:val="04A0" w:firstRow="1" w:lastRow="0" w:firstColumn="1" w:lastColumn="0" w:noHBand="0" w:noVBand="1"/>
      </w:tblPr>
      <w:tblGrid>
        <w:gridCol w:w="1972"/>
        <w:gridCol w:w="846"/>
        <w:gridCol w:w="3773"/>
        <w:gridCol w:w="1210"/>
      </w:tblGrid>
      <w:tr w:rsidR="00E36C7C" w:rsidRPr="001C4E46" w14:paraId="0570C308" w14:textId="77777777" w:rsidTr="00DA7664">
        <w:trPr>
          <w:trHeight w:val="733"/>
          <w:jc w:val="center"/>
        </w:trPr>
        <w:tc>
          <w:tcPr>
            <w:tcW w:w="1972" w:type="dxa"/>
            <w:vAlign w:val="center"/>
          </w:tcPr>
          <w:p w14:paraId="0CAE6E2D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Primer</w:t>
            </w:r>
          </w:p>
        </w:tc>
        <w:tc>
          <w:tcPr>
            <w:tcW w:w="846" w:type="dxa"/>
            <w:vAlign w:val="center"/>
          </w:tcPr>
          <w:p w14:paraId="1AC55AF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Gene</w:t>
            </w:r>
          </w:p>
        </w:tc>
        <w:tc>
          <w:tcPr>
            <w:tcW w:w="3773" w:type="dxa"/>
            <w:vAlign w:val="center"/>
          </w:tcPr>
          <w:p w14:paraId="203E8890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Sequence (5’-3’)</w:t>
            </w:r>
          </w:p>
        </w:tc>
        <w:tc>
          <w:tcPr>
            <w:tcW w:w="1210" w:type="dxa"/>
            <w:vAlign w:val="center"/>
          </w:tcPr>
          <w:p w14:paraId="1A09CFAC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Product length (bp)</w:t>
            </w:r>
          </w:p>
        </w:tc>
      </w:tr>
      <w:tr w:rsidR="00E36C7C" w:rsidRPr="001C4E46" w14:paraId="3D658B40" w14:textId="77777777" w:rsidTr="00DA7664">
        <w:trPr>
          <w:trHeight w:val="288"/>
          <w:jc w:val="center"/>
        </w:trPr>
        <w:tc>
          <w:tcPr>
            <w:tcW w:w="1972" w:type="dxa"/>
            <w:vAlign w:val="center"/>
          </w:tcPr>
          <w:p w14:paraId="51F6B4F4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AlphaF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0088C8D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cpa</w:t>
            </w:r>
            <w:proofErr w:type="spellEnd"/>
          </w:p>
        </w:tc>
        <w:tc>
          <w:tcPr>
            <w:tcW w:w="3773" w:type="dxa"/>
            <w:vAlign w:val="center"/>
          </w:tcPr>
          <w:p w14:paraId="1A8D1016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GCTAATGTTACTGCCGTTGA</w:t>
            </w:r>
          </w:p>
        </w:tc>
        <w:tc>
          <w:tcPr>
            <w:tcW w:w="1210" w:type="dxa"/>
            <w:vMerge w:val="restart"/>
            <w:vAlign w:val="center"/>
          </w:tcPr>
          <w:p w14:paraId="30AECFC5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324</w:t>
            </w:r>
          </w:p>
        </w:tc>
      </w:tr>
      <w:tr w:rsidR="00E36C7C" w:rsidRPr="001C4E46" w14:paraId="52A5E5C1" w14:textId="77777777" w:rsidTr="00DA7664">
        <w:trPr>
          <w:trHeight w:val="285"/>
          <w:jc w:val="center"/>
        </w:trPr>
        <w:tc>
          <w:tcPr>
            <w:tcW w:w="1972" w:type="dxa"/>
            <w:vAlign w:val="center"/>
          </w:tcPr>
          <w:p w14:paraId="7B9BEDCD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AlphaR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27FEC803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744BDC59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CCTCTGATACATCGTGTAAG</w:t>
            </w:r>
          </w:p>
        </w:tc>
        <w:tc>
          <w:tcPr>
            <w:tcW w:w="1210" w:type="dxa"/>
            <w:vMerge/>
            <w:vAlign w:val="center"/>
          </w:tcPr>
          <w:p w14:paraId="1D514A8E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4E77AE0A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416BF17C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651BE9C0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cpb</w:t>
            </w:r>
            <w:proofErr w:type="spellEnd"/>
          </w:p>
        </w:tc>
        <w:tc>
          <w:tcPr>
            <w:tcW w:w="3773" w:type="dxa"/>
            <w:vAlign w:val="center"/>
          </w:tcPr>
          <w:p w14:paraId="7AE3646E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GCGAATATGCTGAATCATCTA</w:t>
            </w:r>
          </w:p>
        </w:tc>
        <w:tc>
          <w:tcPr>
            <w:tcW w:w="1210" w:type="dxa"/>
            <w:vMerge w:val="restart"/>
            <w:vAlign w:val="center"/>
          </w:tcPr>
          <w:p w14:paraId="0090CF91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195</w:t>
            </w:r>
          </w:p>
        </w:tc>
      </w:tr>
      <w:tr w:rsidR="00E36C7C" w:rsidRPr="001C4E46" w14:paraId="6947AD0A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605C9098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5A241027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348C887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GCAGGAACATTAGTATATCTTC</w:t>
            </w:r>
          </w:p>
        </w:tc>
        <w:tc>
          <w:tcPr>
            <w:tcW w:w="1210" w:type="dxa"/>
            <w:vMerge/>
            <w:vAlign w:val="center"/>
          </w:tcPr>
          <w:p w14:paraId="0E5B8D48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7E1FF6D8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7DC6471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Beta2F</w:t>
            </w:r>
          </w:p>
        </w:tc>
        <w:tc>
          <w:tcPr>
            <w:tcW w:w="846" w:type="dxa"/>
            <w:vMerge w:val="restart"/>
            <w:vAlign w:val="center"/>
          </w:tcPr>
          <w:p w14:paraId="3AA19A11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cpb2</w:t>
            </w:r>
          </w:p>
        </w:tc>
        <w:tc>
          <w:tcPr>
            <w:tcW w:w="3773" w:type="dxa"/>
            <w:vAlign w:val="center"/>
          </w:tcPr>
          <w:p w14:paraId="64A042E2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AGATTTTAAATATGATCCTAAC</w:t>
            </w:r>
          </w:p>
        </w:tc>
        <w:tc>
          <w:tcPr>
            <w:tcW w:w="1210" w:type="dxa"/>
            <w:vMerge w:val="restart"/>
            <w:vAlign w:val="center"/>
          </w:tcPr>
          <w:p w14:paraId="7332C798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548</w:t>
            </w:r>
          </w:p>
        </w:tc>
      </w:tr>
      <w:tr w:rsidR="00E36C7C" w:rsidRPr="001C4E46" w14:paraId="16E94CFE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2B4DBA9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Beta2R</w:t>
            </w:r>
          </w:p>
        </w:tc>
        <w:tc>
          <w:tcPr>
            <w:tcW w:w="846" w:type="dxa"/>
            <w:vMerge/>
            <w:vAlign w:val="center"/>
          </w:tcPr>
          <w:p w14:paraId="5FFB67DA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4ACBF6DA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CCAATACCCTTCACCAAATACTC</w:t>
            </w:r>
          </w:p>
        </w:tc>
        <w:tc>
          <w:tcPr>
            <w:tcW w:w="1210" w:type="dxa"/>
            <w:vMerge/>
            <w:vAlign w:val="center"/>
          </w:tcPr>
          <w:p w14:paraId="0DC9EF2D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0FD2FD05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0F3B763B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EnterotoxinF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7733739F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cpe</w:t>
            </w:r>
            <w:proofErr w:type="spellEnd"/>
          </w:p>
        </w:tc>
        <w:tc>
          <w:tcPr>
            <w:tcW w:w="3773" w:type="dxa"/>
            <w:vAlign w:val="center"/>
          </w:tcPr>
          <w:p w14:paraId="0BE791D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GGAGATGGTTGGATATTAGG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4DD21741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485</w:t>
            </w:r>
          </w:p>
        </w:tc>
      </w:tr>
      <w:tr w:rsidR="00E36C7C" w:rsidRPr="001C4E46" w14:paraId="0CDE7435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2C416B94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EnterotoxinR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64C8E089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095AC476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GGACCAGCAGTTGTAGATA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7A2F8A6D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1515B5A7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4D1CCB6D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EpsilonF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64B4FAF3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etx</w:t>
            </w:r>
            <w:proofErr w:type="spellEnd"/>
          </w:p>
        </w:tc>
        <w:tc>
          <w:tcPr>
            <w:tcW w:w="3773" w:type="dxa"/>
            <w:vAlign w:val="center"/>
          </w:tcPr>
          <w:p w14:paraId="0E0C1AC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GCGGTGATATCCATCTATTC</w:t>
            </w:r>
          </w:p>
        </w:tc>
        <w:tc>
          <w:tcPr>
            <w:tcW w:w="1210" w:type="dxa"/>
            <w:vMerge w:val="restart"/>
            <w:vAlign w:val="center"/>
          </w:tcPr>
          <w:p w14:paraId="016B868E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376</w:t>
            </w:r>
          </w:p>
        </w:tc>
      </w:tr>
      <w:tr w:rsidR="00E36C7C" w:rsidRPr="001C4E46" w14:paraId="2638D710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7CE686C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EpsilonR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32CCA392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6FABE73C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CCACTTACTTGTCCTACTAAC</w:t>
            </w:r>
          </w:p>
        </w:tc>
        <w:tc>
          <w:tcPr>
            <w:tcW w:w="1210" w:type="dxa"/>
            <w:vMerge/>
            <w:vAlign w:val="center"/>
          </w:tcPr>
          <w:p w14:paraId="30D2E8C7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57C3F2AC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6D9F403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IotaF</w:t>
            </w:r>
            <w:proofErr w:type="spellEnd"/>
          </w:p>
        </w:tc>
        <w:tc>
          <w:tcPr>
            <w:tcW w:w="846" w:type="dxa"/>
            <w:vMerge w:val="restart"/>
            <w:vAlign w:val="center"/>
          </w:tcPr>
          <w:p w14:paraId="116ED7FF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iA</w:t>
            </w:r>
            <w:proofErr w:type="spellEnd"/>
          </w:p>
        </w:tc>
        <w:tc>
          <w:tcPr>
            <w:tcW w:w="3773" w:type="dxa"/>
            <w:vAlign w:val="center"/>
          </w:tcPr>
          <w:p w14:paraId="646101AA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ACTACTCTCAGACAAGACAG</w:t>
            </w:r>
          </w:p>
        </w:tc>
        <w:tc>
          <w:tcPr>
            <w:tcW w:w="1210" w:type="dxa"/>
            <w:vMerge w:val="restart"/>
            <w:vAlign w:val="center"/>
          </w:tcPr>
          <w:p w14:paraId="7889C127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272</w:t>
            </w:r>
          </w:p>
        </w:tc>
      </w:tr>
      <w:tr w:rsidR="00E36C7C" w:rsidRPr="001C4E46" w14:paraId="43C950B1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134193EB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IotaR</w:t>
            </w:r>
            <w:proofErr w:type="spellEnd"/>
          </w:p>
        </w:tc>
        <w:tc>
          <w:tcPr>
            <w:tcW w:w="846" w:type="dxa"/>
            <w:vMerge/>
            <w:vAlign w:val="center"/>
          </w:tcPr>
          <w:p w14:paraId="55D45345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3" w:type="dxa"/>
            <w:vAlign w:val="center"/>
          </w:tcPr>
          <w:p w14:paraId="4D8B610C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CTTTCCTTCTATTACTATACG</w:t>
            </w:r>
          </w:p>
        </w:tc>
        <w:tc>
          <w:tcPr>
            <w:tcW w:w="1210" w:type="dxa"/>
            <w:vMerge/>
            <w:vAlign w:val="center"/>
          </w:tcPr>
          <w:p w14:paraId="7716E12C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D296BF2" w14:textId="77777777" w:rsidR="00E36C7C" w:rsidRPr="001C4E46" w:rsidRDefault="00E36C7C" w:rsidP="00E36C7C">
      <w:pPr>
        <w:pStyle w:val="BodyA"/>
        <w:spacing w:after="200"/>
        <w:rPr>
          <w:rStyle w:val="None"/>
          <w:rFonts w:ascii="Times New Roman" w:eastAsia="Calibri" w:hAnsi="Times New Roman" w:cs="Times New Roman"/>
          <w:bCs/>
          <w:iCs/>
          <w:sz w:val="20"/>
        </w:rPr>
      </w:pPr>
    </w:p>
    <w:p w14:paraId="591EEDFE" w14:textId="65FDE57F" w:rsidR="00E36C7C" w:rsidRPr="001C4E46" w:rsidRDefault="00E36C7C" w:rsidP="00E36C7C">
      <w:pPr>
        <w:pStyle w:val="BodyA"/>
        <w:spacing w:after="200"/>
        <w:rPr>
          <w:rStyle w:val="None"/>
          <w:rFonts w:ascii="Times New Roman" w:eastAsia="Calibri" w:hAnsi="Times New Roman" w:cs="Times New Roman"/>
          <w:bCs/>
          <w:iCs/>
        </w:rPr>
      </w:pPr>
      <w:r w:rsidRPr="001C4E46">
        <w:rPr>
          <w:rStyle w:val="None"/>
          <w:rFonts w:ascii="Times New Roman" w:eastAsia="Calibri" w:hAnsi="Times New Roman" w:cs="Times New Roman"/>
          <w:bCs/>
          <w:iCs/>
        </w:rPr>
        <w:t>Primer pairs used in the multiplex PCR to target six toxin genes, the oligonucleotide sequence of the primers, and expected product size</w:t>
      </w:r>
      <w:r w:rsidRPr="001C4E46">
        <w:rPr>
          <w:rStyle w:val="None"/>
          <w:rFonts w:ascii="Times New Roman" w:eastAsia="Calibri" w:hAnsi="Times New Roman" w:cs="Times New Roman"/>
          <w:bCs/>
          <w:i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bCs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</w:rPr>
        <w:instrText xml:space="preserve"> ADDIN EN.CITE &lt;EndNote&gt;&lt;Cite&gt;&lt;Author&gt;van Asten&lt;/Author&gt;&lt;Year&gt;2009&lt;/Year&gt;&lt;RecNum&gt;15&lt;/RecNum&gt;&lt;DisplayText&gt;[1]&lt;/DisplayText&gt;&lt;record&gt;&lt;rec-number&gt;15&lt;/rec-number&gt;&lt;foreign-keys&gt;&lt;key app="EN" db-id="szdp2xstjz2e04ers5wxfrs2frp50ewfasfx" timestamp="1538409237"&gt;15&lt;/key&gt;&lt;/foreign-keys&gt;&lt;ref-type name="Journal Article"&gt;17&lt;/ref-type&gt;&lt;contributors&gt;&lt;authors&gt;&lt;author&gt;van Asten, Alphons J. A. M.&lt;/author&gt;&lt;author&gt;van der Wiel, Cornelia W.&lt;/author&gt;&lt;author&gt;Nikolaou, Georgios&lt;/author&gt;&lt;author&gt;Houwers, Dirk J.&lt;/author&gt;&lt;author&gt;Gröne, Andrea&lt;/author&gt;&lt;/authors&gt;&lt;/contributors&gt;&lt;titles&gt;&lt;title&gt;A multiplex PCR for toxin typing of Clostridium perfringens isolates&lt;/title&gt;&lt;secondary-title&gt;Veterinary Microbiology&lt;/secondary-title&gt;&lt;/titles&gt;&lt;periodical&gt;&lt;full-title&gt;Veterinary Microbiology&lt;/full-title&gt;&lt;/periodical&gt;&lt;pages&gt;411-412&lt;/pages&gt;&lt;volume&gt;136&lt;/volume&gt;&lt;number&gt;3&lt;/number&gt;&lt;keywords&gt;&lt;keyword&gt;Multiplex PCR&lt;/keyword&gt;&lt;keyword&gt;Toxin type&lt;/keyword&gt;&lt;keyword&gt;Beta2 toxin&lt;/keyword&gt;&lt;/keywords&gt;&lt;dates&gt;&lt;year&gt;2009&lt;/year&gt;&lt;pub-dates&gt;&lt;date&gt;2009/05/12/&lt;/date&gt;&lt;/pub-dates&gt;&lt;/dates&gt;&lt;isbn&gt;0378-1135&lt;/isbn&gt;&lt;urls&gt;&lt;related-urls&gt;&lt;url&gt;http://www.sciencedirect.com/science/article/pii/S037811350800552X&lt;/url&gt;&lt;/related-urls&gt;&lt;/urls&gt;&lt;electronic-resource-num&gt;https://doi.org/10.1016/j.vetmic.2008.11.024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bCs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noProof/>
        </w:rPr>
        <w:t>[1]</w:t>
      </w:r>
      <w:r w:rsidRPr="001C4E46">
        <w:rPr>
          <w:rStyle w:val="None"/>
          <w:rFonts w:ascii="Times New Roman" w:eastAsia="Calibri" w:hAnsi="Times New Roman" w:cs="Times New Roman"/>
          <w:bCs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bCs/>
          <w:i/>
          <w:iCs/>
        </w:rPr>
        <w:t>.</w:t>
      </w:r>
    </w:p>
    <w:p w14:paraId="129D0344" w14:textId="77777777" w:rsidR="00E36C7C" w:rsidRPr="001C4E46" w:rsidRDefault="00E36C7C" w:rsidP="00E36C7C">
      <w:pPr>
        <w:pStyle w:val="BodyA"/>
        <w:spacing w:after="200"/>
        <w:rPr>
          <w:rStyle w:val="None"/>
          <w:rFonts w:ascii="Times New Roman" w:eastAsia="Calibri" w:hAnsi="Times New Roman" w:cs="Times New Roman"/>
        </w:rPr>
      </w:pPr>
    </w:p>
    <w:p w14:paraId="2C9300F3" w14:textId="77777777" w:rsidR="00E36C7C" w:rsidRPr="001C4E46" w:rsidRDefault="00E36C7C" w:rsidP="00E36C7C">
      <w:pPr>
        <w:pStyle w:val="Heading2"/>
        <w:spacing w:before="0" w:after="200" w:line="480" w:lineRule="auto"/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</w:pPr>
      <w:r w:rsidRPr="001C4E46">
        <w:rPr>
          <w:rStyle w:val="None"/>
          <w:rFonts w:ascii="Times New Roman" w:eastAsia="Calibri" w:hAnsi="Times New Roman" w:cs="Times New Roman"/>
          <w:color w:val="000000"/>
          <w:sz w:val="28"/>
          <w:szCs w:val="22"/>
          <w:u w:color="000000"/>
        </w:rPr>
        <w:t>Duplex PCR</w:t>
      </w:r>
    </w:p>
    <w:p w14:paraId="1E983B6D" w14:textId="3696EC5B" w:rsidR="00E36C7C" w:rsidRPr="001C4E46" w:rsidRDefault="00E36C7C" w:rsidP="00E36C7C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A duplex PCR was carried out to screen for BEC genes </w:t>
      </w:r>
      <w:bookmarkStart w:id="1" w:name="_Hlk525740075"/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becA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</w:rPr>
        <w:t xml:space="preserve">and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becB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bookmarkEnd w:id="1"/>
      <w:r w:rsidRPr="001C4E46">
        <w:rPr>
          <w:rStyle w:val="None"/>
          <w:rFonts w:ascii="Times New Roman" w:eastAsia="Calibri" w:hAnsi="Times New Roman" w:cs="Times New Roman"/>
        </w:rPr>
        <w:t xml:space="preserve">as in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Yonogi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/>
        </w:rPr>
        <w:t>et al</w:t>
      </w:r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</w:rPr>
        <w:instrText xml:space="preserve"> ADDIN EN.CITE </w:instrText>
      </w:r>
      <w:r w:rsidR="00C12104" w:rsidRPr="001C4E46">
        <w:rPr>
          <w:rStyle w:val="None"/>
          <w:rFonts w:ascii="Times New Roman" w:eastAsia="Calibri" w:hAnsi="Times New Roman" w:cs="Times New Roman"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</w:rPr>
        <w:instrText xml:space="preserve"> ADDIN EN.CITE.DATA </w:instrText>
      </w:r>
      <w:r w:rsidR="00C12104" w:rsidRPr="001C4E46">
        <w:rPr>
          <w:rStyle w:val="None"/>
          <w:rFonts w:ascii="Times New Roman" w:eastAsia="Calibri" w:hAnsi="Times New Roman" w:cs="Times New Roman"/>
        </w:rPr>
      </w:r>
      <w:r w:rsidR="00C12104" w:rsidRPr="001C4E46">
        <w:rPr>
          <w:rStyle w:val="None"/>
          <w:rFonts w:ascii="Times New Roman" w:eastAsia="Calibri" w:hAnsi="Times New Roman" w:cs="Times New Roman"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</w:rPr>
      </w:r>
      <w:r w:rsidRPr="001C4E46">
        <w:rPr>
          <w:rStyle w:val="None"/>
          <w:rFonts w:ascii="Times New Roman" w:eastAsia="Calibri" w:hAnsi="Times New Roman" w:cs="Times New Roman"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noProof/>
        </w:rPr>
        <w:t>[2]</w:t>
      </w:r>
      <w:r w:rsidRPr="001C4E46">
        <w:rPr>
          <w:rStyle w:val="None"/>
          <w:rFonts w:ascii="Times New Roman" w:eastAsia="Calibri" w:hAnsi="Times New Roman" w:cs="Times New Roman"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</w:rPr>
        <w:t xml:space="preserve">. Each 25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reaction contained 1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DNA template, 0.5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of each primer (Table 3), 5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5x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Taq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Master </w:t>
      </w:r>
      <w:r w:rsidRPr="001C4E46">
        <w:rPr>
          <w:rStyle w:val="None"/>
          <w:rFonts w:ascii="Times New Roman" w:eastAsia="Calibri" w:hAnsi="Times New Roman" w:cs="Times New Roman"/>
        </w:rPr>
        <w:lastRenderedPageBreak/>
        <w:t xml:space="preserve">Mix (New England Biolabs) and 17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μl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ultra-pure water.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Thermal cycling consisted of initial denaturation at 94 °C for 3 minutes followed by 34 cycles of denaturation at 94 °C for 30 seconds, annealing at 53 °C for 30 seconds, extension at 68 °C for 1 minute, followed by final extension at 68 °C for 5 minutes. </w:t>
      </w:r>
    </w:p>
    <w:p w14:paraId="512C9392" w14:textId="77777777" w:rsidR="00E36C7C" w:rsidRPr="001C4E46" w:rsidRDefault="00E36C7C" w:rsidP="00E36C7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</w:rPr>
      </w:pPr>
      <w:bookmarkStart w:id="2" w:name="_GoBack"/>
      <w:bookmarkEnd w:id="2"/>
    </w:p>
    <w:p w14:paraId="3626331D" w14:textId="77777777" w:rsidR="00E36C7C" w:rsidRPr="001C4E46" w:rsidRDefault="00E36C7C" w:rsidP="00E36C7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  <w:b/>
        </w:rPr>
        <w:t>Table 3. BEC gene duplex p</w:t>
      </w:r>
      <w:r w:rsidRPr="001C4E46">
        <w:rPr>
          <w:rStyle w:val="None"/>
          <w:rFonts w:ascii="Times New Roman" w:eastAsia="Calibri" w:hAnsi="Times New Roman" w:cs="Times New Roman"/>
          <w:b/>
          <w:bCs/>
          <w:iCs/>
        </w:rPr>
        <w:t>rimers.</w:t>
      </w:r>
    </w:p>
    <w:tbl>
      <w:tblPr>
        <w:tblStyle w:val="TableGrid"/>
        <w:tblW w:w="7813" w:type="dxa"/>
        <w:jc w:val="center"/>
        <w:tblLayout w:type="fixed"/>
        <w:tblLook w:val="04A0" w:firstRow="1" w:lastRow="0" w:firstColumn="1" w:lastColumn="0" w:noHBand="0" w:noVBand="1"/>
      </w:tblPr>
      <w:tblGrid>
        <w:gridCol w:w="1972"/>
        <w:gridCol w:w="846"/>
        <w:gridCol w:w="3779"/>
        <w:gridCol w:w="1216"/>
      </w:tblGrid>
      <w:tr w:rsidR="00E36C7C" w:rsidRPr="001C4E46" w14:paraId="219F14AE" w14:textId="77777777" w:rsidTr="00DA7664">
        <w:trPr>
          <w:trHeight w:val="733"/>
          <w:jc w:val="center"/>
        </w:trPr>
        <w:tc>
          <w:tcPr>
            <w:tcW w:w="1972" w:type="dxa"/>
            <w:vAlign w:val="center"/>
          </w:tcPr>
          <w:p w14:paraId="7283A8AA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Primer</w:t>
            </w:r>
          </w:p>
        </w:tc>
        <w:tc>
          <w:tcPr>
            <w:tcW w:w="846" w:type="dxa"/>
            <w:vAlign w:val="center"/>
          </w:tcPr>
          <w:p w14:paraId="3FEA6663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Gene</w:t>
            </w:r>
          </w:p>
        </w:tc>
        <w:tc>
          <w:tcPr>
            <w:tcW w:w="3779" w:type="dxa"/>
            <w:vAlign w:val="center"/>
          </w:tcPr>
          <w:p w14:paraId="1E66BBB5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Sequence (5’-3’)</w:t>
            </w:r>
          </w:p>
        </w:tc>
        <w:tc>
          <w:tcPr>
            <w:tcW w:w="1216" w:type="dxa"/>
            <w:vAlign w:val="center"/>
          </w:tcPr>
          <w:p w14:paraId="663BDD20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Product length (bp)</w:t>
            </w:r>
          </w:p>
        </w:tc>
      </w:tr>
      <w:tr w:rsidR="00E36C7C" w:rsidRPr="001C4E46" w14:paraId="2A82B138" w14:textId="77777777" w:rsidTr="00DA7664">
        <w:trPr>
          <w:trHeight w:val="288"/>
          <w:jc w:val="center"/>
        </w:trPr>
        <w:tc>
          <w:tcPr>
            <w:tcW w:w="1972" w:type="dxa"/>
            <w:vAlign w:val="center"/>
          </w:tcPr>
          <w:p w14:paraId="6EE91AF2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F</w:t>
            </w:r>
          </w:p>
        </w:tc>
        <w:tc>
          <w:tcPr>
            <w:tcW w:w="846" w:type="dxa"/>
            <w:vMerge w:val="restart"/>
            <w:vAlign w:val="center"/>
          </w:tcPr>
          <w:p w14:paraId="7FBB978B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becA</w:t>
            </w:r>
            <w:proofErr w:type="spellEnd"/>
          </w:p>
        </w:tc>
        <w:tc>
          <w:tcPr>
            <w:tcW w:w="3779" w:type="dxa"/>
            <w:vAlign w:val="center"/>
          </w:tcPr>
          <w:p w14:paraId="5AB1A369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caatggggcgaagaaaatta</w:t>
            </w:r>
          </w:p>
        </w:tc>
        <w:tc>
          <w:tcPr>
            <w:tcW w:w="1216" w:type="dxa"/>
            <w:vMerge w:val="restart"/>
            <w:vAlign w:val="center"/>
          </w:tcPr>
          <w:p w14:paraId="6BD6CCFB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324</w:t>
            </w:r>
          </w:p>
        </w:tc>
      </w:tr>
      <w:tr w:rsidR="00E36C7C" w:rsidRPr="001C4E46" w14:paraId="73144F5F" w14:textId="77777777" w:rsidTr="00DA7664">
        <w:trPr>
          <w:trHeight w:val="285"/>
          <w:jc w:val="center"/>
        </w:trPr>
        <w:tc>
          <w:tcPr>
            <w:tcW w:w="1972" w:type="dxa"/>
            <w:vAlign w:val="center"/>
          </w:tcPr>
          <w:p w14:paraId="72D58AE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R</w:t>
            </w:r>
          </w:p>
        </w:tc>
        <w:tc>
          <w:tcPr>
            <w:tcW w:w="846" w:type="dxa"/>
            <w:vMerge/>
            <w:vAlign w:val="center"/>
          </w:tcPr>
          <w:p w14:paraId="053DDC44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9" w:type="dxa"/>
            <w:vAlign w:val="center"/>
          </w:tcPr>
          <w:p w14:paraId="3137E05D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aaccatgatcaattaaaacctca</w:t>
            </w:r>
          </w:p>
        </w:tc>
        <w:tc>
          <w:tcPr>
            <w:tcW w:w="1216" w:type="dxa"/>
            <w:vMerge/>
            <w:vAlign w:val="center"/>
          </w:tcPr>
          <w:p w14:paraId="47A72A73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  <w:tr w:rsidR="00E36C7C" w:rsidRPr="001C4E46" w14:paraId="5542C476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6D35E84B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F</w:t>
            </w:r>
          </w:p>
        </w:tc>
        <w:tc>
          <w:tcPr>
            <w:tcW w:w="846" w:type="dxa"/>
            <w:vMerge w:val="restart"/>
            <w:vAlign w:val="center"/>
          </w:tcPr>
          <w:p w14:paraId="481D7DF5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</w:rPr>
              <w:t>becB</w:t>
            </w:r>
            <w:proofErr w:type="spellEnd"/>
          </w:p>
        </w:tc>
        <w:tc>
          <w:tcPr>
            <w:tcW w:w="3779" w:type="dxa"/>
            <w:vAlign w:val="center"/>
          </w:tcPr>
          <w:p w14:paraId="2E75EB75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tgcaaatgacccttacactga</w:t>
            </w:r>
          </w:p>
        </w:tc>
        <w:tc>
          <w:tcPr>
            <w:tcW w:w="1216" w:type="dxa"/>
            <w:vMerge w:val="restart"/>
            <w:vAlign w:val="center"/>
          </w:tcPr>
          <w:p w14:paraId="7CD6BDF8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</w:rPr>
              <w:t>195</w:t>
            </w:r>
          </w:p>
        </w:tc>
      </w:tr>
      <w:tr w:rsidR="00E36C7C" w:rsidRPr="001C4E46" w14:paraId="50995A21" w14:textId="77777777" w:rsidTr="00DA7664">
        <w:trPr>
          <w:trHeight w:val="280"/>
          <w:jc w:val="center"/>
        </w:trPr>
        <w:tc>
          <w:tcPr>
            <w:tcW w:w="1972" w:type="dxa"/>
            <w:vAlign w:val="center"/>
          </w:tcPr>
          <w:p w14:paraId="7D77B5F6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>becB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</w:rPr>
              <w:t xml:space="preserve"> R</w:t>
            </w:r>
          </w:p>
        </w:tc>
        <w:tc>
          <w:tcPr>
            <w:tcW w:w="846" w:type="dxa"/>
            <w:vMerge/>
            <w:vAlign w:val="center"/>
          </w:tcPr>
          <w:p w14:paraId="748C8910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779" w:type="dxa"/>
            <w:vAlign w:val="center"/>
          </w:tcPr>
          <w:p w14:paraId="4E731DD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caps/>
              </w:rPr>
              <w:t>agattggagcagagccagaa</w:t>
            </w:r>
          </w:p>
        </w:tc>
        <w:tc>
          <w:tcPr>
            <w:tcW w:w="1216" w:type="dxa"/>
            <w:vMerge/>
            <w:vAlign w:val="center"/>
          </w:tcPr>
          <w:p w14:paraId="314C20F6" w14:textId="77777777" w:rsidR="00E36C7C" w:rsidRPr="001C4E46" w:rsidRDefault="00E36C7C" w:rsidP="00DA766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62378E2" w14:textId="77777777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bCs/>
          <w:iCs/>
        </w:rPr>
      </w:pPr>
    </w:p>
    <w:p w14:paraId="39E14839" w14:textId="64C73904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  <w:bCs/>
          <w:iCs/>
        </w:rPr>
        <w:t xml:space="preserve">Primer pairs used in the duplex PCR to target </w:t>
      </w:r>
      <w:proofErr w:type="spellStart"/>
      <w:r w:rsidRPr="001C4E46">
        <w:rPr>
          <w:rStyle w:val="None"/>
          <w:rFonts w:ascii="Times New Roman" w:eastAsia="Calibri" w:hAnsi="Times New Roman" w:cs="Times New Roman"/>
          <w:bCs/>
          <w:iCs/>
        </w:rPr>
        <w:t>becA</w:t>
      </w:r>
      <w:proofErr w:type="spellEnd"/>
      <w:r w:rsidRPr="001C4E46">
        <w:rPr>
          <w:rStyle w:val="None"/>
          <w:rFonts w:ascii="Times New Roman" w:eastAsia="Calibri" w:hAnsi="Times New Roman" w:cs="Times New Roman"/>
          <w:bCs/>
          <w:iCs/>
        </w:rPr>
        <w:t xml:space="preserve">/B toxin genes, the oligonucleotide sequence of the primers, and expected product size </w:t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instrText xml:space="preserve"> ADDIN EN.CITE </w:instrText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begin">
          <w:fldData xml:space="preserve">PEVuZE5vdGU+PENpdGU+PEF1dGhvcj5Zb25vZ2k8L0F1dGhvcj48WWVhcj4yMDE0PC9ZZWFyPjxS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==
</w:fldData>
        </w:fldChar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instrText xml:space="preserve"> ADDIN EN.CITE.DATA </w:instrText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bCs/>
          <w:iCs/>
          <w:caps/>
          <w:noProof/>
        </w:rPr>
        <w:t>[2]</w:t>
      </w:r>
      <w:r w:rsidRPr="001C4E46">
        <w:rPr>
          <w:rStyle w:val="None"/>
          <w:rFonts w:ascii="Times New Roman" w:eastAsia="Calibri" w:hAnsi="Times New Roman" w:cs="Times New Roman"/>
          <w:bCs/>
          <w:iCs/>
          <w:caps/>
        </w:rPr>
        <w:fldChar w:fldCharType="end"/>
      </w:r>
    </w:p>
    <w:p w14:paraId="129C8F8C" w14:textId="77777777" w:rsidR="00E36C7C" w:rsidRPr="001C4E46" w:rsidRDefault="00E36C7C" w:rsidP="00E36C7C">
      <w:pPr>
        <w:pStyle w:val="BodyA"/>
        <w:widowControl w:val="0"/>
        <w:spacing w:after="200" w:line="480" w:lineRule="auto"/>
        <w:ind w:left="108" w:hanging="108"/>
        <w:rPr>
          <w:rStyle w:val="None"/>
          <w:rFonts w:ascii="Times New Roman" w:eastAsia="Calibri" w:hAnsi="Times New Roman" w:cs="Times New Roman"/>
        </w:rPr>
      </w:pPr>
    </w:p>
    <w:p w14:paraId="1B3BA35C" w14:textId="77777777" w:rsidR="00E36C7C" w:rsidRPr="001C4E46" w:rsidRDefault="00E36C7C" w:rsidP="00E36C7C">
      <w:pPr>
        <w:pStyle w:val="Heading"/>
        <w:spacing w:after="200" w:line="480" w:lineRule="auto"/>
        <w:rPr>
          <w:rStyle w:val="None"/>
          <w:rFonts w:eastAsia="Calibri" w:cs="Times New Roman"/>
          <w:sz w:val="28"/>
          <w:szCs w:val="22"/>
        </w:rPr>
      </w:pPr>
      <w:r w:rsidRPr="001C4E46">
        <w:rPr>
          <w:rStyle w:val="None"/>
          <w:rFonts w:eastAsia="Calibri" w:cs="Times New Roman"/>
          <w:sz w:val="28"/>
          <w:szCs w:val="22"/>
        </w:rPr>
        <w:t xml:space="preserve">Single PCR </w:t>
      </w:r>
    </w:p>
    <w:p w14:paraId="59F6CE6C" w14:textId="77777777" w:rsidR="00E36C7C" w:rsidRPr="001C4E46" w:rsidRDefault="00E36C7C" w:rsidP="00E36C7C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  <w:shd w:val="clear" w:color="auto" w:fill="FFFFFF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Single PCRs were carried out for </w:t>
      </w:r>
      <w:bookmarkStart w:id="3" w:name="_Hlk525740090"/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, and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</w:t>
      </w:r>
      <w:bookmarkEnd w:id="3"/>
      <w:r w:rsidRPr="001C4E46">
        <w:rPr>
          <w:rStyle w:val="None"/>
          <w:rFonts w:ascii="Times New Roman" w:eastAsia="Calibri" w:hAnsi="Times New Roman" w:cs="Times New Roman"/>
        </w:rPr>
        <w:t xml:space="preserve">genes using the primers shown in table 4. The following PCR reaction mix was used: 0.5 µl of each primer (Table 4), </w:t>
      </w:r>
      <w:r w:rsidRPr="001C4E46">
        <w:rPr>
          <w:rStyle w:val="None"/>
          <w:rFonts w:ascii="Times New Roman" w:eastAsia="Calibri" w:hAnsi="Times New Roman" w:cs="Times New Roman"/>
          <w:lang w:val="en-GB"/>
        </w:rPr>
        <w:t xml:space="preserve">5 </w:t>
      </w:r>
      <w:r w:rsidRPr="001C4E46">
        <w:rPr>
          <w:rStyle w:val="None"/>
          <w:rFonts w:ascii="Times New Roman" w:eastAsia="Calibri" w:hAnsi="Times New Roman" w:cs="Times New Roman"/>
        </w:rPr>
        <w:t>µl</w:t>
      </w:r>
      <w:r w:rsidRPr="001C4E46">
        <w:rPr>
          <w:rStyle w:val="None"/>
          <w:rFonts w:ascii="Times New Roman" w:eastAsia="Calibri" w:hAnsi="Times New Roman" w:cs="Times New Roman"/>
          <w:lang w:val="fr-FR"/>
        </w:rPr>
        <w:t xml:space="preserve"> 5x </w:t>
      </w:r>
      <w:r w:rsidRPr="001C4E46">
        <w:rPr>
          <w:rStyle w:val="None"/>
          <w:rFonts w:ascii="Times New Roman" w:eastAsia="Calibri" w:hAnsi="Times New Roman" w:cs="Times New Roman"/>
          <w:lang w:val="it-IT"/>
        </w:rPr>
        <w:t xml:space="preserve">Taq </w:t>
      </w:r>
      <w:r w:rsidRPr="001C4E46">
        <w:rPr>
          <w:rStyle w:val="None"/>
          <w:rFonts w:ascii="Times New Roman" w:eastAsia="Calibri" w:hAnsi="Times New Roman" w:cs="Times New Roman"/>
        </w:rPr>
        <w:t xml:space="preserve">Master Mix (New England Biolabs, UK), 1 µl template DNA and 18 µl of ultra-pure water.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Thermal cycling settings for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 consisted of initial denaturation at 94 °C for 3 minutes followed by 34 cycles of denaturation at 94 °C for 30 seconds, annealing at 55 °C for 30 seconds, extension at 68 °C for 1 minute, followed by final extension at 68 °C for 5 minutes. Thermal cycling settings for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  <w:shd w:val="clear" w:color="auto" w:fill="FFFFFF"/>
        </w:rPr>
        <w:t>and</w:t>
      </w:r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  <w:i/>
          <w:iCs/>
          <w:shd w:val="clear" w:color="auto" w:fill="FFFFFF"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shd w:val="clear" w:color="auto" w:fill="FFFFFF"/>
        </w:rPr>
        <w:t xml:space="preserve">consisted of initial denaturation at 94 °C for 2 minutes followed by 34 cycles of denaturation at 94 °C for 30 seconds, annealing at 55 °C for 1 minute, extension at 68 °C for 1 minute, followed by final extension at 68 °C for 8 minutes. </w:t>
      </w:r>
    </w:p>
    <w:p w14:paraId="6C59E271" w14:textId="77777777" w:rsidR="00E36C7C" w:rsidRPr="001C4E46" w:rsidRDefault="00E36C7C" w:rsidP="00E36C7C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  <w:b/>
        </w:rPr>
      </w:pPr>
      <w:r w:rsidRPr="001C4E46">
        <w:rPr>
          <w:rStyle w:val="None"/>
          <w:rFonts w:ascii="Times New Roman" w:eastAsia="Calibri" w:hAnsi="Times New Roman" w:cs="Times New Roman"/>
          <w:b/>
          <w:shd w:val="clear" w:color="auto" w:fill="FFFFFF"/>
        </w:rPr>
        <w:t>Table 4. Single PCR p</w:t>
      </w:r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rimers for </w:t>
      </w:r>
      <w:proofErr w:type="spellStart"/>
      <w:r w:rsidRPr="001C4E46">
        <w:rPr>
          <w:rStyle w:val="None"/>
          <w:rFonts w:ascii="Times New Roman" w:eastAsia="Calibri" w:hAnsi="Times New Roman" w:cs="Times New Roman"/>
          <w:b/>
          <w:i/>
          <w:iCs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b/>
          <w:i/>
          <w:iCs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 and </w:t>
      </w:r>
      <w:proofErr w:type="spellStart"/>
      <w:r w:rsidRPr="001C4E46">
        <w:rPr>
          <w:rStyle w:val="None"/>
          <w:rFonts w:ascii="Times New Roman" w:eastAsia="Calibri" w:hAnsi="Times New Roman" w:cs="Times New Roman"/>
          <w:b/>
          <w:i/>
          <w:iCs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  <w:b/>
          <w:iCs/>
        </w:rPr>
        <w:t xml:space="preserve">. </w:t>
      </w:r>
    </w:p>
    <w:tbl>
      <w:tblPr>
        <w:tblStyle w:val="TableGrid"/>
        <w:tblW w:w="7806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850"/>
        <w:gridCol w:w="3773"/>
        <w:gridCol w:w="1210"/>
      </w:tblGrid>
      <w:tr w:rsidR="00E36C7C" w:rsidRPr="001C4E46" w14:paraId="5B974067" w14:textId="77777777" w:rsidTr="00DA7664">
        <w:trPr>
          <w:trHeight w:val="733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4F5107C1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lastRenderedPageBreak/>
              <w:t>Primer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A356F2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Gene</w:t>
            </w:r>
          </w:p>
        </w:tc>
        <w:tc>
          <w:tcPr>
            <w:tcW w:w="3773" w:type="dxa"/>
            <w:shd w:val="clear" w:color="auto" w:fill="auto"/>
            <w:vAlign w:val="center"/>
          </w:tcPr>
          <w:p w14:paraId="7F4B67F6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Sequence (5’-3’)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0AE057DC" w14:textId="77777777" w:rsidR="00E36C7C" w:rsidRPr="001C4E46" w:rsidRDefault="00E36C7C" w:rsidP="00DA7664">
            <w:pPr>
              <w:pStyle w:val="TableStyle1A"/>
              <w:jc w:val="center"/>
              <w:rPr>
                <w:rStyle w:val="None"/>
                <w:rFonts w:eastAsia="Calibri" w:cs="Times New Roman"/>
                <w:b w:val="0"/>
                <w:bCs w:val="0"/>
                <w:szCs w:val="22"/>
              </w:rPr>
            </w:pPr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Product length (bp)</w:t>
            </w:r>
          </w:p>
        </w:tc>
      </w:tr>
      <w:tr w:rsidR="00E36C7C" w:rsidRPr="001C4E46" w14:paraId="5F7A20EB" w14:textId="77777777" w:rsidTr="00DA7664">
        <w:trPr>
          <w:trHeight w:val="288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548E9312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netB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F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CAD09B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  <w:szCs w:val="22"/>
              </w:rPr>
              <w:t>netB</w:t>
            </w:r>
            <w:proofErr w:type="spellEnd"/>
          </w:p>
        </w:tc>
        <w:tc>
          <w:tcPr>
            <w:tcW w:w="3773" w:type="dxa"/>
            <w:shd w:val="clear" w:color="auto" w:fill="auto"/>
            <w:vAlign w:val="center"/>
          </w:tcPr>
          <w:p w14:paraId="155A3B60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CGCTTCACATAAAGGTTGGAAGGC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41A48474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316</w:t>
            </w:r>
          </w:p>
        </w:tc>
      </w:tr>
      <w:tr w:rsidR="00E36C7C" w:rsidRPr="001C4E46" w14:paraId="7C062C2E" w14:textId="77777777" w:rsidTr="00DA7664">
        <w:trPr>
          <w:trHeight w:val="285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6B4DBBD9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netB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R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02C63ED" w14:textId="77777777" w:rsidR="00E36C7C" w:rsidRPr="001C4E46" w:rsidRDefault="00E36C7C" w:rsidP="00DA7664">
            <w:pPr>
              <w:jc w:val="center"/>
              <w:rPr>
                <w:sz w:val="20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14:paraId="62024ABF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TCCAGCACCAGCAGTTTTTCCT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0CFA5E73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</w:p>
        </w:tc>
      </w:tr>
      <w:tr w:rsidR="00E36C7C" w:rsidRPr="001C4E46" w14:paraId="2403578E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13D9C8B7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pfoA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F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24F5CC74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  <w:szCs w:val="22"/>
              </w:rPr>
              <w:t>pfoA</w:t>
            </w:r>
            <w:proofErr w:type="spellEnd"/>
          </w:p>
        </w:tc>
        <w:tc>
          <w:tcPr>
            <w:tcW w:w="3773" w:type="dxa"/>
            <w:shd w:val="clear" w:color="auto" w:fill="auto"/>
            <w:vAlign w:val="center"/>
          </w:tcPr>
          <w:p w14:paraId="04B14BEC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CAAGTATTGCAATGGCTTTATGTCTG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20BA3EAE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866</w:t>
            </w:r>
          </w:p>
        </w:tc>
      </w:tr>
      <w:tr w:rsidR="00E36C7C" w:rsidRPr="001C4E46" w14:paraId="72471960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2F429ADC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pfoA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R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93BAD36" w14:textId="77777777" w:rsidR="00E36C7C" w:rsidRPr="001C4E46" w:rsidRDefault="00E36C7C" w:rsidP="00DA7664">
            <w:pPr>
              <w:jc w:val="center"/>
              <w:rPr>
                <w:sz w:val="20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14:paraId="7170A870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CTTTATAAGAGCTTTGAAAGCAGCTTG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09FAB6E5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</w:p>
        </w:tc>
      </w:tr>
      <w:tr w:rsidR="00E36C7C" w:rsidRPr="001C4E46" w14:paraId="56F6D952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2CA55BD5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colA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F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5EC0B9D7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C4E46">
              <w:rPr>
                <w:rStyle w:val="None"/>
                <w:rFonts w:ascii="Times New Roman" w:eastAsia="Calibri" w:hAnsi="Times New Roman" w:cs="Times New Roman"/>
                <w:i/>
                <w:iCs/>
                <w:szCs w:val="22"/>
              </w:rPr>
              <w:t>colA</w:t>
            </w:r>
            <w:proofErr w:type="spellEnd"/>
          </w:p>
        </w:tc>
        <w:tc>
          <w:tcPr>
            <w:tcW w:w="3773" w:type="dxa"/>
            <w:shd w:val="clear" w:color="auto" w:fill="auto"/>
            <w:vAlign w:val="center"/>
          </w:tcPr>
          <w:p w14:paraId="22A6678A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ATTAGAAAGTTTATGTACAATAGGTG</w:t>
            </w:r>
          </w:p>
        </w:tc>
        <w:tc>
          <w:tcPr>
            <w:tcW w:w="1210" w:type="dxa"/>
            <w:vMerge w:val="restart"/>
            <w:shd w:val="clear" w:color="auto" w:fill="auto"/>
            <w:vAlign w:val="center"/>
          </w:tcPr>
          <w:p w14:paraId="64DEEB54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816</w:t>
            </w:r>
          </w:p>
        </w:tc>
      </w:tr>
      <w:tr w:rsidR="00E36C7C" w:rsidRPr="001C4E46" w14:paraId="481B82CF" w14:textId="77777777" w:rsidTr="00DA7664">
        <w:trPr>
          <w:trHeight w:val="280"/>
          <w:jc w:val="center"/>
        </w:trPr>
        <w:tc>
          <w:tcPr>
            <w:tcW w:w="1973" w:type="dxa"/>
            <w:shd w:val="clear" w:color="auto" w:fill="auto"/>
            <w:vAlign w:val="center"/>
          </w:tcPr>
          <w:p w14:paraId="56FBF687" w14:textId="77777777" w:rsidR="00E36C7C" w:rsidRPr="001C4E46" w:rsidRDefault="00E36C7C" w:rsidP="00DA7664">
            <w:pPr>
              <w:pStyle w:val="TableStyle1A"/>
              <w:jc w:val="center"/>
              <w:rPr>
                <w:rFonts w:cs="Times New Roman"/>
              </w:rPr>
            </w:pPr>
            <w:proofErr w:type="spellStart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>colA</w:t>
            </w:r>
            <w:proofErr w:type="spellEnd"/>
            <w:r w:rsidRPr="001C4E46">
              <w:rPr>
                <w:rStyle w:val="None"/>
                <w:rFonts w:eastAsia="Calibri" w:cs="Times New Roman"/>
                <w:b w:val="0"/>
                <w:bCs w:val="0"/>
                <w:szCs w:val="22"/>
              </w:rPr>
              <w:t xml:space="preserve"> R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1B2D8DC9" w14:textId="77777777" w:rsidR="00E36C7C" w:rsidRPr="001C4E46" w:rsidRDefault="00E36C7C" w:rsidP="00DA7664">
            <w:pPr>
              <w:jc w:val="center"/>
              <w:rPr>
                <w:sz w:val="20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14:paraId="3DA50B59" w14:textId="77777777" w:rsidR="00E36C7C" w:rsidRPr="001C4E46" w:rsidRDefault="00E36C7C" w:rsidP="00DA7664">
            <w:pPr>
              <w:pStyle w:val="TableStyle2A"/>
              <w:jc w:val="center"/>
              <w:rPr>
                <w:rFonts w:ascii="Times New Roman" w:hAnsi="Times New Roman" w:cs="Times New Roman"/>
              </w:rPr>
            </w:pPr>
            <w:r w:rsidRPr="001C4E46">
              <w:rPr>
                <w:rStyle w:val="None"/>
                <w:rFonts w:ascii="Times New Roman" w:eastAsia="Calibri" w:hAnsi="Times New Roman" w:cs="Times New Roman"/>
                <w:szCs w:val="22"/>
              </w:rPr>
              <w:t>AAGACATTCTATTATTTCTATCGTAAGC</w:t>
            </w:r>
          </w:p>
        </w:tc>
        <w:tc>
          <w:tcPr>
            <w:tcW w:w="1210" w:type="dxa"/>
            <w:vMerge/>
            <w:shd w:val="clear" w:color="auto" w:fill="auto"/>
            <w:vAlign w:val="center"/>
          </w:tcPr>
          <w:p w14:paraId="7FB11910" w14:textId="77777777" w:rsidR="00E36C7C" w:rsidRPr="001C4E46" w:rsidRDefault="00E36C7C" w:rsidP="00DA7664">
            <w:pPr>
              <w:pStyle w:val="TableStyle2A"/>
              <w:jc w:val="center"/>
              <w:rPr>
                <w:rStyle w:val="None"/>
                <w:rFonts w:ascii="Times New Roman" w:eastAsia="Calibri" w:hAnsi="Times New Roman" w:cs="Times New Roman"/>
                <w:szCs w:val="22"/>
              </w:rPr>
            </w:pPr>
          </w:p>
        </w:tc>
      </w:tr>
    </w:tbl>
    <w:p w14:paraId="62760CC0" w14:textId="77777777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iCs/>
          <w:sz w:val="20"/>
        </w:rPr>
      </w:pPr>
    </w:p>
    <w:p w14:paraId="65D3FB83" w14:textId="5002E24F" w:rsidR="00E36C7C" w:rsidRPr="001C4E46" w:rsidRDefault="00E36C7C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iCs/>
        </w:rPr>
      </w:pPr>
      <w:r w:rsidRPr="001C4E46">
        <w:rPr>
          <w:rStyle w:val="None"/>
          <w:rFonts w:ascii="Times New Roman" w:eastAsia="Calibri" w:hAnsi="Times New Roman" w:cs="Times New Roman"/>
          <w:iCs/>
        </w:rPr>
        <w:t xml:space="preserve">Primer pairs used in individual PCRs to target </w:t>
      </w:r>
      <w:proofErr w:type="spellStart"/>
      <w:r w:rsidRPr="001C4E46">
        <w:rPr>
          <w:rStyle w:val="None"/>
          <w:rFonts w:ascii="Times New Roman" w:eastAsia="Calibri" w:hAnsi="Times New Roman" w:cs="Times New Roman"/>
          <w:iCs/>
        </w:rPr>
        <w:t>netB</w:t>
      </w:r>
      <w:proofErr w:type="spellEnd"/>
      <w:r w:rsidRPr="001C4E46">
        <w:rPr>
          <w:rStyle w:val="None"/>
          <w:rFonts w:ascii="Times New Roman" w:eastAsia="Calibri" w:hAnsi="Times New Roman" w:cs="Times New Roman"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iCs/>
        </w:rPr>
        <w:instrText xml:space="preserve"> ADDIN EN.CITE &lt;EndNote&gt;&lt;Cite&gt;&lt;Author&gt;Keyburn&lt;/Author&gt;&lt;Year&gt;2008&lt;/Year&gt;&lt;RecNum&gt;1077&lt;/RecNum&gt;&lt;DisplayText&gt;[3]&lt;/DisplayText&gt;&lt;record&gt;&lt;rec-number&gt;1077&lt;/rec-number&gt;&lt;foreign-keys&gt;&lt;key app="EN" db-id="0e5tztt9haatrser09pvxtrd25xapavpatt0"&gt;1077&lt;/key&gt;&lt;/foreign-keys&gt;&lt;ref-type name="Journal Article"&gt;17&lt;/ref-type&gt;&lt;contributors&gt;&lt;authors&gt;&lt;author&gt;Keyburn, Anthony L.&lt;/author&gt;&lt;author&gt;Boyce, John D.&lt;/author&gt;&lt;author&gt;Vaz, Paola&lt;/author&gt;&lt;author&gt;Bannam, Trudi L.&lt;/author&gt;&lt;author&gt;Ford, Mark E.&lt;/author&gt;&lt;author&gt;Parker, Dane&lt;/author&gt;&lt;author&gt;Di Rubbo, Antonio&lt;/author&gt;&lt;author&gt;Rood, Julian I.&lt;/author&gt;&lt;author&gt;Moore, Robert J.&lt;/author&gt;&lt;/authors&gt;&lt;/contributors&gt;&lt;titles&gt;&lt;title&gt;NetB, a New Toxin That Is Associated with Avian Necrotic Enteritis Caused by Clostridium perfringens&lt;/title&gt;&lt;secondary-title&gt;PLoS Pathogens&lt;/secondary-title&gt;&lt;/titles&gt;&lt;periodical&gt;&lt;full-title&gt;PLoS Pathogens&lt;/full-title&gt;&lt;/periodical&gt;&lt;pages&gt;e26&lt;/pages&gt;&lt;volume&gt;4&lt;/volume&gt;&lt;number&gt;2&lt;/number&gt;&lt;dates&gt;&lt;year&gt;2008&lt;/year&gt;&lt;pub-dates&gt;&lt;date&gt;02/08&amp;#xD;09/18/received&amp;#xD;12/22/accepted&lt;/date&gt;&lt;/pub-dates&gt;&lt;/dates&gt;&lt;pub-location&gt;San Francisco, USA&lt;/pub-location&gt;&lt;publisher&gt;Public Library of Science&lt;/publisher&gt;&lt;isbn&gt;1553-7366&amp;#xD;1553-7374&lt;/isbn&gt;&lt;accession-num&gt;PMC2233674&lt;/accession-num&gt;&lt;urls&gt;&lt;related-urls&gt;&lt;url&gt;http://www.ncbi.nlm.nih.gov/pmc/articles/PMC2233674/&lt;/url&gt;&lt;/related-urls&gt;&lt;/urls&gt;&lt;electronic-resource-num&gt;10.1371/journal.ppat.0040026&lt;/electronic-resource-num&gt;&lt;remote-database-name&gt;PMC&lt;/remote-database-name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iCs/>
          <w:noProof/>
        </w:rPr>
        <w:t>[3]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iCs/>
        </w:rPr>
        <w:t xml:space="preserve">, </w:t>
      </w:r>
      <w:proofErr w:type="spellStart"/>
      <w:r w:rsidRPr="001C4E46">
        <w:rPr>
          <w:rStyle w:val="None"/>
          <w:rFonts w:ascii="Times New Roman" w:eastAsia="Calibri" w:hAnsi="Times New Roman" w:cs="Times New Roman"/>
          <w:iCs/>
        </w:rPr>
        <w:t>pfoA</w:t>
      </w:r>
      <w:proofErr w:type="spellEnd"/>
      <w:r w:rsidRPr="001C4E46">
        <w:rPr>
          <w:rStyle w:val="None"/>
          <w:rFonts w:ascii="Times New Roman" w:eastAsia="Calibri" w:hAnsi="Times New Roman" w:cs="Times New Roman"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iCs/>
        </w:rPr>
        <w:instrText xml:space="preserve"> ADDIN EN.CITE &lt;EndNote&gt;&lt;Cite&gt;&lt;Author&gt;Deguchi&lt;/Author&gt;&lt;Year&gt;2009&lt;/Year&gt;&lt;RecNum&gt;1089&lt;/RecNum&gt;&lt;DisplayText&gt;[4]&lt;/DisplayText&gt;&lt;record&gt;&lt;rec-number&gt;1089&lt;/rec-number&gt;&lt;foreign-keys&gt;&lt;key app="EN" db-id="0e5tztt9haatrser09pvxtrd25xapavpatt0"&gt;1089&lt;/key&gt;&lt;/foreign-keys&gt;&lt;ref-type name="Journal Article"&gt;17&lt;/ref-type&gt;&lt;contributors&gt;&lt;authors&gt;&lt;author&gt;Deguchi, Agi&lt;/author&gt;&lt;author&gt;Miyamoto, Kazuaki&lt;/author&gt;&lt;author&gt;Kuwahara, Tomomi&lt;/author&gt;&lt;author&gt;Miki, Yasuhiro&lt;/author&gt;&lt;author&gt;Kaneko, Ikuko&lt;/author&gt;&lt;author&gt;Li, Jihong&lt;/author&gt;&lt;author&gt;McClane, Bruce A.&lt;/author&gt;&lt;author&gt;Akimoto, Shigeru&lt;/author&gt;&lt;/authors&gt;&lt;/contributors&gt;&lt;titles&gt;&lt;title&gt;Genetic Characterization of Type A Enterotoxigenic Clostridium perfringens Strains&lt;/title&gt;&lt;secondary-title&gt;PLOS ONE&lt;/secondary-title&gt;&lt;/titles&gt;&lt;periodical&gt;&lt;full-title&gt;PLoS ONE&lt;/full-title&gt;&lt;/periodical&gt;&lt;pages&gt;e5598&lt;/pages&gt;&lt;volume&gt;4&lt;/volume&gt;&lt;number&gt;5&lt;/number&gt;&lt;dates&gt;&lt;year&gt;2009&lt;/year&gt;&lt;/dates&gt;&lt;publisher&gt;Public Library of Science&lt;/publisher&gt;&lt;urls&gt;&lt;related-urls&gt;&lt;url&gt;https://doi.org/10.1371/journal.pone.0005598&lt;/url&gt;&lt;/related-urls&gt;&lt;/urls&gt;&lt;electronic-resource-num&gt;10.1371/journal.pone.0005598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iCs/>
          <w:noProof/>
        </w:rPr>
        <w:t>[4]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iCs/>
        </w:rPr>
        <w:t xml:space="preserve"> and </w:t>
      </w:r>
      <w:proofErr w:type="spellStart"/>
      <w:r w:rsidRPr="001C4E46">
        <w:rPr>
          <w:rStyle w:val="None"/>
          <w:rFonts w:ascii="Times New Roman" w:eastAsia="Calibri" w:hAnsi="Times New Roman" w:cs="Times New Roman"/>
          <w:iCs/>
        </w:rPr>
        <w:t>colA</w:t>
      </w:r>
      <w:proofErr w:type="spellEnd"/>
      <w:r w:rsidRPr="001C4E46">
        <w:rPr>
          <w:rStyle w:val="None"/>
          <w:rFonts w:ascii="Times New Roman" w:eastAsia="Calibri" w:hAnsi="Times New Roman" w:cs="Times New Roman"/>
          <w:iCs/>
        </w:rPr>
        <w:t xml:space="preserve"> 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begin"/>
      </w:r>
      <w:r w:rsidR="00C12104" w:rsidRPr="001C4E46">
        <w:rPr>
          <w:rStyle w:val="None"/>
          <w:rFonts w:ascii="Times New Roman" w:eastAsia="Calibri" w:hAnsi="Times New Roman" w:cs="Times New Roman"/>
          <w:iCs/>
        </w:rPr>
        <w:instrText xml:space="preserve"> ADDIN EN.CITE &lt;EndNote&gt;&lt;Cite&gt;&lt;Author&gt;Deguchi&lt;/Author&gt;&lt;Year&gt;2009&lt;/Year&gt;&lt;RecNum&gt;1089&lt;/RecNum&gt;&lt;DisplayText&gt;[4]&lt;/DisplayText&gt;&lt;record&gt;&lt;rec-number&gt;1089&lt;/rec-number&gt;&lt;foreign-keys&gt;&lt;key app="EN" db-id="0e5tztt9haatrser09pvxtrd25xapavpatt0"&gt;1089&lt;/key&gt;&lt;/foreign-keys&gt;&lt;ref-type name="Journal Article"&gt;17&lt;/ref-type&gt;&lt;contributors&gt;&lt;authors&gt;&lt;author&gt;Deguchi, Agi&lt;/author&gt;&lt;author&gt;Miyamoto, Kazuaki&lt;/author&gt;&lt;author&gt;Kuwahara, Tomomi&lt;/author&gt;&lt;author&gt;Miki, Yasuhiro&lt;/author&gt;&lt;author&gt;Kaneko, Ikuko&lt;/author&gt;&lt;author&gt;Li, Jihong&lt;/author&gt;&lt;author&gt;McClane, Bruce A.&lt;/author&gt;&lt;author&gt;Akimoto, Shigeru&lt;/author&gt;&lt;/authors&gt;&lt;/contributors&gt;&lt;titles&gt;&lt;title&gt;Genetic Characterization of Type A Enterotoxigenic Clostridium perfringens Strains&lt;/title&gt;&lt;secondary-title&gt;PLOS ONE&lt;/secondary-title&gt;&lt;/titles&gt;&lt;periodical&gt;&lt;full-title&gt;PLoS ONE&lt;/full-title&gt;&lt;/periodical&gt;&lt;pages&gt;e5598&lt;/pages&gt;&lt;volume&gt;4&lt;/volume&gt;&lt;number&gt;5&lt;/number&gt;&lt;dates&gt;&lt;year&gt;2009&lt;/year&gt;&lt;/dates&gt;&lt;publisher&gt;Public Library of Science&lt;/publisher&gt;&lt;urls&gt;&lt;related-urls&gt;&lt;url&gt;https://doi.org/10.1371/journal.pone.0005598&lt;/url&gt;&lt;/related-urls&gt;&lt;/urls&gt;&lt;electronic-resource-num&gt;10.1371/journal.pone.0005598&lt;/electronic-resource-num&gt;&lt;/record&gt;&lt;/Cite&gt;&lt;/EndNote&gt;</w:instrTex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separate"/>
      </w:r>
      <w:r w:rsidR="00C12104" w:rsidRPr="001C4E46">
        <w:rPr>
          <w:rStyle w:val="None"/>
          <w:rFonts w:ascii="Times New Roman" w:eastAsia="Calibri" w:hAnsi="Times New Roman" w:cs="Times New Roman"/>
          <w:iCs/>
          <w:noProof/>
        </w:rPr>
        <w:t>[4]</w:t>
      </w:r>
      <w:r w:rsidRPr="001C4E46">
        <w:rPr>
          <w:rStyle w:val="None"/>
          <w:rFonts w:ascii="Times New Roman" w:eastAsia="Calibri" w:hAnsi="Times New Roman" w:cs="Times New Roman"/>
          <w:iCs/>
        </w:rPr>
        <w:fldChar w:fldCharType="end"/>
      </w:r>
      <w:r w:rsidRPr="001C4E46">
        <w:rPr>
          <w:rStyle w:val="None"/>
          <w:rFonts w:ascii="Times New Roman" w:eastAsia="Calibri" w:hAnsi="Times New Roman" w:cs="Times New Roman"/>
          <w:iCs/>
        </w:rPr>
        <w:t xml:space="preserve"> toxin genes, the oligonucleotide sequence of the primers, and expected product size.</w:t>
      </w:r>
    </w:p>
    <w:p w14:paraId="0F4050D4" w14:textId="316990E2" w:rsidR="005C5E99" w:rsidRPr="001C4E46" w:rsidRDefault="005C5E99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  <w:iCs/>
        </w:rPr>
      </w:pPr>
    </w:p>
    <w:p w14:paraId="16461190" w14:textId="77777777" w:rsidR="005C5E99" w:rsidRPr="001C4E46" w:rsidRDefault="005C5E99" w:rsidP="005C5E99">
      <w:pPr>
        <w:pStyle w:val="BodyA"/>
        <w:spacing w:after="200" w:line="480" w:lineRule="auto"/>
        <w:rPr>
          <w:rStyle w:val="None"/>
          <w:rFonts w:ascii="Times New Roman" w:eastAsia="Calibri" w:hAnsi="Times New Roman" w:cs="Times New Roman"/>
          <w:b/>
          <w:bCs/>
          <w:sz w:val="28"/>
        </w:rPr>
      </w:pPr>
      <w:r w:rsidRPr="001C4E46">
        <w:rPr>
          <w:rStyle w:val="None"/>
          <w:rFonts w:ascii="Times New Roman" w:eastAsia="Calibri" w:hAnsi="Times New Roman" w:cs="Times New Roman"/>
          <w:b/>
          <w:bCs/>
          <w:sz w:val="28"/>
        </w:rPr>
        <w:t xml:space="preserve">Gel electrophoresis </w:t>
      </w:r>
    </w:p>
    <w:p w14:paraId="191C6CC6" w14:textId="77777777" w:rsidR="005C5E99" w:rsidRPr="001C4E46" w:rsidRDefault="005C5E99" w:rsidP="005C5E99">
      <w:pPr>
        <w:pStyle w:val="BodyA"/>
        <w:spacing w:after="200" w:line="480" w:lineRule="auto"/>
        <w:ind w:firstLine="720"/>
        <w:rPr>
          <w:rStyle w:val="None"/>
          <w:rFonts w:ascii="Times New Roman" w:eastAsia="Calibri" w:hAnsi="Times New Roman" w:cs="Times New Roman"/>
        </w:rPr>
      </w:pPr>
      <w:r w:rsidRPr="001C4E46">
        <w:rPr>
          <w:rStyle w:val="None"/>
          <w:rFonts w:ascii="Times New Roman" w:eastAsia="Calibri" w:hAnsi="Times New Roman" w:cs="Times New Roman"/>
        </w:rPr>
        <w:t xml:space="preserve">Multiplex PCR products were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visualised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on a 2.5% agarose gel, and all other PCR products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visualised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on 1.5% agarose gels stained with ethidium bromide, using 10 µl of reaction mix and 2 µl of 5x blue loading buffer. The loading mix was run at 125 V, 400 mA for 60 minutes alongside a 50 bp ladder and the gel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visualised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using a </w:t>
      </w:r>
      <w:proofErr w:type="spellStart"/>
      <w:r w:rsidRPr="001C4E46">
        <w:rPr>
          <w:rStyle w:val="None"/>
          <w:rFonts w:ascii="Times New Roman" w:eastAsia="Calibri" w:hAnsi="Times New Roman" w:cs="Times New Roman"/>
        </w:rPr>
        <w:t>Chemidoc</w:t>
      </w:r>
      <w:proofErr w:type="spellEnd"/>
      <w:r w:rsidRPr="001C4E46">
        <w:rPr>
          <w:rStyle w:val="None"/>
          <w:rFonts w:ascii="Times New Roman" w:eastAsia="Calibri" w:hAnsi="Times New Roman" w:cs="Times New Roman"/>
        </w:rPr>
        <w:t xml:space="preserve"> Gel Imager (Bio-Rad) and analyzed by Image Lab software (Bio-Rad).</w:t>
      </w:r>
    </w:p>
    <w:p w14:paraId="39E80CF6" w14:textId="5F2F3036" w:rsidR="005C5E99" w:rsidRPr="001C4E46" w:rsidRDefault="005C5E99" w:rsidP="00E36C7C">
      <w:pPr>
        <w:pStyle w:val="BodyA"/>
        <w:widowControl w:val="0"/>
        <w:spacing w:after="200"/>
        <w:rPr>
          <w:rStyle w:val="None"/>
          <w:rFonts w:ascii="Times New Roman" w:eastAsia="Calibri" w:hAnsi="Times New Roman" w:cs="Times New Roman"/>
        </w:rPr>
      </w:pPr>
    </w:p>
    <w:p w14:paraId="3968C538" w14:textId="56224AB9" w:rsidR="00C12104" w:rsidRPr="001C4E46" w:rsidRDefault="00903C98" w:rsidP="00C12104">
      <w:pPr>
        <w:pStyle w:val="BodyA"/>
        <w:widowControl w:val="0"/>
        <w:spacing w:after="200"/>
        <w:rPr>
          <w:rFonts w:ascii="Times New Roman" w:eastAsia="Calibri" w:hAnsi="Times New Roman" w:cs="Times New Roman"/>
          <w:b/>
          <w:sz w:val="24"/>
        </w:rPr>
      </w:pPr>
      <w:r w:rsidRPr="001C4E46">
        <w:rPr>
          <w:rStyle w:val="None"/>
          <w:rFonts w:ascii="Times New Roman" w:eastAsia="Calibri" w:hAnsi="Times New Roman" w:cs="Times New Roman"/>
          <w:b/>
          <w:sz w:val="24"/>
        </w:rPr>
        <w:t>References</w:t>
      </w:r>
    </w:p>
    <w:p w14:paraId="0727DEAF" w14:textId="77777777" w:rsidR="00C12104" w:rsidRPr="001C4E46" w:rsidRDefault="00C12104" w:rsidP="00C12104">
      <w:pPr>
        <w:pStyle w:val="EndNoteBibliography"/>
        <w:spacing w:after="0"/>
        <w:ind w:left="720" w:hanging="720"/>
        <w:rPr>
          <w:noProof/>
        </w:rPr>
      </w:pPr>
      <w:r w:rsidRPr="001C4E46">
        <w:fldChar w:fldCharType="begin"/>
      </w:r>
      <w:r w:rsidRPr="001C4E46">
        <w:instrText xml:space="preserve"> ADDIN EN.REFLIST </w:instrText>
      </w:r>
      <w:r w:rsidRPr="001C4E46">
        <w:fldChar w:fldCharType="separate"/>
      </w:r>
      <w:r w:rsidRPr="001C4E46">
        <w:rPr>
          <w:noProof/>
        </w:rPr>
        <w:t>1.</w:t>
      </w:r>
      <w:r w:rsidRPr="001C4E46">
        <w:rPr>
          <w:noProof/>
        </w:rPr>
        <w:tab/>
        <w:t xml:space="preserve">van Asten AJAM, van der Wiel CW, Nikolaou G, Houwers DJ, Gröne A: </w:t>
      </w:r>
      <w:r w:rsidRPr="001C4E46">
        <w:rPr>
          <w:b/>
          <w:noProof/>
        </w:rPr>
        <w:t>A multiplex PCR for toxin typing of Clostridium perfringens isolates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Veterinary Microbiology </w:t>
      </w:r>
      <w:r w:rsidRPr="001C4E46">
        <w:rPr>
          <w:noProof/>
        </w:rPr>
        <w:t xml:space="preserve">2009, </w:t>
      </w:r>
      <w:r w:rsidRPr="001C4E46">
        <w:rPr>
          <w:b/>
          <w:noProof/>
        </w:rPr>
        <w:t>136</w:t>
      </w:r>
      <w:r w:rsidRPr="001C4E46">
        <w:rPr>
          <w:noProof/>
        </w:rPr>
        <w:t>(3):411-412.</w:t>
      </w:r>
    </w:p>
    <w:p w14:paraId="65161C47" w14:textId="77777777" w:rsidR="00C12104" w:rsidRPr="001C4E46" w:rsidRDefault="00C12104" w:rsidP="00C12104">
      <w:pPr>
        <w:pStyle w:val="EndNoteBibliography"/>
        <w:spacing w:after="0"/>
        <w:ind w:left="720" w:hanging="720"/>
        <w:rPr>
          <w:noProof/>
        </w:rPr>
      </w:pPr>
      <w:r w:rsidRPr="001C4E46">
        <w:rPr>
          <w:noProof/>
        </w:rPr>
        <w:t>2.</w:t>
      </w:r>
      <w:r w:rsidRPr="001C4E46">
        <w:rPr>
          <w:noProof/>
        </w:rPr>
        <w:tab/>
        <w:t>Yonogi S, Matsuda S, Kawai T, Yoda T, Harada T, Kumeda Y, Gotoh K, Hiyoshi H, Nakamura S, Kodama T</w:t>
      </w:r>
      <w:r w:rsidRPr="001C4E46">
        <w:rPr>
          <w:i/>
          <w:noProof/>
        </w:rPr>
        <w:t xml:space="preserve"> et al</w:t>
      </w:r>
      <w:r w:rsidRPr="001C4E46">
        <w:rPr>
          <w:noProof/>
        </w:rPr>
        <w:t xml:space="preserve">: </w:t>
      </w:r>
      <w:r w:rsidRPr="001C4E46">
        <w:rPr>
          <w:b/>
          <w:noProof/>
        </w:rPr>
        <w:t>BEC, a novel enterotoxin of Clostridium perfringens found in human clinical isolates from acute gastroenteritis outbreaks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Infection and immunity </w:t>
      </w:r>
      <w:r w:rsidRPr="001C4E46">
        <w:rPr>
          <w:noProof/>
        </w:rPr>
        <w:t xml:space="preserve">2014, </w:t>
      </w:r>
      <w:r w:rsidRPr="001C4E46">
        <w:rPr>
          <w:b/>
          <w:noProof/>
        </w:rPr>
        <w:t>82</w:t>
      </w:r>
      <w:r w:rsidRPr="001C4E46">
        <w:rPr>
          <w:noProof/>
        </w:rPr>
        <w:t>(6):2390-2399.</w:t>
      </w:r>
    </w:p>
    <w:p w14:paraId="7C9C23D3" w14:textId="77777777" w:rsidR="00C12104" w:rsidRPr="001C4E46" w:rsidRDefault="00C12104" w:rsidP="00C12104">
      <w:pPr>
        <w:pStyle w:val="EndNoteBibliography"/>
        <w:spacing w:after="0"/>
        <w:ind w:left="720" w:hanging="720"/>
        <w:rPr>
          <w:noProof/>
        </w:rPr>
      </w:pPr>
      <w:r w:rsidRPr="001C4E46">
        <w:rPr>
          <w:noProof/>
        </w:rPr>
        <w:t>3.</w:t>
      </w:r>
      <w:r w:rsidRPr="001C4E46">
        <w:rPr>
          <w:noProof/>
        </w:rPr>
        <w:tab/>
        <w:t xml:space="preserve">Keyburn AL, Boyce JD, Vaz P, Bannam TL, Ford ME, Parker D, Di Rubbo A, Rood JI, Moore RJ: </w:t>
      </w:r>
      <w:r w:rsidRPr="001C4E46">
        <w:rPr>
          <w:b/>
          <w:noProof/>
        </w:rPr>
        <w:t>NetB, a New Toxin That Is Associated with Avian Necrotic Enteritis Caused by Clostridium perfringens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PLoS Pathogens </w:t>
      </w:r>
      <w:r w:rsidRPr="001C4E46">
        <w:rPr>
          <w:noProof/>
        </w:rPr>
        <w:t xml:space="preserve">2008, </w:t>
      </w:r>
      <w:r w:rsidRPr="001C4E46">
        <w:rPr>
          <w:b/>
          <w:noProof/>
        </w:rPr>
        <w:t>4</w:t>
      </w:r>
      <w:r w:rsidRPr="001C4E46">
        <w:rPr>
          <w:noProof/>
        </w:rPr>
        <w:t>(2):e26.</w:t>
      </w:r>
    </w:p>
    <w:p w14:paraId="60B0F783" w14:textId="77777777" w:rsidR="00C12104" w:rsidRPr="001C4E46" w:rsidRDefault="00C12104" w:rsidP="00C12104">
      <w:pPr>
        <w:pStyle w:val="EndNoteBibliography"/>
        <w:ind w:left="720" w:hanging="720"/>
        <w:rPr>
          <w:noProof/>
        </w:rPr>
      </w:pPr>
      <w:r w:rsidRPr="001C4E46">
        <w:rPr>
          <w:noProof/>
        </w:rPr>
        <w:t>4.</w:t>
      </w:r>
      <w:r w:rsidRPr="001C4E46">
        <w:rPr>
          <w:noProof/>
        </w:rPr>
        <w:tab/>
        <w:t xml:space="preserve">Deguchi A, Miyamoto K, Kuwahara T, Miki Y, Kaneko I, Li J, McClane BA, Akimoto S: </w:t>
      </w:r>
      <w:r w:rsidRPr="001C4E46">
        <w:rPr>
          <w:b/>
          <w:noProof/>
        </w:rPr>
        <w:t>Genetic Characterization of Type A Enterotoxigenic Clostridium perfringens Strains</w:t>
      </w:r>
      <w:r w:rsidRPr="001C4E46">
        <w:rPr>
          <w:noProof/>
        </w:rPr>
        <w:t xml:space="preserve">. </w:t>
      </w:r>
      <w:r w:rsidRPr="001C4E46">
        <w:rPr>
          <w:i/>
          <w:noProof/>
        </w:rPr>
        <w:t xml:space="preserve">PLOS ONE </w:t>
      </w:r>
      <w:r w:rsidRPr="001C4E46">
        <w:rPr>
          <w:noProof/>
        </w:rPr>
        <w:t xml:space="preserve">2009, </w:t>
      </w:r>
      <w:r w:rsidRPr="001C4E46">
        <w:rPr>
          <w:b/>
          <w:noProof/>
        </w:rPr>
        <w:t>4</w:t>
      </w:r>
      <w:r w:rsidRPr="001C4E46">
        <w:rPr>
          <w:noProof/>
        </w:rPr>
        <w:t>(5):e5598.</w:t>
      </w:r>
    </w:p>
    <w:p w14:paraId="3A5CFC03" w14:textId="4FEA0AE6" w:rsidR="00E26912" w:rsidRPr="001C4E46" w:rsidRDefault="00C12104">
      <w:r w:rsidRPr="001C4E46">
        <w:fldChar w:fldCharType="end"/>
      </w:r>
    </w:p>
    <w:sectPr w:rsidR="00E26912" w:rsidRPr="001C4E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Malgun Gothic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dp2xstjz2e04ers5wxfrs2frp50ewfasfx&quot;&gt;ClosPaper&lt;record-ids&gt;&lt;item&gt;15&lt;/item&gt;&lt;/record-ids&gt;&lt;/item&gt;&lt;/Libraries&gt;"/>
  </w:docVars>
  <w:rsids>
    <w:rsidRoot w:val="003C61E7"/>
    <w:rsid w:val="001C4E46"/>
    <w:rsid w:val="00344BF7"/>
    <w:rsid w:val="003C61E7"/>
    <w:rsid w:val="005C5E99"/>
    <w:rsid w:val="00903C98"/>
    <w:rsid w:val="00C12104"/>
    <w:rsid w:val="00CA28AE"/>
    <w:rsid w:val="00D013F0"/>
    <w:rsid w:val="00E26912"/>
    <w:rsid w:val="00E3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F89E9"/>
  <w15:chartTrackingRefBased/>
  <w15:docId w15:val="{D076E1CD-8386-48E3-9753-4F128D048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Heading2">
    <w:name w:val="heading 2"/>
    <w:next w:val="Normal"/>
    <w:link w:val="Heading2Char"/>
    <w:rsid w:val="00E36C7C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00" w:after="0" w:line="276" w:lineRule="auto"/>
      <w:outlineLvl w:val="1"/>
    </w:pPr>
    <w:rPr>
      <w:rFonts w:ascii="Cambria" w:eastAsia="Cambria" w:hAnsi="Cambria" w:cs="Cambria"/>
      <w:b/>
      <w:bCs/>
      <w:color w:val="4F81BD"/>
      <w:sz w:val="26"/>
      <w:szCs w:val="26"/>
      <w:u w:color="4F81BD"/>
      <w:bdr w:val="nil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36C7C"/>
    <w:rPr>
      <w:rFonts w:ascii="Cambria" w:eastAsia="Cambria" w:hAnsi="Cambria" w:cs="Cambria"/>
      <w:b/>
      <w:bCs/>
      <w:color w:val="4F81BD"/>
      <w:sz w:val="26"/>
      <w:szCs w:val="26"/>
      <w:u w:color="4F81BD"/>
      <w:bdr w:val="nil"/>
      <w:lang w:val="en-US" w:eastAsia="en-GB"/>
    </w:rPr>
  </w:style>
  <w:style w:type="character" w:customStyle="1" w:styleId="None">
    <w:name w:val="None"/>
    <w:rsid w:val="00E36C7C"/>
  </w:style>
  <w:style w:type="paragraph" w:customStyle="1" w:styleId="BodyA">
    <w:name w:val="Body A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 w:eastAsia="en-GB"/>
    </w:rPr>
  </w:style>
  <w:style w:type="paragraph" w:customStyle="1" w:styleId="TableStyle1A">
    <w:name w:val="Table Style 1 A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b/>
      <w:bCs/>
      <w:color w:val="000000"/>
      <w:sz w:val="20"/>
      <w:szCs w:val="20"/>
      <w:u w:color="000000"/>
      <w:bdr w:val="nil"/>
      <w:lang w:val="en-US" w:eastAsia="en-GB"/>
    </w:rPr>
  </w:style>
  <w:style w:type="paragraph" w:customStyle="1" w:styleId="TableStyle2A">
    <w:name w:val="Table Style 2 A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sz w:val="20"/>
      <w:szCs w:val="20"/>
      <w:u w:color="000000"/>
      <w:bdr w:val="nil"/>
      <w:lang w:val="en-US" w:eastAsia="en-GB"/>
    </w:rPr>
  </w:style>
  <w:style w:type="paragraph" w:styleId="Caption">
    <w:name w:val="caption"/>
    <w:rsid w:val="00E36C7C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50"/>
      </w:tabs>
      <w:spacing w:after="0" w:line="240" w:lineRule="auto"/>
    </w:pPr>
    <w:rPr>
      <w:rFonts w:ascii="Times New Roman" w:eastAsia="Arial Unicode MS" w:hAnsi="Times New Roman" w:cs="Arial Unicode MS"/>
      <w:b/>
      <w:bCs/>
      <w:caps/>
      <w:color w:val="000000"/>
      <w:sz w:val="20"/>
      <w:szCs w:val="20"/>
      <w:u w:color="000000"/>
      <w:bdr w:val="nil"/>
      <w:lang w:val="fr-FR" w:eastAsia="en-GB"/>
    </w:rPr>
  </w:style>
  <w:style w:type="paragraph" w:customStyle="1" w:styleId="Heading">
    <w:name w:val="Heading"/>
    <w:next w:val="BodyA"/>
    <w:rsid w:val="00E36C7C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outlineLvl w:val="0"/>
    </w:pPr>
    <w:rPr>
      <w:rFonts w:ascii="Times New Roman" w:eastAsia="Arial Unicode MS" w:hAnsi="Times New Roman" w:cs="Arial Unicode MS"/>
      <w:b/>
      <w:bCs/>
      <w:color w:val="000000"/>
      <w:sz w:val="36"/>
      <w:szCs w:val="36"/>
      <w:u w:color="000000"/>
      <w:bdr w:val="nil"/>
      <w:lang w:val="en-US" w:eastAsia="en-GB"/>
    </w:rPr>
  </w:style>
  <w:style w:type="table" w:styleId="TableGrid">
    <w:name w:val="Table Grid"/>
    <w:basedOn w:val="TableNormal"/>
    <w:uiPriority w:val="59"/>
    <w:rsid w:val="00E36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rsid w:val="00903C98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Times New Roman" w:eastAsia="Calibri" w:hAnsi="Times New Roman" w:cs="Times New Roman"/>
      <w:color w:val="000000"/>
      <w:sz w:val="24"/>
      <w:u w:color="000000"/>
      <w:bdr w:val="nil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C1210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Heading2Char"/>
    <w:link w:val="EndNoteBibliographyTitle"/>
    <w:rsid w:val="00C12104"/>
    <w:rPr>
      <w:rFonts w:ascii="Times New Roman" w:eastAsia="Arial Unicode MS" w:hAnsi="Times New Roman" w:cs="Times New Roman"/>
      <w:b w:val="0"/>
      <w:bCs w:val="0"/>
      <w:noProof/>
      <w:color w:val="4F81BD"/>
      <w:sz w:val="24"/>
      <w:szCs w:val="24"/>
      <w:u w:color="4F81BD"/>
      <w:bdr w:val="nil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2F061-61B5-4099-8C6D-7FF26ED87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1705</Words>
  <Characters>9724</Characters>
  <Application>Microsoft Office Word</Application>
  <DocSecurity>0</DocSecurity>
  <Lines>81</Lines>
  <Paragraphs>22</Paragraphs>
  <ScaleCrop>false</ScaleCrop>
  <Company/>
  <LinksUpToDate>false</LinksUpToDate>
  <CharactersWithSpaces>11407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G. Shaw</dc:creator>
  <cp:keywords/>
  <dc:description/>
  <cp:lastModifiedBy>Alexander G. Shaw</cp:lastModifiedBy>
  <cp:revision>9</cp:revision>
  <dcterms:created xsi:type="dcterms:W3CDTF">2018-09-26T14:44:00Z</dcterms:created>
  <dcterms:modified xsi:type="dcterms:W3CDTF">2019-04-11T10:28:00Z</dcterms:modified>
</cp:coreProperties>
</file>