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ascii="Times New Roman" w:hAnsi="Times New Roman" w:cs="Times New Roman"/>
          <w:sz w:val="15"/>
          <w:szCs w:val="15"/>
        </w:rPr>
      </w:pPr>
      <w:bookmarkStart w:id="0" w:name="OLE_LINK100"/>
      <w:bookmarkStart w:id="1" w:name="OLE_LINK11"/>
      <w:bookmarkStart w:id="2" w:name="OLE_LINK10"/>
      <w:r>
        <w:rPr>
          <w:rFonts w:ascii="Times New Roman" w:hAnsi="Times New Roman" w:cs="Times New Roman"/>
          <w:sz w:val="15"/>
          <w:szCs w:val="15"/>
        </w:rPr>
        <w:t xml:space="preserve">Table S1 </w:t>
      </w:r>
    </w:p>
    <w:p>
      <w:pPr>
        <w:spacing w:line="300" w:lineRule="auto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Hakanson grading standard and the improved grading standard of this research.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418"/>
        <w:gridCol w:w="1601"/>
        <w:gridCol w:w="1517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0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Level</w:t>
            </w:r>
          </w:p>
        </w:tc>
        <w:tc>
          <w:tcPr>
            <w:tcW w:w="30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Hakanson grading standard </w:t>
            </w:r>
            <w: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[1]</w:t>
            </w:r>
          </w:p>
        </w:tc>
        <w:tc>
          <w:tcPr>
            <w:tcW w:w="3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Classification standard of this study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0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15"/>
                        <w:szCs w:val="15"/>
                      </w:rPr>
                    </m:ctrlPr>
                  </m:sSubSupPr>
                  <m:e>
                    <m:r>
                      <m:rPr/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E</m:t>
                    </m:r>
                    <m:ctrlPr>
                      <w:rPr>
                        <w:rFonts w:ascii="Cambria Math" w:hAnsi="Cambria Math" w:cs="Times New Roman"/>
                        <w:i/>
                        <w:sz w:val="15"/>
                        <w:szCs w:val="15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r</m:t>
                    </m:r>
                    <m:ctrlPr>
                      <w:rPr>
                        <w:rFonts w:ascii="Cambria Math" w:hAnsi="Cambria Math" w:cs="Times New Roman"/>
                        <w:i/>
                        <w:sz w:val="15"/>
                        <w:szCs w:val="15"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i</m:t>
                    </m:r>
                    <m:ctrlPr>
                      <w:rPr>
                        <w:rFonts w:ascii="Cambria Math" w:hAnsi="Cambria Math" w:cs="Times New Roman"/>
                        <w:i/>
                        <w:sz w:val="15"/>
                        <w:szCs w:val="15"/>
                      </w:rPr>
                    </m:ctrlPr>
                  </m:sup>
                </m:sSubSup>
              </m:oMath>
            </m:oMathPara>
          </w:p>
        </w:tc>
        <w:tc>
          <w:tcPr>
            <w:tcW w:w="1601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PER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15"/>
                        <w:szCs w:val="15"/>
                      </w:rPr>
                    </m:ctrlPr>
                  </m:sSubSupPr>
                  <m:e>
                    <w:bookmarkStart w:id="3" w:name="OLE_LINK527"/>
                    <w:bookmarkStart w:id="4" w:name="OLE_LINK528"/>
                    <m:r>
                      <m:rPr/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E</m:t>
                    </m:r>
                    <m:ctrlPr>
                      <w:rPr>
                        <w:rFonts w:ascii="Cambria Math" w:hAnsi="Cambria Math" w:cs="Times New Roman"/>
                        <w:i/>
                        <w:sz w:val="15"/>
                        <w:szCs w:val="15"/>
                      </w:rPr>
                    </m:ctrlPr>
                  </m:e>
                  <m:sub>
                    <m:r>
                      <m:rPr/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r</m:t>
                    </m:r>
                    <m:ctrlPr>
                      <w:rPr>
                        <w:rFonts w:ascii="Cambria Math" w:hAnsi="Cambria Math" w:cs="Times New Roman"/>
                        <w:i/>
                        <w:sz w:val="15"/>
                        <w:szCs w:val="15"/>
                      </w:rPr>
                    </m:ctrlPr>
                  </m:sub>
                  <m:sup>
                    <m:r>
                      <m:rPr/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i</m:t>
                    </m:r>
                    <w:bookmarkEnd w:id="3"/>
                    <w:bookmarkEnd w:id="4"/>
                    <m:ctrlPr>
                      <w:rPr>
                        <w:rFonts w:ascii="Cambria Math" w:hAnsi="Cambria Math" w:cs="Times New Roman"/>
                        <w:i/>
                        <w:sz w:val="15"/>
                        <w:szCs w:val="15"/>
                      </w:rPr>
                    </m:ctrlPr>
                  </m:sup>
                </m:sSubSup>
              </m:oMath>
            </m:oMathPara>
          </w:p>
        </w:tc>
        <w:tc>
          <w:tcPr>
            <w:tcW w:w="1893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0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1（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>S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light）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&lt;40</w:t>
            </w:r>
          </w:p>
        </w:tc>
        <w:tc>
          <w:tcPr>
            <w:tcW w:w="160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&lt;150</w:t>
            </w:r>
          </w:p>
        </w:tc>
        <w:tc>
          <w:tcPr>
            <w:tcW w:w="151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&lt;30</w:t>
            </w:r>
          </w:p>
        </w:tc>
        <w:tc>
          <w:tcPr>
            <w:tcW w:w="189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&lt;70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2（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>m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edium）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40 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–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80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150 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–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300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30 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>–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60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70 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–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5" w:name="OLE_LINK534"/>
            <w:bookmarkStart w:id="6" w:name="OLE_LINK533"/>
            <w:r>
              <w:rPr>
                <w:rFonts w:ascii="Times New Roman" w:hAnsi="Times New Roman" w:cs="Times New Roman"/>
                <w:sz w:val="15"/>
                <w:szCs w:val="15"/>
              </w:rPr>
              <w:t>3（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>H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igher）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80 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–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160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300 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–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600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60 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–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120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140 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–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280</w:t>
            </w:r>
          </w:p>
        </w:tc>
      </w:tr>
      <w:bookmarkEnd w:id="5"/>
      <w:bookmarkEnd w:id="6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4（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>H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igh）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160 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 xml:space="preserve">–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320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&gt; 600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120 </w:t>
            </w:r>
            <w:r>
              <w:rPr>
                <w:rFonts w:hint="eastAsia" w:ascii="Times New Roman" w:hAnsi="Times New Roman" w:cs="Times New Roman"/>
                <w:sz w:val="15"/>
                <w:szCs w:val="15"/>
              </w:rPr>
              <w:t>–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240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&gt;280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5（Extremely high）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&gt;320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—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&gt;240</w:t>
            </w:r>
          </w:p>
        </w:tc>
        <w:tc>
          <w:tcPr>
            <w:tcW w:w="18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—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[1] Hakanson L.</w:t>
      </w:r>
      <w:bookmarkStart w:id="7" w:name="OLE_LINK532"/>
      <w:bookmarkStart w:id="8" w:name="OLE_LINK531"/>
      <w:bookmarkStart w:id="9" w:name="OLE_LINK530"/>
      <w:r>
        <w:rPr>
          <w:rFonts w:ascii="Times New Roman" w:hAnsi="Times New Roman" w:cs="Times New Roman"/>
          <w:sz w:val="15"/>
          <w:szCs w:val="15"/>
        </w:rPr>
        <w:t xml:space="preserve"> (1980). An ecological risk index for aquatic pollution control.</w:t>
      </w:r>
      <w:bookmarkEnd w:id="7"/>
      <w:bookmarkEnd w:id="8"/>
      <w:bookmarkEnd w:id="9"/>
      <w:r>
        <w:rPr>
          <w:rFonts w:ascii="Times New Roman" w:hAnsi="Times New Roman" w:cs="Times New Roman"/>
          <w:sz w:val="15"/>
          <w:szCs w:val="15"/>
        </w:rPr>
        <w:t xml:space="preserve"> a sedimentological approach. </w:t>
      </w:r>
      <w:r>
        <w:rPr>
          <w:rFonts w:ascii="Times New Roman" w:hAnsi="Times New Roman" w:cs="Times New Roman"/>
          <w:i/>
          <w:iCs/>
          <w:sz w:val="15"/>
          <w:szCs w:val="15"/>
        </w:rPr>
        <w:t>Water Research.</w:t>
      </w:r>
      <w:r>
        <w:rPr>
          <w:rFonts w:ascii="Times New Roman" w:hAnsi="Times New Roman" w:cs="Times New Roman"/>
          <w:sz w:val="15"/>
          <w:szCs w:val="15"/>
        </w:rPr>
        <w:t xml:space="preserve"> 14(8): 975</w:t>
      </w:r>
      <w:r>
        <w:rPr>
          <w:rFonts w:hint="eastAsia" w:ascii="Times New Roman" w:hAnsi="Times New Roman" w:cs="Times New Roman"/>
          <w:sz w:val="15"/>
          <w:szCs w:val="15"/>
        </w:rPr>
        <w:t>–</w:t>
      </w:r>
      <w:r>
        <w:rPr>
          <w:rFonts w:ascii="Times New Roman" w:hAnsi="Times New Roman" w:cs="Times New Roman"/>
          <w:sz w:val="15"/>
          <w:szCs w:val="15"/>
        </w:rPr>
        <w:t>1001.</w:t>
      </w:r>
    </w:p>
    <w:p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br w:type="page"/>
      </w:r>
    </w:p>
    <w:p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Table S2</w:t>
      </w:r>
    </w:p>
    <w:bookmarkEnd w:id="0"/>
    <w:p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Parameters and their definitions, values in Eq (6) - Eq (8).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762"/>
        <w:gridCol w:w="108"/>
        <w:gridCol w:w="1553"/>
        <w:gridCol w:w="20"/>
        <w:gridCol w:w="1641"/>
        <w:gridCol w:w="9"/>
        <w:gridCol w:w="165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Merge w:val="restart"/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Parameter</w:t>
            </w:r>
          </w:p>
        </w:tc>
        <w:tc>
          <w:tcPr>
            <w:tcW w:w="1870" w:type="dxa"/>
            <w:gridSpan w:val="2"/>
            <w:vMerge w:val="restart"/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bookmarkStart w:id="10" w:name="OLE_LINK16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Definition</w:t>
            </w:r>
            <w:bookmarkEnd w:id="10"/>
          </w:p>
        </w:tc>
        <w:tc>
          <w:tcPr>
            <w:tcW w:w="3223" w:type="dxa"/>
            <w:gridSpan w:val="4"/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Value</w:t>
            </w:r>
          </w:p>
        </w:tc>
        <w:tc>
          <w:tcPr>
            <w:tcW w:w="1653" w:type="dxa"/>
            <w:vMerge w:val="restart"/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References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870" w:type="dxa"/>
            <w:gridSpan w:val="2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573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Children</w:t>
            </w:r>
          </w:p>
        </w:tc>
        <w:tc>
          <w:tcPr>
            <w:tcW w:w="1650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Adults</w:t>
            </w:r>
          </w:p>
        </w:tc>
        <w:tc>
          <w:tcPr>
            <w:tcW w:w="1653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560" w:type="dxa"/>
            <w:tcBorders>
              <w:bottom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 (mg·kg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)</w:t>
            </w:r>
            <w:bookmarkStart w:id="11" w:name="OLE_LINK54"/>
            <w:bookmarkStart w:id="12" w:name="OLE_LINK55"/>
          </w:p>
          <w:bookmarkEnd w:id="11"/>
          <w:bookmarkEnd w:id="12"/>
        </w:tc>
        <w:tc>
          <w:tcPr>
            <w:tcW w:w="1762" w:type="dxa"/>
            <w:tcBorders>
              <w:bottom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Contents of PTEs</w:t>
            </w:r>
          </w:p>
        </w:tc>
        <w:tc>
          <w:tcPr>
            <w:tcW w:w="1661" w:type="dxa"/>
            <w:gridSpan w:val="2"/>
            <w:tcBorders>
              <w:bottom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61" w:type="dxa"/>
            <w:gridSpan w:val="2"/>
            <w:tcBorders>
              <w:bottom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62" w:type="dxa"/>
            <w:gridSpan w:val="2"/>
            <w:tcBorders>
              <w:bottom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bookmarkStart w:id="13" w:name="OLE_LINK28"/>
            <w:bookmarkStart w:id="14" w:name="OLE_LINK33"/>
            <w:bookmarkStart w:id="15" w:name="OLE_LINK32"/>
            <w:bookmarkStart w:id="16" w:name="OLE_LINK29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This study</w:t>
            </w:r>
            <w:bookmarkEnd w:id="13"/>
            <w:bookmarkEnd w:id="14"/>
            <w:bookmarkEnd w:id="15"/>
            <w:bookmarkEnd w:id="16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IngR (mg·kg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Ingestion rate</w:t>
            </w:r>
          </w:p>
        </w:tc>
        <w:tc>
          <w:tcPr>
            <w:tcW w:w="1661" w:type="dxa"/>
            <w:gridSpan w:val="2"/>
            <w:tcBorders>
              <w:top w:val="nil"/>
              <w:bottom w:val="nil"/>
            </w:tcBorders>
          </w:tcPr>
          <w:p>
            <w:pPr>
              <w:ind w:firstLine="75" w:firstLineChars="50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200</w:t>
            </w:r>
          </w:p>
        </w:tc>
        <w:tc>
          <w:tcPr>
            <w:tcW w:w="1661" w:type="dxa"/>
            <w:gridSpan w:val="2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100</w:t>
            </w:r>
          </w:p>
        </w:tc>
        <w:tc>
          <w:tcPr>
            <w:tcW w:w="1662" w:type="dxa"/>
            <w:gridSpan w:val="2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US EPA, 2011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560" w:type="dxa"/>
            <w:tcBorders>
              <w:top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EF (days·year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Exposure frequency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350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350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US</w:t>
            </w:r>
            <w:bookmarkStart w:id="17" w:name="OLE_LINK31"/>
            <w:bookmarkStart w:id="18" w:name="OLE_LINK30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EPA,</w:t>
            </w:r>
            <w:bookmarkEnd w:id="17"/>
            <w:bookmarkEnd w:id="18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2011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tcBorders>
              <w:top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ED (years)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Exposure duration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6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26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bookmarkStart w:id="19" w:name="OLE_LINK37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US EPA, 20</w:t>
            </w:r>
            <w:bookmarkEnd w:id="19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tcBorders>
              <w:top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BW (kg)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Body weight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15.9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56.8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CNEPM, 2014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tcBorders>
              <w:top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 (day)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Averaging time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Non </w:t>
            </w:r>
            <w:bookmarkStart w:id="20" w:name="OLE_LINK108"/>
            <w:bookmarkStart w:id="21" w:name="OLE_LINK109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–</w:t>
            </w:r>
            <w:bookmarkEnd w:id="20"/>
            <w:bookmarkEnd w:id="21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Cancer: ED×365  Cancer: 70 ×365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U</w:t>
            </w:r>
            <w:bookmarkStart w:id="22" w:name="OLE_LINK53"/>
            <w:bookmarkStart w:id="23" w:name="OLE_LINK52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S EPA, 20</w:t>
            </w:r>
            <w:bookmarkEnd w:id="22"/>
            <w:bookmarkEnd w:id="23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tcBorders>
              <w:top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InhR (m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·day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Inhalation rate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7.5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5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US EPA, 2011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tcBorders>
              <w:top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PEF (m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·kg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Particle emission factor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1.36×10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  <w:vertAlign w:val="superscript"/>
              </w:rPr>
              <w:t>9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bookmarkStart w:id="24" w:name="OLE_LINK61"/>
            <w:bookmarkStart w:id="25" w:name="OLE_LINK60"/>
            <w:bookmarkStart w:id="26" w:name="OLE_LINK59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1.36</w:t>
            </w:r>
            <w:bookmarkStart w:id="27" w:name="OLE_LINK40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×10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  <w:vertAlign w:val="superscript"/>
              </w:rPr>
              <w:t>9</w:t>
            </w:r>
            <w:bookmarkEnd w:id="24"/>
            <w:bookmarkEnd w:id="25"/>
            <w:bookmarkEnd w:id="26"/>
            <w:bookmarkEnd w:id="27"/>
          </w:p>
        </w:tc>
        <w:tc>
          <w:tcPr>
            <w:tcW w:w="1653" w:type="dxa"/>
            <w:tcBorders>
              <w:top w:val="nil"/>
              <w:left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US EPA, 2011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tcBorders>
              <w:top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SA (cm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Exposed skin area</w:t>
            </w:r>
          </w:p>
        </w:tc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2373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5700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US EPA, 2011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tcBorders>
              <w:top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AF (mg</w:t>
            </w:r>
            <w:bookmarkStart w:id="28" w:name="OLE_LINK49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·</w:t>
            </w:r>
            <w:bookmarkEnd w:id="28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(cm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·d</w:t>
            </w:r>
            <w:bookmarkStart w:id="29" w:name="OLE_LINK47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ay)</w:t>
            </w:r>
            <w:bookmarkEnd w:id="29"/>
            <w:r>
              <w:rPr>
                <w:rFonts w:ascii="Times New Roman" w:hAnsi="Times New Roman" w:cs="Times New Roman"/>
                <w:kern w:val="0"/>
                <w:sz w:val="15"/>
                <w:szCs w:val="15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bookmarkStart w:id="30" w:name="OLE_LINK48"/>
            <w:bookmarkStart w:id="31" w:name="OLE_LINK45"/>
            <w:bookmarkStart w:id="32" w:name="OLE_LINK50"/>
            <w:bookmarkStart w:id="33" w:name="OLE_LINK46"/>
            <w:bookmarkStart w:id="34" w:name="OLE_LINK51"/>
            <w:bookmarkStart w:id="35" w:name="OLE_LINK36"/>
            <w:bookmarkStart w:id="36" w:name="OLE_LINK35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Adsorption </w:t>
            </w:r>
            <w:bookmarkEnd w:id="30"/>
            <w:bookmarkEnd w:id="31"/>
            <w:bookmarkEnd w:id="32"/>
            <w:bookmarkEnd w:id="33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coefficient</w:t>
            </w:r>
            <w:bookmarkEnd w:id="34"/>
            <w:bookmarkEnd w:id="35"/>
            <w:bookmarkEnd w:id="36"/>
          </w:p>
        </w:tc>
        <w:tc>
          <w:tcPr>
            <w:tcW w:w="15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0.2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0.07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US EPA, 2011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tcBorders>
              <w:top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ABS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bookmarkStart w:id="37" w:name="OLE_LINK41"/>
            <w:bookmarkStart w:id="38" w:name="OLE_LINK42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Dermal </w:t>
            </w:r>
            <w:bookmarkStart w:id="39" w:name="OLE_LINK43"/>
            <w:bookmarkStart w:id="40" w:name="OLE_LINK44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absorption </w:t>
            </w:r>
            <w:bookmarkEnd w:id="39"/>
            <w:bookmarkEnd w:id="40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factor</w:t>
            </w:r>
            <w:bookmarkEnd w:id="37"/>
            <w:bookmarkEnd w:id="38"/>
          </w:p>
        </w:tc>
        <w:tc>
          <w:tcPr>
            <w:tcW w:w="1573" w:type="dxa"/>
            <w:gridSpan w:val="2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0.001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0.001</w:t>
            </w:r>
          </w:p>
        </w:tc>
        <w:tc>
          <w:tcPr>
            <w:tcW w:w="1653" w:type="dxa"/>
            <w:tcBorders>
              <w:top w:val="nil"/>
              <w:lef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bookmarkStart w:id="41" w:name="OLE_LINK34"/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US EPA, 2011</w:t>
            </w:r>
            <w:bookmarkEnd w:id="41"/>
          </w:p>
        </w:tc>
      </w:tr>
    </w:tbl>
    <w:p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CNEPM (China National Environmental Protection Ministry), 2014. Technical Guidelines for Risk Assessment of Contaminated Sites. China Environmental Science Press, Beijing. HJ25.3-2014. (In Chinese).</w:t>
      </w:r>
    </w:p>
    <w:p>
      <w:pPr>
        <w:pStyle w:val="9"/>
        <w:rPr>
          <w:rFonts w:ascii="Times New Roman" w:hAnsi="Times New Roman" w:cs="Times New Roman" w:eastAsiaTheme="minorEastAsia"/>
          <w:sz w:val="15"/>
          <w:szCs w:val="15"/>
        </w:rPr>
      </w:pPr>
      <w:bookmarkStart w:id="42" w:name="OLE_LINK88"/>
      <w:bookmarkStart w:id="43" w:name="OLE_LINK89"/>
      <w:r>
        <w:rPr>
          <w:rFonts w:ascii="Times New Roman" w:hAnsi="Times New Roman" w:cs="Times New Roman" w:eastAsiaTheme="minorEastAsia"/>
          <w:sz w:val="15"/>
          <w:szCs w:val="15"/>
        </w:rPr>
        <w:t>US EP</w:t>
      </w:r>
      <w:bookmarkStart w:id="44" w:name="OLE_LINK83"/>
      <w:bookmarkStart w:id="45" w:name="OLE_LINK82"/>
      <w:r>
        <w:rPr>
          <w:rFonts w:ascii="Times New Roman" w:hAnsi="Times New Roman" w:cs="Times New Roman" w:eastAsiaTheme="minorEastAsia"/>
          <w:sz w:val="15"/>
          <w:szCs w:val="15"/>
        </w:rPr>
        <w:t>A, 2011. Exposure factors handbook. National Center for Environmental Assessment. Office of Research and Development, Washington, D.C.</w:t>
      </w:r>
      <w:bookmarkEnd w:id="44"/>
      <w:bookmarkEnd w:id="45"/>
    </w:p>
    <w:bookmarkEnd w:id="42"/>
    <w:bookmarkEnd w:id="43"/>
    <w:p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>
        <w:br w:type="page"/>
      </w:r>
    </w:p>
    <w:p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Table S3</w:t>
      </w:r>
      <w:r>
        <w:rPr>
          <w:rFonts w:hint="eastAsia" w:ascii="Times New Roman" w:hAnsi="Times New Roman" w:cs="Times New Roman"/>
          <w:sz w:val="15"/>
          <w:szCs w:val="15"/>
        </w:rPr>
        <w:t xml:space="preserve"> </w:t>
      </w:r>
      <w:r>
        <w:rPr>
          <w:rFonts w:ascii="Times New Roman" w:hAnsi="Times New Roman" w:cs="Times New Roman"/>
          <w:sz w:val="15"/>
          <w:szCs w:val="15"/>
        </w:rPr>
        <w:t xml:space="preserve"> Reference dose of non-carcinogenic </w:t>
      </w:r>
      <w:r>
        <w:rPr>
          <w:rFonts w:hint="eastAsia" w:ascii="Times New Roman" w:hAnsi="Times New Roman" w:cs="Times New Roman"/>
          <w:sz w:val="15"/>
          <w:szCs w:val="15"/>
        </w:rPr>
        <w:t>PTEs</w:t>
      </w:r>
      <w:r>
        <w:rPr>
          <w:rFonts w:ascii="Times New Roman" w:hAnsi="Times New Roman" w:cs="Times New Roman"/>
          <w:sz w:val="15"/>
          <w:szCs w:val="15"/>
        </w:rPr>
        <w:t xml:space="preserve"> and slope factor of carcinogenic </w:t>
      </w:r>
      <w:r>
        <w:rPr>
          <w:rFonts w:hint="eastAsia" w:ascii="Times New Roman" w:hAnsi="Times New Roman" w:cs="Times New Roman"/>
          <w:sz w:val="15"/>
          <w:szCs w:val="15"/>
        </w:rPr>
        <w:t>PTEs</w:t>
      </w:r>
      <w:r>
        <w:rPr>
          <w:rFonts w:ascii="Times New Roman" w:hAnsi="Times New Roman" w:cs="Times New Roman"/>
          <w:sz w:val="15"/>
          <w:szCs w:val="15"/>
        </w:rPr>
        <w:t>.</w:t>
      </w:r>
    </w:p>
    <w:tbl>
      <w:tblPr>
        <w:tblStyle w:val="4"/>
        <w:tblW w:w="856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1005"/>
        <w:gridCol w:w="1302"/>
        <w:gridCol w:w="1132"/>
        <w:gridCol w:w="993"/>
        <w:gridCol w:w="1250"/>
        <w:gridCol w:w="1078"/>
        <w:gridCol w:w="122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574" w:type="dxa"/>
            <w:vMerge w:val="restart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P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TEs</w:t>
            </w:r>
          </w:p>
        </w:tc>
        <w:tc>
          <w:tcPr>
            <w:tcW w:w="3439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RfD/mg</w:t>
            </w:r>
            <w:bookmarkStart w:id="46" w:name="OLE_LINK2"/>
            <w:bookmarkStart w:id="47" w:name="OLE_LINK3"/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·</w:t>
            </w:r>
            <w:bookmarkEnd w:id="46"/>
            <w:bookmarkEnd w:id="47"/>
            <w:bookmarkStart w:id="48" w:name="OLE_LINK1"/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(kg</w:t>
            </w:r>
            <w:bookmarkStart w:id="49" w:name="OLE_LINK122"/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·</w:t>
            </w:r>
            <w:bookmarkEnd w:id="49"/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d)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-1</w:t>
            </w:r>
            <w:bookmarkEnd w:id="48"/>
          </w:p>
        </w:tc>
        <w:tc>
          <w:tcPr>
            <w:tcW w:w="3321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SF/(kg·d)·mg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-1</w:t>
            </w:r>
          </w:p>
        </w:tc>
        <w:tc>
          <w:tcPr>
            <w:tcW w:w="1226" w:type="dxa"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References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574" w:type="dxa"/>
            <w:vMerge w:val="continue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05" w:type="dxa"/>
            <w:tcBorders>
              <w:bottom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bookmarkStart w:id="50" w:name="OLE_LINK4"/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Oral ingestion</w:t>
            </w:r>
            <w:bookmarkEnd w:id="50"/>
          </w:p>
        </w:tc>
        <w:tc>
          <w:tcPr>
            <w:tcW w:w="1302" w:type="dxa"/>
            <w:tcBorders>
              <w:bottom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bookmarkStart w:id="51" w:name="OLE_LINK5"/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Respiratory inhalation</w:t>
            </w:r>
            <w:bookmarkEnd w:id="51"/>
          </w:p>
        </w:tc>
        <w:tc>
          <w:tcPr>
            <w:tcW w:w="1132" w:type="dxa"/>
            <w:tcBorders>
              <w:bottom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bookmarkStart w:id="52" w:name="OLE_LINK6"/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Dermal contact</w:t>
            </w:r>
            <w:bookmarkEnd w:id="52"/>
          </w:p>
        </w:tc>
        <w:tc>
          <w:tcPr>
            <w:tcW w:w="993" w:type="dxa"/>
            <w:tcBorders>
              <w:bottom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Oral ingestion</w:t>
            </w:r>
          </w:p>
        </w:tc>
        <w:tc>
          <w:tcPr>
            <w:tcW w:w="1250" w:type="dxa"/>
            <w:tcBorders>
              <w:bottom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Respiratory inhalation</w:t>
            </w:r>
          </w:p>
        </w:tc>
        <w:tc>
          <w:tcPr>
            <w:tcW w:w="1078" w:type="dxa"/>
            <w:tcBorders>
              <w:bottom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Dermal contact</w:t>
            </w:r>
          </w:p>
        </w:tc>
        <w:tc>
          <w:tcPr>
            <w:tcW w:w="122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574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As</w:t>
            </w:r>
          </w:p>
        </w:tc>
        <w:tc>
          <w:tcPr>
            <w:tcW w:w="1005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3.00E-04</w:t>
            </w:r>
          </w:p>
        </w:tc>
        <w:tc>
          <w:tcPr>
            <w:tcW w:w="1302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3.00E-04</w:t>
            </w:r>
          </w:p>
        </w:tc>
        <w:tc>
          <w:tcPr>
            <w:tcW w:w="1132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1.23E-04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1.50E+00</w:t>
            </w:r>
          </w:p>
        </w:tc>
        <w:tc>
          <w:tcPr>
            <w:tcW w:w="125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1.51E+01</w:t>
            </w:r>
          </w:p>
        </w:tc>
        <w:tc>
          <w:tcPr>
            <w:tcW w:w="1078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3.66E+00</w:t>
            </w:r>
          </w:p>
        </w:tc>
        <w:tc>
          <w:tcPr>
            <w:tcW w:w="1226" w:type="dxa"/>
            <w:tcBorders>
              <w:bottom w:val="nil"/>
            </w:tcBorders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US EPA, 2011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5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Cd</w:t>
            </w:r>
          </w:p>
        </w:tc>
        <w:tc>
          <w:tcPr>
            <w:tcW w:w="10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1.00E-03</w:t>
            </w: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1.00E-05</w:t>
            </w:r>
          </w:p>
        </w:tc>
        <w:tc>
          <w:tcPr>
            <w:tcW w:w="113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1.00E-05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5.10E-01</w:t>
            </w:r>
          </w:p>
        </w:tc>
        <w:tc>
          <w:tcPr>
            <w:tcW w:w="12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6.30E+00</w:t>
            </w:r>
          </w:p>
        </w:tc>
        <w:tc>
          <w:tcPr>
            <w:tcW w:w="10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2.00E+01</w:t>
            </w:r>
          </w:p>
        </w:tc>
        <w:tc>
          <w:tcPr>
            <w:tcW w:w="122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US EPA, 2011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5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Cr</w:t>
            </w:r>
          </w:p>
        </w:tc>
        <w:tc>
          <w:tcPr>
            <w:tcW w:w="10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3.00E-03</w:t>
            </w: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2.86E-05</w:t>
            </w:r>
          </w:p>
        </w:tc>
        <w:tc>
          <w:tcPr>
            <w:tcW w:w="113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6.00E-05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5.00E-01</w:t>
            </w:r>
          </w:p>
        </w:tc>
        <w:tc>
          <w:tcPr>
            <w:tcW w:w="12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4.20E+01</w:t>
            </w:r>
          </w:p>
        </w:tc>
        <w:tc>
          <w:tcPr>
            <w:tcW w:w="10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2.00E+01</w:t>
            </w:r>
          </w:p>
        </w:tc>
        <w:tc>
          <w:tcPr>
            <w:tcW w:w="122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US EPA, 2011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5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Cu</w:t>
            </w:r>
          </w:p>
        </w:tc>
        <w:tc>
          <w:tcPr>
            <w:tcW w:w="10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2.00E-02</w:t>
            </w: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2.06E-02</w:t>
            </w:r>
          </w:p>
        </w:tc>
        <w:tc>
          <w:tcPr>
            <w:tcW w:w="113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5.40E-03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25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78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22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US EPA, 2011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5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Mn</w:t>
            </w:r>
          </w:p>
        </w:tc>
        <w:tc>
          <w:tcPr>
            <w:tcW w:w="10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1.40E-01</w:t>
            </w: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5.00E-05</w:t>
            </w:r>
          </w:p>
        </w:tc>
        <w:tc>
          <w:tcPr>
            <w:tcW w:w="113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1.84E-03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25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78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22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US EPA, 2011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5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Ni</w:t>
            </w:r>
          </w:p>
        </w:tc>
        <w:tc>
          <w:tcPr>
            <w:tcW w:w="10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2.00E-02</w:t>
            </w: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2.06E-02</w:t>
            </w:r>
          </w:p>
        </w:tc>
        <w:tc>
          <w:tcPr>
            <w:tcW w:w="113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5.40E-03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8.40E-01</w:t>
            </w:r>
          </w:p>
        </w:tc>
        <w:tc>
          <w:tcPr>
            <w:tcW w:w="125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78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22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US EPA, 2011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5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Pb</w:t>
            </w:r>
          </w:p>
        </w:tc>
        <w:tc>
          <w:tcPr>
            <w:tcW w:w="10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3.50E-03</w:t>
            </w: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3.50E-03</w:t>
            </w:r>
          </w:p>
        </w:tc>
        <w:tc>
          <w:tcPr>
            <w:tcW w:w="113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5.25E-04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8.50E-02</w:t>
            </w:r>
          </w:p>
        </w:tc>
        <w:tc>
          <w:tcPr>
            <w:tcW w:w="125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78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22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US EPA, 2011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57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Zn</w:t>
            </w:r>
          </w:p>
        </w:tc>
        <w:tc>
          <w:tcPr>
            <w:tcW w:w="100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3.00E-01</w:t>
            </w:r>
          </w:p>
        </w:tc>
        <w:tc>
          <w:tcPr>
            <w:tcW w:w="130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3.00E-01</w:t>
            </w:r>
          </w:p>
        </w:tc>
        <w:tc>
          <w:tcPr>
            <w:tcW w:w="113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6.00E-02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25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78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226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US EPA, 2011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57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Ba</w:t>
            </w:r>
          </w:p>
        </w:tc>
        <w:tc>
          <w:tcPr>
            <w:tcW w:w="1005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2.00E-01</w:t>
            </w:r>
          </w:p>
        </w:tc>
        <w:tc>
          <w:tcPr>
            <w:tcW w:w="1302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2.00E-01</w:t>
            </w:r>
          </w:p>
        </w:tc>
        <w:tc>
          <w:tcPr>
            <w:tcW w:w="1132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2.00E-01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250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78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226" w:type="dxa"/>
            <w:tcBorders>
              <w:top w:val="nil"/>
            </w:tcBorders>
            <w:vAlign w:val="center"/>
          </w:tcPr>
          <w:p>
            <w:pPr>
              <w:widowControl/>
              <w:rPr>
                <w:rFonts w:ascii="Times New Roman" w:hAnsi="Times New Roman" w:eastAsia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US EPA, 2011</w:t>
            </w:r>
          </w:p>
        </w:tc>
      </w:tr>
    </w:tbl>
    <w:p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US EPA, 2011. Exposure factors handbook. National Center for Environmental Assessment. Office of Research and Development, Washington, D.C.</w:t>
      </w:r>
    </w:p>
    <w:p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</w:p>
    <w:p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br w:type="page"/>
      </w:r>
    </w:p>
    <w:p>
      <w:pPr>
        <w:rPr>
          <w:rFonts w:ascii="Times New Roman" w:hAnsi="Times New Roman" w:cs="Times New Roman"/>
          <w:sz w:val="15"/>
          <w:szCs w:val="15"/>
        </w:rPr>
      </w:pPr>
      <w:bookmarkStart w:id="53" w:name="OLE_LINK380"/>
      <w:r>
        <w:rPr>
          <w:rFonts w:ascii="Times New Roman" w:hAnsi="Times New Roman" w:cs="Times New Roman"/>
          <w:sz w:val="15"/>
          <w:szCs w:val="15"/>
        </w:rPr>
        <w:t>Table S4</w:t>
      </w:r>
    </w:p>
    <w:bookmarkEnd w:id="1"/>
    <w:bookmarkEnd w:id="2"/>
    <w:bookmarkEnd w:id="53"/>
    <w:p>
      <w:r>
        <w:rPr>
          <w:rFonts w:ascii="Times New Roman" w:hAnsi="Times New Roman" w:cs="Times New Roman"/>
          <w:sz w:val="15"/>
          <w:szCs w:val="15"/>
        </w:rPr>
        <w:t>The feature of contamination factor (CF) and enrichment factor (EF) values</w:t>
      </w:r>
      <w:r>
        <w:rPr>
          <w:rFonts w:hint="eastAsia" w:ascii="Times New Roman" w:hAnsi="Times New Roman" w:cs="Times New Roman"/>
          <w:sz w:val="15"/>
          <w:szCs w:val="15"/>
        </w:rPr>
        <w:t>.</w:t>
      </w:r>
    </w:p>
    <w:tbl>
      <w:tblPr>
        <w:tblStyle w:val="4"/>
        <w:tblW w:w="83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"/>
        <w:gridCol w:w="1086"/>
        <w:gridCol w:w="665"/>
        <w:gridCol w:w="709"/>
        <w:gridCol w:w="850"/>
        <w:gridCol w:w="851"/>
        <w:gridCol w:w="709"/>
        <w:gridCol w:w="850"/>
        <w:gridCol w:w="851"/>
        <w:gridCol w:w="708"/>
        <w:gridCol w:w="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86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6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As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Cd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Cr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Cu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Mn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Ni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Pb</w:t>
            </w: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Zn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Ba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00" w:type="dxa"/>
            <w:vMerge w:val="restart"/>
            <w:tcBorders>
              <w:top w:val="single" w:color="auto" w:sz="4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CF</w:t>
            </w:r>
          </w:p>
        </w:tc>
        <w:tc>
          <w:tcPr>
            <w:tcW w:w="108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Minimum</w:t>
            </w:r>
          </w:p>
        </w:tc>
        <w:tc>
          <w:tcPr>
            <w:tcW w:w="66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1.42 </w:t>
            </w:r>
          </w:p>
        </w:tc>
        <w:tc>
          <w:tcPr>
            <w:tcW w:w="70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0.34 </w:t>
            </w:r>
          </w:p>
        </w:tc>
        <w:tc>
          <w:tcPr>
            <w:tcW w:w="85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2.69 </w:t>
            </w:r>
          </w:p>
        </w:tc>
        <w:tc>
          <w:tcPr>
            <w:tcW w:w="85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0.74 </w:t>
            </w:r>
          </w:p>
        </w:tc>
        <w:tc>
          <w:tcPr>
            <w:tcW w:w="70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0.37 </w:t>
            </w:r>
          </w:p>
        </w:tc>
        <w:tc>
          <w:tcPr>
            <w:tcW w:w="85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2.76 </w:t>
            </w:r>
          </w:p>
        </w:tc>
        <w:tc>
          <w:tcPr>
            <w:tcW w:w="85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10.83 </w:t>
            </w:r>
          </w:p>
        </w:tc>
        <w:tc>
          <w:tcPr>
            <w:tcW w:w="708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0.67 </w:t>
            </w:r>
          </w:p>
        </w:tc>
        <w:tc>
          <w:tcPr>
            <w:tcW w:w="70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0.44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00" w:type="dxa"/>
            <w:vMerge w:val="continue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Mean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1.83 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1.87 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14.21 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1.42 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0.88 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7.58 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12.73 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1.65 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1.31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00" w:type="dxa"/>
            <w:vMerge w:val="continue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Maximum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3.19 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4.59 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76.26 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2.96 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1.32 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14.51 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14.00 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3.82 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 xml:space="preserve">2.22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00" w:type="dxa"/>
            <w:vMerge w:val="continue"/>
            <w:tcBorders>
              <w:bottom w:val="single" w:color="auto" w:sz="4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</w:p>
        </w:tc>
        <w:tc>
          <w:tcPr>
            <w:tcW w:w="1086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CF&gt;1 (%)</w:t>
            </w:r>
          </w:p>
        </w:tc>
        <w:tc>
          <w:tcPr>
            <w:tcW w:w="66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80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75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708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65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15"/>
                <w:szCs w:val="15"/>
              </w:rPr>
              <w:t>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00" w:type="dxa"/>
            <w:tcBorders>
              <w:top w:val="single" w:color="auto" w:sz="4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EF</w:t>
            </w:r>
          </w:p>
        </w:tc>
        <w:tc>
          <w:tcPr>
            <w:tcW w:w="108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Minimum</w:t>
            </w:r>
          </w:p>
        </w:tc>
        <w:tc>
          <w:tcPr>
            <w:tcW w:w="66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1.13 </w:t>
            </w:r>
          </w:p>
        </w:tc>
        <w:tc>
          <w:tcPr>
            <w:tcW w:w="70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85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2.87 </w:t>
            </w:r>
          </w:p>
        </w:tc>
        <w:tc>
          <w:tcPr>
            <w:tcW w:w="85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70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2.99 </w:t>
            </w:r>
          </w:p>
        </w:tc>
        <w:tc>
          <w:tcPr>
            <w:tcW w:w="85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9.31 </w:t>
            </w:r>
          </w:p>
        </w:tc>
        <w:tc>
          <w:tcPr>
            <w:tcW w:w="708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70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00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Mean</w:t>
            </w:r>
          </w:p>
        </w:tc>
        <w:tc>
          <w:tcPr>
            <w:tcW w:w="665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2.18 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2.12 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14.23 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1.61 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8.69 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15.45 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1.90 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1.55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00" w:type="dxa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Maximum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4.21 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4.77 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66.15 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2.31 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16.39 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36.29 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4.30 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 xml:space="preserve">2.70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00" w:type="dxa"/>
          </w:tcPr>
          <w:p>
            <w:pPr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86" w:type="dxa"/>
          </w:tcPr>
          <w:p>
            <w:pPr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EF&lt;1(%)</w:t>
            </w:r>
          </w:p>
        </w:tc>
        <w:tc>
          <w:tcPr>
            <w:tcW w:w="665" w:type="dxa"/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709" w:type="dxa"/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850" w:type="dxa"/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709" w:type="dxa"/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0" w:type="dxa"/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708" w:type="dxa"/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709" w:type="dxa"/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00" w:type="dxa"/>
          </w:tcPr>
          <w:p>
            <w:pPr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86" w:type="dxa"/>
          </w:tcPr>
          <w:p>
            <w:pPr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1&lt;EF&lt;2(%)</w:t>
            </w:r>
          </w:p>
        </w:tc>
        <w:tc>
          <w:tcPr>
            <w:tcW w:w="665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45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00" w:type="dxa"/>
          </w:tcPr>
          <w:p>
            <w:pPr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86" w:type="dxa"/>
          </w:tcPr>
          <w:p>
            <w:pPr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2&lt;EF&lt;5(%)</w:t>
            </w:r>
          </w:p>
        </w:tc>
        <w:tc>
          <w:tcPr>
            <w:tcW w:w="665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50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55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25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40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00" w:type="dxa"/>
          </w:tcPr>
          <w:p>
            <w:pPr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86" w:type="dxa"/>
          </w:tcPr>
          <w:p>
            <w:pPr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5&lt;EF&lt;20(%)</w:t>
            </w:r>
          </w:p>
        </w:tc>
        <w:tc>
          <w:tcPr>
            <w:tcW w:w="665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85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00" w:type="dxa"/>
          </w:tcPr>
          <w:p>
            <w:pPr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86" w:type="dxa"/>
          </w:tcPr>
          <w:p>
            <w:pPr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20&lt;EF&lt;40(%)</w:t>
            </w:r>
          </w:p>
        </w:tc>
        <w:tc>
          <w:tcPr>
            <w:tcW w:w="665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00" w:type="dxa"/>
            <w:tcBorders>
              <w:bottom w:val="single" w:color="auto" w:sz="4" w:space="0"/>
            </w:tcBorders>
          </w:tcPr>
          <w:p>
            <w:pPr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86" w:type="dxa"/>
            <w:tcBorders>
              <w:bottom w:val="single" w:color="auto" w:sz="4" w:space="0"/>
            </w:tcBorders>
          </w:tcPr>
          <w:p>
            <w:pPr>
              <w:widowControl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EF&gt;40(%)</w:t>
            </w:r>
          </w:p>
        </w:tc>
        <w:tc>
          <w:tcPr>
            <w:tcW w:w="665" w:type="dxa"/>
            <w:tcBorders>
              <w:top w:val="nil"/>
              <w:bottom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709" w:type="dxa"/>
            <w:tcBorders>
              <w:top w:val="nil"/>
              <w:bottom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851" w:type="dxa"/>
            <w:tcBorders>
              <w:top w:val="nil"/>
              <w:bottom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709" w:type="dxa"/>
            <w:tcBorders>
              <w:top w:val="nil"/>
              <w:bottom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851" w:type="dxa"/>
            <w:tcBorders>
              <w:top w:val="nil"/>
              <w:bottom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708" w:type="dxa"/>
            <w:tcBorders>
              <w:top w:val="nil"/>
              <w:bottom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709" w:type="dxa"/>
            <w:tcBorders>
              <w:top w:val="nil"/>
              <w:bottom w:val="single" w:color="auto" w:sz="4" w:space="0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</w:tbl>
    <w:p/>
    <w:p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>
        <w:br w:type="page"/>
      </w:r>
    </w:p>
    <w:p>
      <w:pPr>
        <w:rPr>
          <w:rFonts w:hint="eastAsia" w:ascii="Times New Roman" w:hAnsi="Times New Roman" w:cs="Times New Roman" w:eastAsiaTheme="minorEastAsia"/>
          <w:sz w:val="15"/>
          <w:szCs w:val="15"/>
          <w:lang w:eastAsia="zh-CN"/>
        </w:rPr>
      </w:pPr>
      <w:r>
        <w:rPr>
          <w:rFonts w:ascii="Times New Roman" w:hAnsi="Times New Roman" w:cs="Times New Roman"/>
          <w:sz w:val="15"/>
          <w:szCs w:val="15"/>
        </w:rPr>
        <w:t>Table S</w:t>
      </w:r>
      <w:r>
        <w:rPr>
          <w:rFonts w:hint="eastAsia" w:ascii="Times New Roman" w:hAnsi="Times New Roman" w:cs="Times New Roman"/>
          <w:sz w:val="15"/>
          <w:szCs w:val="15"/>
          <w:lang w:val="en-US" w:eastAsia="zh-CN"/>
        </w:rPr>
        <w:t>5</w:t>
      </w:r>
      <w:bookmarkStart w:id="54" w:name="_GoBack"/>
      <w:bookmarkEnd w:id="54"/>
    </w:p>
    <w:p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Percentage of individual ecological risks and comprehensive potential ecological risks of soil PTEs in the study area.</w:t>
      </w:r>
    </w:p>
    <w:tbl>
      <w:tblPr>
        <w:tblStyle w:val="4"/>
        <w:tblW w:w="576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960"/>
        <w:gridCol w:w="960"/>
        <w:gridCol w:w="960"/>
        <w:gridCol w:w="960"/>
        <w:gridCol w:w="96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6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</w:p>
        </w:tc>
        <w:tc>
          <w:tcPr>
            <w:tcW w:w="4800" w:type="dxa"/>
            <w:gridSpan w:val="5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Percentage of ecological risks at all levels 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60" w:type="dxa"/>
            <w:vMerge w:val="continue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&lt;30</w:t>
            </w:r>
          </w:p>
        </w:tc>
        <w:tc>
          <w:tcPr>
            <w:tcW w:w="96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30-60</w:t>
            </w:r>
          </w:p>
        </w:tc>
        <w:tc>
          <w:tcPr>
            <w:tcW w:w="96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60-120</w:t>
            </w:r>
          </w:p>
        </w:tc>
        <w:tc>
          <w:tcPr>
            <w:tcW w:w="96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120-240</w:t>
            </w:r>
          </w:p>
        </w:tc>
        <w:tc>
          <w:tcPr>
            <w:tcW w:w="96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&gt;240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As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Cd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Cr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65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Cu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Mn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Ni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75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Pb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80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Zn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100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&lt;70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70-140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140-280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&gt;280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PER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15"/>
                <w:szCs w:val="15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63235645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>
        <w:pPr>
          <w:pStyle w:val="2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xZGRiNTgxZTA0NzY5ZmMyNmJmNDkyYTA1ODQ5NDMifQ=="/>
  </w:docVars>
  <w:rsids>
    <w:rsidRoot w:val="00DF5A03"/>
    <w:rsid w:val="0002121F"/>
    <w:rsid w:val="00080B29"/>
    <w:rsid w:val="000B2CEB"/>
    <w:rsid w:val="0027002A"/>
    <w:rsid w:val="002866E9"/>
    <w:rsid w:val="002E54B0"/>
    <w:rsid w:val="003D7C1D"/>
    <w:rsid w:val="00411150"/>
    <w:rsid w:val="005A2E7A"/>
    <w:rsid w:val="005C3992"/>
    <w:rsid w:val="005E1CFD"/>
    <w:rsid w:val="00616CBB"/>
    <w:rsid w:val="00643000"/>
    <w:rsid w:val="006D5DD0"/>
    <w:rsid w:val="00717AFD"/>
    <w:rsid w:val="00743AC1"/>
    <w:rsid w:val="007D0E4C"/>
    <w:rsid w:val="008C3B75"/>
    <w:rsid w:val="00917B96"/>
    <w:rsid w:val="00975BE0"/>
    <w:rsid w:val="009D0560"/>
    <w:rsid w:val="00A16E26"/>
    <w:rsid w:val="00A35C35"/>
    <w:rsid w:val="00A9332C"/>
    <w:rsid w:val="00AD5810"/>
    <w:rsid w:val="00B16BB8"/>
    <w:rsid w:val="00B25BFC"/>
    <w:rsid w:val="00B41A28"/>
    <w:rsid w:val="00BC32D2"/>
    <w:rsid w:val="00BD3529"/>
    <w:rsid w:val="00C761E6"/>
    <w:rsid w:val="00CE4CBC"/>
    <w:rsid w:val="00D014B9"/>
    <w:rsid w:val="00D809B3"/>
    <w:rsid w:val="00DC4600"/>
    <w:rsid w:val="00DD07A0"/>
    <w:rsid w:val="00DF5A03"/>
    <w:rsid w:val="00E17A28"/>
    <w:rsid w:val="00E3585C"/>
    <w:rsid w:val="00EA08DE"/>
    <w:rsid w:val="00EE5C00"/>
    <w:rsid w:val="00F817D1"/>
    <w:rsid w:val="0DF73A01"/>
    <w:rsid w:val="17D808C5"/>
    <w:rsid w:val="47DD6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9">
    <w:name w:val="EndNote Bibliography"/>
    <w:basedOn w:val="1"/>
    <w:link w:val="10"/>
    <w:qFormat/>
    <w:uiPriority w:val="0"/>
    <w:rPr>
      <w:rFonts w:ascii="等线" w:hAnsi="等线" w:eastAsia="等线"/>
      <w:sz w:val="20"/>
    </w:rPr>
  </w:style>
  <w:style w:type="character" w:customStyle="1" w:styleId="10">
    <w:name w:val="EndNote Bibliography 字符"/>
    <w:basedOn w:val="6"/>
    <w:link w:val="9"/>
    <w:qFormat/>
    <w:uiPriority w:val="0"/>
    <w:rPr>
      <w:rFonts w:ascii="等线" w:hAnsi="等线" w:eastAsia="等线"/>
      <w:sz w:val="20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821</Words>
  <Characters>3646</Characters>
  <Lines>32</Lines>
  <Paragraphs>9</Paragraphs>
  <TotalTime>203</TotalTime>
  <ScaleCrop>false</ScaleCrop>
  <LinksUpToDate>false</LinksUpToDate>
  <CharactersWithSpaces>4009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2021-11-16T07:46:00Z</dcterms:created>
  <dc:creator>黄 昌辰</dc:creator>
  <cp:lastModifiedBy>Li-Mei</cp:lastModifiedBy>
  <dcterms:modified xsi:type="dcterms:W3CDTF">2022-05-10T08:09:10Z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EAE9BE8AE99F458A979689C146387F49</vt:lpwstr>
  </property>
</Properties>
</file>