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BAE9F" w14:textId="77777777" w:rsidR="00BB2E74" w:rsidRPr="00BB2E74" w:rsidRDefault="00BB2E74" w:rsidP="00BB2E74">
      <w:pPr>
        <w:spacing w:line="276" w:lineRule="auto"/>
        <w:jc w:val="both"/>
        <w:rPr>
          <w:rFonts w:ascii="Cambria" w:hAnsi="Cambria" w:cs="Calibri"/>
          <w:lang w:val="en-GB"/>
        </w:rPr>
      </w:pPr>
      <w:r w:rsidRPr="00BB2E74">
        <w:rPr>
          <w:rFonts w:ascii="Cambria" w:hAnsi="Cambria" w:cs="Calibri"/>
          <w:b/>
          <w:bCs/>
          <w:lang w:val="en-GB"/>
        </w:rPr>
        <w:t>Additional file 1.</w:t>
      </w:r>
      <w:r w:rsidRPr="00BB2E74">
        <w:rPr>
          <w:rFonts w:ascii="Cambria" w:hAnsi="Cambria" w:cs="Calibri"/>
          <w:lang w:val="en-GB"/>
        </w:rPr>
        <w:t xml:space="preserve"> Approach to scoring of histopathological parameters to evaluate ischaemia severity in skeletal muscle. </w:t>
      </w:r>
    </w:p>
    <w:p w14:paraId="7E46F13C" w14:textId="77777777" w:rsidR="00BB2E74" w:rsidRPr="0096024E" w:rsidRDefault="00BB2E74" w:rsidP="00BB2E74">
      <w:pPr>
        <w:spacing w:line="276" w:lineRule="auto"/>
        <w:rPr>
          <w:rFonts w:ascii="Cambria" w:hAnsi="Cambria" w:cs="Calibri"/>
          <w:sz w:val="18"/>
          <w:szCs w:val="18"/>
          <w:lang w:val="en-GB"/>
        </w:rPr>
      </w:pPr>
    </w:p>
    <w:tbl>
      <w:tblPr>
        <w:tblStyle w:val="TableGrid"/>
        <w:tblW w:w="0" w:type="auto"/>
        <w:tblLook w:val="04A0" w:firstRow="1" w:lastRow="0" w:firstColumn="1" w:lastColumn="0" w:noHBand="0" w:noVBand="1"/>
      </w:tblPr>
      <w:tblGrid>
        <w:gridCol w:w="421"/>
        <w:gridCol w:w="1305"/>
        <w:gridCol w:w="7290"/>
      </w:tblGrid>
      <w:tr w:rsidR="00BB2E74" w:rsidRPr="0096024E" w14:paraId="578F0283" w14:textId="77777777" w:rsidTr="00955C98">
        <w:tc>
          <w:tcPr>
            <w:tcW w:w="1726" w:type="dxa"/>
            <w:gridSpan w:val="2"/>
            <w:tcBorders>
              <w:top w:val="single" w:sz="8" w:space="0" w:color="auto"/>
              <w:left w:val="nil"/>
              <w:bottom w:val="single" w:sz="8" w:space="0" w:color="auto"/>
              <w:right w:val="nil"/>
            </w:tcBorders>
            <w:shd w:val="clear" w:color="auto" w:fill="D8D9D9"/>
          </w:tcPr>
          <w:p w14:paraId="02A18515"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t>INFLAMMATION:</w:t>
            </w:r>
          </w:p>
        </w:tc>
        <w:tc>
          <w:tcPr>
            <w:tcW w:w="7290" w:type="dxa"/>
            <w:tcBorders>
              <w:top w:val="single" w:sz="8" w:space="0" w:color="auto"/>
              <w:left w:val="nil"/>
              <w:bottom w:val="single" w:sz="8" w:space="0" w:color="auto"/>
              <w:right w:val="nil"/>
            </w:tcBorders>
            <w:shd w:val="clear" w:color="auto" w:fill="D8D9D9"/>
            <w:vAlign w:val="center"/>
          </w:tcPr>
          <w:p w14:paraId="097B3AE4"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 xml:space="preserve">The terminology ‘inflammation’ refers when leukocyte accumulatios are part of an active inflammatory process in combination of other concurrent features such as vascular changes, presence of necrosis, fibrosis and disruption of muscle fibre architecture. Leukocyte ‘infiltration’ is most appropriately used when leukocyte accumulations are present in tissue without other disruption or </w:t>
            </w:r>
            <w:r w:rsidRPr="004F6A76">
              <w:rPr>
                <w:rFonts w:ascii="Calibri" w:hAnsi="Calibri" w:cs="Calibri"/>
                <w:b/>
                <w:bCs/>
                <w:sz w:val="19"/>
                <w:szCs w:val="19"/>
                <w:lang w:val="en-GB"/>
              </w:rPr>
              <w:t xml:space="preserve">pathology </w:t>
            </w:r>
            <w:r w:rsidRPr="004F6A76">
              <w:rPr>
                <w:rFonts w:ascii="Calibri" w:hAnsi="Calibri" w:cs="Calibri"/>
                <w:b/>
                <w:bCs/>
                <w:sz w:val="19"/>
                <w:szCs w:val="19"/>
              </w:rPr>
              <w:t>[1].</w:t>
            </w:r>
          </w:p>
        </w:tc>
      </w:tr>
      <w:tr w:rsidR="00BB2E74" w:rsidRPr="0096024E" w14:paraId="64E28B8E" w14:textId="77777777" w:rsidTr="00955C98">
        <w:trPr>
          <w:trHeight w:val="325"/>
        </w:trPr>
        <w:tc>
          <w:tcPr>
            <w:tcW w:w="421" w:type="dxa"/>
            <w:tcBorders>
              <w:top w:val="single" w:sz="8" w:space="0" w:color="auto"/>
              <w:left w:val="nil"/>
              <w:bottom w:val="nil"/>
              <w:right w:val="nil"/>
            </w:tcBorders>
            <w:vAlign w:val="center"/>
          </w:tcPr>
          <w:p w14:paraId="24604994"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305" w:type="dxa"/>
            <w:tcBorders>
              <w:top w:val="single" w:sz="8" w:space="0" w:color="auto"/>
              <w:left w:val="nil"/>
              <w:bottom w:val="nil"/>
              <w:right w:val="nil"/>
            </w:tcBorders>
            <w:vAlign w:val="center"/>
          </w:tcPr>
          <w:p w14:paraId="1CF36FD6"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Normal</w:t>
            </w:r>
          </w:p>
        </w:tc>
        <w:tc>
          <w:tcPr>
            <w:tcW w:w="7290" w:type="dxa"/>
            <w:tcBorders>
              <w:top w:val="single" w:sz="8" w:space="0" w:color="auto"/>
              <w:left w:val="nil"/>
              <w:bottom w:val="nil"/>
              <w:right w:val="nil"/>
            </w:tcBorders>
            <w:vAlign w:val="center"/>
          </w:tcPr>
          <w:p w14:paraId="421619A4"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Absence </w:t>
            </w:r>
            <w:r>
              <w:rPr>
                <w:rFonts w:ascii="Calibri" w:hAnsi="Calibri" w:cs="Calibri"/>
                <w:sz w:val="19"/>
                <w:szCs w:val="19"/>
                <w:lang w:val="en-GB"/>
              </w:rPr>
              <w:t xml:space="preserve">or minor presence </w:t>
            </w:r>
            <w:r w:rsidRPr="0096024E">
              <w:rPr>
                <w:rFonts w:ascii="Calibri" w:hAnsi="Calibri" w:cs="Calibri"/>
                <w:sz w:val="19"/>
                <w:szCs w:val="19"/>
                <w:lang w:val="en-GB"/>
              </w:rPr>
              <w:t xml:space="preserve">of </w:t>
            </w:r>
            <w:r>
              <w:rPr>
                <w:rFonts w:ascii="Calibri" w:hAnsi="Calibri" w:cs="Calibri"/>
                <w:sz w:val="19"/>
                <w:szCs w:val="19"/>
                <w:lang w:val="en-GB"/>
              </w:rPr>
              <w:t xml:space="preserve">vascular associated </w:t>
            </w:r>
            <w:r w:rsidRPr="0096024E">
              <w:rPr>
                <w:rFonts w:ascii="Calibri" w:hAnsi="Calibri" w:cs="Calibri"/>
                <w:sz w:val="19"/>
                <w:szCs w:val="19"/>
                <w:lang w:val="en-GB"/>
              </w:rPr>
              <w:t>leukocyte accumulations</w:t>
            </w:r>
            <w:r>
              <w:rPr>
                <w:rFonts w:ascii="Calibri" w:hAnsi="Calibri" w:cs="Calibri"/>
                <w:sz w:val="19"/>
                <w:szCs w:val="19"/>
                <w:lang w:val="en-GB"/>
              </w:rPr>
              <w:t>.</w:t>
            </w:r>
          </w:p>
        </w:tc>
      </w:tr>
      <w:tr w:rsidR="00BB2E74" w:rsidRPr="0096024E" w14:paraId="53407812" w14:textId="77777777" w:rsidTr="00955C98">
        <w:trPr>
          <w:trHeight w:val="485"/>
        </w:trPr>
        <w:tc>
          <w:tcPr>
            <w:tcW w:w="421" w:type="dxa"/>
            <w:tcBorders>
              <w:top w:val="nil"/>
              <w:left w:val="nil"/>
              <w:bottom w:val="nil"/>
              <w:right w:val="nil"/>
            </w:tcBorders>
            <w:vAlign w:val="center"/>
          </w:tcPr>
          <w:p w14:paraId="6210C4C3"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305" w:type="dxa"/>
            <w:tcBorders>
              <w:top w:val="nil"/>
              <w:left w:val="nil"/>
              <w:bottom w:val="nil"/>
              <w:right w:val="nil"/>
            </w:tcBorders>
            <w:vAlign w:val="center"/>
          </w:tcPr>
          <w:p w14:paraId="3859688C"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Mild</w:t>
            </w:r>
          </w:p>
        </w:tc>
        <w:tc>
          <w:tcPr>
            <w:tcW w:w="7290" w:type="dxa"/>
            <w:tcBorders>
              <w:top w:val="nil"/>
              <w:left w:val="nil"/>
              <w:bottom w:val="nil"/>
              <w:right w:val="nil"/>
            </w:tcBorders>
            <w:vAlign w:val="center"/>
          </w:tcPr>
          <w:p w14:paraId="590C986D"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Locali</w:t>
            </w:r>
            <w:r>
              <w:rPr>
                <w:rFonts w:ascii="Calibri" w:hAnsi="Calibri" w:cs="Calibri"/>
                <w:sz w:val="19"/>
                <w:szCs w:val="19"/>
                <w:lang w:val="en-GB"/>
              </w:rPr>
              <w:t>s</w:t>
            </w:r>
            <w:r w:rsidRPr="0096024E">
              <w:rPr>
                <w:rFonts w:ascii="Calibri" w:hAnsi="Calibri" w:cs="Calibri"/>
                <w:sz w:val="19"/>
                <w:szCs w:val="19"/>
                <w:lang w:val="en-GB"/>
              </w:rPr>
              <w:t>ed or mildly scattered leukocyte accumulation</w:t>
            </w:r>
            <w:r>
              <w:rPr>
                <w:rFonts w:ascii="Calibri" w:hAnsi="Calibri" w:cs="Calibri"/>
                <w:sz w:val="19"/>
                <w:szCs w:val="19"/>
                <w:lang w:val="en-GB"/>
              </w:rPr>
              <w:t xml:space="preserve"> in tissue</w:t>
            </w:r>
            <w:r w:rsidRPr="0096024E">
              <w:rPr>
                <w:rFonts w:ascii="Calibri" w:hAnsi="Calibri" w:cs="Calibri"/>
                <w:sz w:val="19"/>
                <w:szCs w:val="19"/>
                <w:lang w:val="en-GB"/>
              </w:rPr>
              <w:t>, with no evidence of significant damage of muscle fibre bundles (e.g. leukocyte infiltration).</w:t>
            </w:r>
          </w:p>
        </w:tc>
      </w:tr>
      <w:tr w:rsidR="00BB2E74" w:rsidRPr="0096024E" w14:paraId="670474EC" w14:textId="77777777" w:rsidTr="00955C98">
        <w:tc>
          <w:tcPr>
            <w:tcW w:w="421" w:type="dxa"/>
            <w:tcBorders>
              <w:top w:val="nil"/>
              <w:left w:val="nil"/>
              <w:bottom w:val="nil"/>
              <w:right w:val="nil"/>
            </w:tcBorders>
            <w:vAlign w:val="center"/>
          </w:tcPr>
          <w:p w14:paraId="6B4B28A6"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2</w:t>
            </w:r>
          </w:p>
        </w:tc>
        <w:tc>
          <w:tcPr>
            <w:tcW w:w="1305" w:type="dxa"/>
            <w:tcBorders>
              <w:top w:val="nil"/>
              <w:left w:val="nil"/>
              <w:bottom w:val="nil"/>
              <w:right w:val="nil"/>
            </w:tcBorders>
            <w:vAlign w:val="center"/>
          </w:tcPr>
          <w:p w14:paraId="3D63478A"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Moderate</w:t>
            </w:r>
          </w:p>
        </w:tc>
        <w:tc>
          <w:tcPr>
            <w:tcW w:w="7290" w:type="dxa"/>
            <w:tcBorders>
              <w:top w:val="nil"/>
              <w:left w:val="nil"/>
              <w:bottom w:val="nil"/>
              <w:right w:val="nil"/>
            </w:tcBorders>
            <w:vAlign w:val="center"/>
          </w:tcPr>
          <w:p w14:paraId="24BC4DE1"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Moderately scattered or multifocal cluster leukocyte accumulation, with disruption of several muscle fibres and with/without presence of active phagocytosis</w:t>
            </w:r>
            <w:r>
              <w:rPr>
                <w:rFonts w:ascii="Calibri" w:hAnsi="Calibri" w:cs="Calibri"/>
                <w:sz w:val="19"/>
                <w:szCs w:val="19"/>
                <w:lang w:val="en-GB"/>
              </w:rPr>
              <w:t>.</w:t>
            </w:r>
          </w:p>
        </w:tc>
      </w:tr>
      <w:tr w:rsidR="00BB2E74" w:rsidRPr="0096024E" w14:paraId="0FB7DBE4" w14:textId="77777777" w:rsidTr="00955C98">
        <w:trPr>
          <w:trHeight w:val="538"/>
        </w:trPr>
        <w:tc>
          <w:tcPr>
            <w:tcW w:w="421" w:type="dxa"/>
            <w:tcBorders>
              <w:top w:val="nil"/>
              <w:left w:val="nil"/>
              <w:bottom w:val="single" w:sz="8" w:space="0" w:color="auto"/>
              <w:right w:val="nil"/>
            </w:tcBorders>
            <w:vAlign w:val="center"/>
          </w:tcPr>
          <w:p w14:paraId="310666D0"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3</w:t>
            </w:r>
          </w:p>
        </w:tc>
        <w:tc>
          <w:tcPr>
            <w:tcW w:w="1305" w:type="dxa"/>
            <w:tcBorders>
              <w:top w:val="nil"/>
              <w:left w:val="nil"/>
              <w:bottom w:val="single" w:sz="8" w:space="0" w:color="auto"/>
              <w:right w:val="nil"/>
            </w:tcBorders>
            <w:vAlign w:val="center"/>
          </w:tcPr>
          <w:p w14:paraId="5DA314AC"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Severe</w:t>
            </w:r>
          </w:p>
        </w:tc>
        <w:tc>
          <w:tcPr>
            <w:tcW w:w="7290" w:type="dxa"/>
            <w:tcBorders>
              <w:top w:val="nil"/>
              <w:left w:val="nil"/>
              <w:bottom w:val="single" w:sz="8" w:space="0" w:color="auto"/>
              <w:right w:val="nil"/>
            </w:tcBorders>
            <w:vAlign w:val="center"/>
          </w:tcPr>
          <w:p w14:paraId="545D05E4"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Leukocyte accumulation scattered across large areas of muscle, or with large multifocal clusters, accompanied by a significant loss of muscle fibre integrity with active phagocytosis and </w:t>
            </w:r>
            <w:r>
              <w:rPr>
                <w:rFonts w:ascii="Calibri" w:hAnsi="Calibri" w:cs="Calibri"/>
                <w:sz w:val="19"/>
                <w:szCs w:val="19"/>
                <w:lang w:val="en-GB"/>
              </w:rPr>
              <w:t xml:space="preserve">accompanied with or without moderate/severe presence of </w:t>
            </w:r>
            <w:r w:rsidRPr="0096024E">
              <w:rPr>
                <w:rFonts w:ascii="Calibri" w:hAnsi="Calibri" w:cs="Calibri"/>
                <w:sz w:val="19"/>
                <w:szCs w:val="19"/>
                <w:lang w:val="en-GB"/>
              </w:rPr>
              <w:t>necrosis and/or fibrosis.</w:t>
            </w:r>
          </w:p>
        </w:tc>
      </w:tr>
    </w:tbl>
    <w:p w14:paraId="1B7B6810" w14:textId="77777777" w:rsidR="00BB2E74" w:rsidRPr="0096024E" w:rsidRDefault="00BB2E74" w:rsidP="00BB2E74">
      <w:pPr>
        <w:ind w:hanging="142"/>
        <w:rPr>
          <w:rFonts w:ascii="Cambria" w:hAnsi="Cambria" w:cs="Calibri"/>
          <w:b/>
          <w:bCs/>
          <w:sz w:val="13"/>
          <w:szCs w:val="13"/>
          <w:lang w:val="en-GB"/>
        </w:rPr>
      </w:pPr>
    </w:p>
    <w:p w14:paraId="6853E40F" w14:textId="77777777" w:rsidR="00BB2E74" w:rsidRPr="0096024E" w:rsidRDefault="00BB2E74" w:rsidP="00BB2E74">
      <w:pPr>
        <w:ind w:hanging="142"/>
        <w:rPr>
          <w:rFonts w:ascii="Cambria" w:hAnsi="Cambria" w:cs="Calibri"/>
          <w:b/>
          <w:bCs/>
          <w:lang w:val="en-GB"/>
        </w:rPr>
      </w:pPr>
      <w:r w:rsidRPr="0096024E">
        <w:rPr>
          <w:rFonts w:ascii="Cambria" w:hAnsi="Cambria" w:cs="Calibri"/>
          <w:b/>
          <w:bCs/>
          <w:noProof/>
          <w:lang w:eastAsia="en-IE"/>
        </w:rPr>
        <w:drawing>
          <wp:inline distT="0" distB="0" distL="0" distR="0" wp14:anchorId="5897E8CF" wp14:editId="56CB4529">
            <wp:extent cx="5796000" cy="180508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96000" cy="1805081"/>
                    </a:xfrm>
                    <a:prstGeom prst="rect">
                      <a:avLst/>
                    </a:prstGeom>
                  </pic:spPr>
                </pic:pic>
              </a:graphicData>
            </a:graphic>
          </wp:inline>
        </w:drawing>
      </w:r>
    </w:p>
    <w:p w14:paraId="756100C4" w14:textId="77777777" w:rsidR="00BB2E74" w:rsidRPr="0096024E" w:rsidRDefault="00BB2E74" w:rsidP="00BB2E74">
      <w:pPr>
        <w:rPr>
          <w:rFonts w:ascii="Cambria" w:hAnsi="Cambria" w:cs="Calibri"/>
          <w:b/>
          <w:bCs/>
          <w:lang w:val="en-GB"/>
        </w:rPr>
      </w:pPr>
    </w:p>
    <w:p w14:paraId="25675FEF" w14:textId="77777777" w:rsidR="00BB2E74" w:rsidRPr="0096024E" w:rsidRDefault="00BB2E74" w:rsidP="00BB2E74">
      <w:pPr>
        <w:rPr>
          <w:rFonts w:ascii="Cambria" w:hAnsi="Cambria" w:cs="Calibri"/>
          <w:b/>
          <w:bCs/>
          <w:lang w:val="en-GB"/>
        </w:rPr>
      </w:pPr>
    </w:p>
    <w:tbl>
      <w:tblPr>
        <w:tblStyle w:val="TableGrid"/>
        <w:tblW w:w="0" w:type="auto"/>
        <w:tblLook w:val="04A0" w:firstRow="1" w:lastRow="0" w:firstColumn="1" w:lastColumn="0" w:noHBand="0" w:noVBand="1"/>
      </w:tblPr>
      <w:tblGrid>
        <w:gridCol w:w="421"/>
        <w:gridCol w:w="1305"/>
        <w:gridCol w:w="7290"/>
      </w:tblGrid>
      <w:tr w:rsidR="00BB2E74" w:rsidRPr="0096024E" w14:paraId="4A165DD5" w14:textId="77777777" w:rsidTr="00955C98">
        <w:tc>
          <w:tcPr>
            <w:tcW w:w="1726" w:type="dxa"/>
            <w:gridSpan w:val="2"/>
            <w:tcBorders>
              <w:top w:val="single" w:sz="8" w:space="0" w:color="auto"/>
              <w:left w:val="nil"/>
              <w:bottom w:val="single" w:sz="8" w:space="0" w:color="auto"/>
              <w:right w:val="nil"/>
            </w:tcBorders>
            <w:shd w:val="clear" w:color="auto" w:fill="D8D9D9"/>
          </w:tcPr>
          <w:p w14:paraId="09D809B4"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t>FIBROSIS:</w:t>
            </w:r>
          </w:p>
        </w:tc>
        <w:tc>
          <w:tcPr>
            <w:tcW w:w="7290" w:type="dxa"/>
            <w:tcBorders>
              <w:top w:val="single" w:sz="8" w:space="0" w:color="auto"/>
              <w:left w:val="nil"/>
              <w:bottom w:val="single" w:sz="8" w:space="0" w:color="auto"/>
              <w:right w:val="nil"/>
            </w:tcBorders>
            <w:shd w:val="clear" w:color="auto" w:fill="D8D9D9"/>
            <w:vAlign w:val="center"/>
          </w:tcPr>
          <w:p w14:paraId="3FF8E282"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 xml:space="preserve">Muscle fibrosis is often </w:t>
            </w:r>
            <w:proofErr w:type="gramStart"/>
            <w:r w:rsidRPr="0096024E">
              <w:rPr>
                <w:rFonts w:ascii="Calibri" w:hAnsi="Calibri" w:cs="Calibri"/>
                <w:b/>
                <w:bCs/>
                <w:sz w:val="19"/>
                <w:szCs w:val="19"/>
                <w:lang w:val="en-GB"/>
              </w:rPr>
              <w:t>the end result</w:t>
            </w:r>
            <w:proofErr w:type="gramEnd"/>
            <w:r w:rsidRPr="0096024E">
              <w:rPr>
                <w:rFonts w:ascii="Calibri" w:hAnsi="Calibri" w:cs="Calibri"/>
                <w:b/>
                <w:bCs/>
                <w:sz w:val="19"/>
                <w:szCs w:val="19"/>
                <w:lang w:val="en-GB"/>
              </w:rPr>
              <w:t xml:space="preserve"> of an initial inflammatory process. In H&amp;E staining, fibrosis is characterised by increased amounts of pale eosinophilic fibrillar material (collagen deposition) separating and surrounding adjacent myofibers</w:t>
            </w:r>
            <w:r>
              <w:rPr>
                <w:rFonts w:ascii="Calibri" w:hAnsi="Calibri" w:cs="Calibri"/>
                <w:b/>
                <w:bCs/>
                <w:sz w:val="19"/>
                <w:szCs w:val="19"/>
                <w:lang w:val="en-GB"/>
              </w:rPr>
              <w:t xml:space="preserve"> [2]</w:t>
            </w:r>
            <w:r w:rsidRPr="0096024E">
              <w:rPr>
                <w:rFonts w:ascii="Calibri" w:hAnsi="Calibri" w:cs="Calibri"/>
                <w:b/>
                <w:bCs/>
                <w:sz w:val="19"/>
                <w:szCs w:val="19"/>
                <w:lang w:val="en-GB"/>
              </w:rPr>
              <w:t>. In the Mallory’s Trichrome stain, collagen fibres appear stained in blue</w:t>
            </w:r>
            <w:r>
              <w:rPr>
                <w:rFonts w:ascii="Calibri" w:hAnsi="Calibri" w:cs="Calibri"/>
                <w:b/>
                <w:bCs/>
                <w:sz w:val="19"/>
                <w:szCs w:val="19"/>
                <w:lang w:val="en-GB"/>
              </w:rPr>
              <w:t xml:space="preserve"> (recommended staining).</w:t>
            </w:r>
          </w:p>
        </w:tc>
      </w:tr>
      <w:tr w:rsidR="00BB2E74" w:rsidRPr="0096024E" w14:paraId="317353B5" w14:textId="77777777" w:rsidTr="00955C98">
        <w:trPr>
          <w:trHeight w:val="325"/>
        </w:trPr>
        <w:tc>
          <w:tcPr>
            <w:tcW w:w="421" w:type="dxa"/>
            <w:tcBorders>
              <w:top w:val="single" w:sz="8" w:space="0" w:color="auto"/>
              <w:left w:val="nil"/>
              <w:bottom w:val="nil"/>
              <w:right w:val="nil"/>
            </w:tcBorders>
            <w:vAlign w:val="center"/>
          </w:tcPr>
          <w:p w14:paraId="571A8E97"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305" w:type="dxa"/>
            <w:tcBorders>
              <w:top w:val="single" w:sz="8" w:space="0" w:color="auto"/>
              <w:left w:val="nil"/>
              <w:bottom w:val="nil"/>
              <w:right w:val="nil"/>
            </w:tcBorders>
            <w:vAlign w:val="center"/>
          </w:tcPr>
          <w:p w14:paraId="30DD2B5F"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Normal</w:t>
            </w:r>
          </w:p>
        </w:tc>
        <w:tc>
          <w:tcPr>
            <w:tcW w:w="7290" w:type="dxa"/>
            <w:tcBorders>
              <w:top w:val="single" w:sz="8" w:space="0" w:color="auto"/>
              <w:left w:val="nil"/>
              <w:bottom w:val="nil"/>
              <w:right w:val="nil"/>
            </w:tcBorders>
            <w:vAlign w:val="center"/>
          </w:tcPr>
          <w:p w14:paraId="2FD5A04C"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Normal connective tissue, collagen is present in epimysium, perimysium and endomysium at normal levels. </w:t>
            </w:r>
          </w:p>
        </w:tc>
      </w:tr>
      <w:tr w:rsidR="00BB2E74" w:rsidRPr="0096024E" w14:paraId="3C4F809E" w14:textId="77777777" w:rsidTr="00955C98">
        <w:tc>
          <w:tcPr>
            <w:tcW w:w="421" w:type="dxa"/>
            <w:tcBorders>
              <w:top w:val="nil"/>
              <w:left w:val="nil"/>
              <w:bottom w:val="nil"/>
              <w:right w:val="nil"/>
            </w:tcBorders>
            <w:vAlign w:val="center"/>
          </w:tcPr>
          <w:p w14:paraId="305F2743"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305" w:type="dxa"/>
            <w:tcBorders>
              <w:top w:val="nil"/>
              <w:left w:val="nil"/>
              <w:bottom w:val="nil"/>
              <w:right w:val="nil"/>
            </w:tcBorders>
            <w:vAlign w:val="center"/>
          </w:tcPr>
          <w:p w14:paraId="4D720D61"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Mild</w:t>
            </w:r>
          </w:p>
        </w:tc>
        <w:tc>
          <w:tcPr>
            <w:tcW w:w="7290" w:type="dxa"/>
            <w:tcBorders>
              <w:top w:val="nil"/>
              <w:left w:val="nil"/>
              <w:bottom w:val="nil"/>
              <w:right w:val="nil"/>
            </w:tcBorders>
            <w:vAlign w:val="center"/>
          </w:tcPr>
          <w:p w14:paraId="2B782C7D"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Early changes consisting of mild increase of deposits of pale eosinophilic material (H&amp;E) or blue-stained fibrillar collagen (Mallory Trichrome) in endomysium and perimysium. </w:t>
            </w:r>
          </w:p>
        </w:tc>
      </w:tr>
      <w:tr w:rsidR="00BB2E74" w:rsidRPr="0096024E" w14:paraId="693FE02E" w14:textId="77777777" w:rsidTr="00955C98">
        <w:tc>
          <w:tcPr>
            <w:tcW w:w="421" w:type="dxa"/>
            <w:tcBorders>
              <w:top w:val="nil"/>
              <w:left w:val="nil"/>
              <w:bottom w:val="nil"/>
              <w:right w:val="nil"/>
            </w:tcBorders>
            <w:vAlign w:val="center"/>
          </w:tcPr>
          <w:p w14:paraId="5105F2A2"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2</w:t>
            </w:r>
          </w:p>
        </w:tc>
        <w:tc>
          <w:tcPr>
            <w:tcW w:w="1305" w:type="dxa"/>
            <w:tcBorders>
              <w:top w:val="nil"/>
              <w:left w:val="nil"/>
              <w:bottom w:val="nil"/>
              <w:right w:val="nil"/>
            </w:tcBorders>
            <w:vAlign w:val="center"/>
          </w:tcPr>
          <w:p w14:paraId="6C3A0465"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Moderate</w:t>
            </w:r>
          </w:p>
        </w:tc>
        <w:tc>
          <w:tcPr>
            <w:tcW w:w="7290" w:type="dxa"/>
            <w:tcBorders>
              <w:top w:val="nil"/>
              <w:left w:val="nil"/>
              <w:bottom w:val="nil"/>
              <w:right w:val="nil"/>
            </w:tcBorders>
            <w:vAlign w:val="center"/>
          </w:tcPr>
          <w:p w14:paraId="08C784D7"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Moderate increased deposition of </w:t>
            </w:r>
            <w:proofErr w:type="spellStart"/>
            <w:r w:rsidRPr="0096024E">
              <w:rPr>
                <w:rFonts w:ascii="Calibri" w:hAnsi="Calibri" w:cs="Calibri"/>
                <w:sz w:val="19"/>
                <w:szCs w:val="19"/>
                <w:lang w:val="en-GB"/>
              </w:rPr>
              <w:t>endomysial</w:t>
            </w:r>
            <w:proofErr w:type="spellEnd"/>
            <w:r w:rsidRPr="0096024E">
              <w:rPr>
                <w:rFonts w:ascii="Calibri" w:hAnsi="Calibri" w:cs="Calibri"/>
                <w:sz w:val="19"/>
                <w:szCs w:val="19"/>
                <w:lang w:val="en-GB"/>
              </w:rPr>
              <w:t xml:space="preserve"> connective tissue separating and surrounding adjacent fibres with attenuation of several muscle fibres.</w:t>
            </w:r>
          </w:p>
        </w:tc>
      </w:tr>
      <w:tr w:rsidR="00BB2E74" w:rsidRPr="0096024E" w14:paraId="2A95854C" w14:textId="77777777" w:rsidTr="00955C98">
        <w:trPr>
          <w:trHeight w:val="421"/>
        </w:trPr>
        <w:tc>
          <w:tcPr>
            <w:tcW w:w="421" w:type="dxa"/>
            <w:tcBorders>
              <w:top w:val="nil"/>
              <w:left w:val="nil"/>
              <w:bottom w:val="single" w:sz="8" w:space="0" w:color="auto"/>
              <w:right w:val="nil"/>
            </w:tcBorders>
            <w:vAlign w:val="center"/>
          </w:tcPr>
          <w:p w14:paraId="528827C4"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3</w:t>
            </w:r>
          </w:p>
        </w:tc>
        <w:tc>
          <w:tcPr>
            <w:tcW w:w="1305" w:type="dxa"/>
            <w:tcBorders>
              <w:top w:val="nil"/>
              <w:left w:val="nil"/>
              <w:bottom w:val="single" w:sz="8" w:space="0" w:color="auto"/>
              <w:right w:val="nil"/>
            </w:tcBorders>
            <w:vAlign w:val="center"/>
          </w:tcPr>
          <w:p w14:paraId="4C6A68FD"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Severe</w:t>
            </w:r>
          </w:p>
        </w:tc>
        <w:tc>
          <w:tcPr>
            <w:tcW w:w="7290" w:type="dxa"/>
            <w:tcBorders>
              <w:top w:val="nil"/>
              <w:left w:val="nil"/>
              <w:bottom w:val="single" w:sz="8" w:space="0" w:color="auto"/>
              <w:right w:val="nil"/>
            </w:tcBorders>
            <w:vAlign w:val="center"/>
          </w:tcPr>
          <w:p w14:paraId="294A8322"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Marked presence of collagen deposits in large areas with generalised attenuation and loss of tissue architecture and</w:t>
            </w:r>
            <w:r>
              <w:rPr>
                <w:rFonts w:ascii="Calibri" w:hAnsi="Calibri" w:cs="Calibri"/>
                <w:sz w:val="19"/>
                <w:szCs w:val="19"/>
                <w:lang w:val="en-GB"/>
              </w:rPr>
              <w:t xml:space="preserve"> often with</w:t>
            </w:r>
            <w:r w:rsidRPr="0096024E">
              <w:rPr>
                <w:rFonts w:ascii="Calibri" w:hAnsi="Calibri" w:cs="Calibri"/>
                <w:sz w:val="19"/>
                <w:szCs w:val="19"/>
                <w:lang w:val="en-GB"/>
              </w:rPr>
              <w:t xml:space="preserve"> presence of necrotic muscle fibres (dark, purple-stained myoblasts).</w:t>
            </w:r>
          </w:p>
        </w:tc>
      </w:tr>
    </w:tbl>
    <w:p w14:paraId="45277533" w14:textId="77777777" w:rsidR="00BB2E74" w:rsidRPr="0096024E" w:rsidRDefault="00BB2E74" w:rsidP="00BB2E74">
      <w:pPr>
        <w:rPr>
          <w:rFonts w:ascii="Cambria" w:hAnsi="Cambria" w:cs="Calibri"/>
          <w:b/>
          <w:bCs/>
          <w:lang w:val="en-GB"/>
        </w:rPr>
      </w:pPr>
    </w:p>
    <w:p w14:paraId="15C7EF09" w14:textId="77777777" w:rsidR="00BB2E74" w:rsidRPr="0096024E" w:rsidRDefault="00BB2E74" w:rsidP="00BB2E74">
      <w:pPr>
        <w:ind w:hanging="142"/>
        <w:rPr>
          <w:rFonts w:ascii="Cambria" w:hAnsi="Cambria" w:cs="Calibri"/>
          <w:b/>
          <w:bCs/>
          <w:lang w:val="en-GB"/>
        </w:rPr>
      </w:pPr>
      <w:r w:rsidRPr="0096024E">
        <w:rPr>
          <w:rFonts w:ascii="Cambria" w:hAnsi="Cambria" w:cs="Calibri"/>
          <w:b/>
          <w:bCs/>
          <w:noProof/>
          <w:lang w:eastAsia="en-IE"/>
        </w:rPr>
        <w:drawing>
          <wp:inline distT="0" distB="0" distL="0" distR="0" wp14:anchorId="4F290851" wp14:editId="7430DDC5">
            <wp:extent cx="5895279" cy="1836000"/>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895279" cy="1836000"/>
                    </a:xfrm>
                    <a:prstGeom prst="rect">
                      <a:avLst/>
                    </a:prstGeom>
                  </pic:spPr>
                </pic:pic>
              </a:graphicData>
            </a:graphic>
          </wp:inline>
        </w:drawing>
      </w:r>
    </w:p>
    <w:tbl>
      <w:tblPr>
        <w:tblStyle w:val="TableGrid"/>
        <w:tblW w:w="0" w:type="auto"/>
        <w:tblLook w:val="04A0" w:firstRow="1" w:lastRow="0" w:firstColumn="1" w:lastColumn="0" w:noHBand="0" w:noVBand="1"/>
      </w:tblPr>
      <w:tblGrid>
        <w:gridCol w:w="421"/>
        <w:gridCol w:w="1305"/>
        <w:gridCol w:w="7290"/>
      </w:tblGrid>
      <w:tr w:rsidR="00BB2E74" w:rsidRPr="0096024E" w14:paraId="16145C3C" w14:textId="77777777" w:rsidTr="00955C98">
        <w:trPr>
          <w:trHeight w:val="689"/>
        </w:trPr>
        <w:tc>
          <w:tcPr>
            <w:tcW w:w="1726" w:type="dxa"/>
            <w:gridSpan w:val="2"/>
            <w:tcBorders>
              <w:top w:val="single" w:sz="8" w:space="0" w:color="auto"/>
              <w:left w:val="nil"/>
              <w:bottom w:val="single" w:sz="8" w:space="0" w:color="auto"/>
              <w:right w:val="nil"/>
            </w:tcBorders>
            <w:shd w:val="clear" w:color="auto" w:fill="D8D9D9"/>
          </w:tcPr>
          <w:p w14:paraId="3229E704"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lastRenderedPageBreak/>
              <w:t>NECROSIS:</w:t>
            </w:r>
          </w:p>
        </w:tc>
        <w:tc>
          <w:tcPr>
            <w:tcW w:w="7290" w:type="dxa"/>
            <w:tcBorders>
              <w:top w:val="single" w:sz="8" w:space="0" w:color="auto"/>
              <w:left w:val="nil"/>
              <w:bottom w:val="single" w:sz="8" w:space="0" w:color="auto"/>
              <w:right w:val="nil"/>
            </w:tcBorders>
            <w:shd w:val="clear" w:color="auto" w:fill="D8D9D9"/>
            <w:vAlign w:val="center"/>
          </w:tcPr>
          <w:p w14:paraId="0C904784"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 xml:space="preserve">Necrosis is histologically characterised by </w:t>
            </w:r>
            <w:proofErr w:type="spellStart"/>
            <w:r w:rsidRPr="0096024E">
              <w:rPr>
                <w:rFonts w:ascii="Calibri" w:hAnsi="Calibri" w:cs="Calibri"/>
                <w:b/>
                <w:bCs/>
                <w:sz w:val="19"/>
                <w:szCs w:val="19"/>
                <w:lang w:val="en-GB"/>
              </w:rPr>
              <w:t>hypereosinophilic</w:t>
            </w:r>
            <w:proofErr w:type="spellEnd"/>
            <w:r w:rsidRPr="0096024E">
              <w:rPr>
                <w:rFonts w:ascii="Calibri" w:hAnsi="Calibri" w:cs="Calibri"/>
                <w:b/>
                <w:bCs/>
                <w:sz w:val="19"/>
                <w:szCs w:val="19"/>
                <w:lang w:val="en-GB"/>
              </w:rPr>
              <w:t xml:space="preserve"> (pale) fibres in H&amp;E, or purple-stained myofibers under Mallory’s Trichrome staining</w:t>
            </w:r>
            <w:r>
              <w:rPr>
                <w:rFonts w:ascii="Calibri" w:hAnsi="Calibri" w:cs="Calibri"/>
                <w:b/>
                <w:bCs/>
                <w:sz w:val="19"/>
                <w:szCs w:val="19"/>
                <w:lang w:val="en-GB"/>
              </w:rPr>
              <w:t xml:space="preserve"> (recommended staining)</w:t>
            </w:r>
            <w:r w:rsidRPr="0096024E">
              <w:rPr>
                <w:rFonts w:ascii="Calibri" w:hAnsi="Calibri" w:cs="Calibri"/>
                <w:b/>
                <w:bCs/>
                <w:sz w:val="19"/>
                <w:szCs w:val="19"/>
                <w:lang w:val="en-GB"/>
              </w:rPr>
              <w:t>. Necrotic myofibers may or may not exhibit concurrent inflammation, fibrosis and dystrophic minerali</w:t>
            </w:r>
            <w:r>
              <w:rPr>
                <w:rFonts w:ascii="Calibri" w:hAnsi="Calibri" w:cs="Calibri"/>
                <w:b/>
                <w:bCs/>
                <w:sz w:val="19"/>
                <w:szCs w:val="19"/>
                <w:lang w:val="en-GB"/>
              </w:rPr>
              <w:t>s</w:t>
            </w:r>
            <w:r w:rsidRPr="0096024E">
              <w:rPr>
                <w:rFonts w:ascii="Calibri" w:hAnsi="Calibri" w:cs="Calibri"/>
                <w:b/>
                <w:bCs/>
                <w:sz w:val="19"/>
                <w:szCs w:val="19"/>
                <w:lang w:val="en-GB"/>
              </w:rPr>
              <w:t>ation</w:t>
            </w:r>
            <w:r>
              <w:rPr>
                <w:rFonts w:ascii="Calibri" w:hAnsi="Calibri" w:cs="Calibri"/>
                <w:b/>
                <w:bCs/>
                <w:sz w:val="19"/>
                <w:szCs w:val="19"/>
                <w:lang w:val="en-GB"/>
              </w:rPr>
              <w:t xml:space="preserve"> (calcification) [3,4].</w:t>
            </w:r>
            <w:r w:rsidRPr="0096024E">
              <w:rPr>
                <w:rFonts w:ascii="Calibri" w:hAnsi="Calibri" w:cs="Calibri"/>
                <w:b/>
                <w:bCs/>
                <w:sz w:val="19"/>
                <w:szCs w:val="19"/>
                <w:lang w:val="en-GB"/>
              </w:rPr>
              <w:t xml:space="preserve"> </w:t>
            </w:r>
          </w:p>
        </w:tc>
      </w:tr>
      <w:tr w:rsidR="00BB2E74" w:rsidRPr="0096024E" w14:paraId="2CCCE0E2" w14:textId="77777777" w:rsidTr="00955C98">
        <w:trPr>
          <w:trHeight w:val="325"/>
        </w:trPr>
        <w:tc>
          <w:tcPr>
            <w:tcW w:w="421" w:type="dxa"/>
            <w:tcBorders>
              <w:top w:val="single" w:sz="8" w:space="0" w:color="auto"/>
              <w:left w:val="nil"/>
              <w:bottom w:val="nil"/>
              <w:right w:val="nil"/>
            </w:tcBorders>
            <w:vAlign w:val="center"/>
          </w:tcPr>
          <w:p w14:paraId="26233600"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305" w:type="dxa"/>
            <w:tcBorders>
              <w:top w:val="single" w:sz="8" w:space="0" w:color="auto"/>
              <w:left w:val="nil"/>
              <w:bottom w:val="nil"/>
              <w:right w:val="nil"/>
            </w:tcBorders>
            <w:vAlign w:val="center"/>
          </w:tcPr>
          <w:p w14:paraId="2FDB6D6D"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Normal</w:t>
            </w:r>
          </w:p>
        </w:tc>
        <w:tc>
          <w:tcPr>
            <w:tcW w:w="7290" w:type="dxa"/>
            <w:tcBorders>
              <w:top w:val="single" w:sz="8" w:space="0" w:color="auto"/>
              <w:left w:val="nil"/>
              <w:bottom w:val="nil"/>
              <w:right w:val="nil"/>
            </w:tcBorders>
            <w:vAlign w:val="center"/>
          </w:tcPr>
          <w:p w14:paraId="1001B6C2"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Normal appearance of muscle fibres, characterised by presence of peripheral nuclei, and regular polygonal shape.</w:t>
            </w:r>
          </w:p>
        </w:tc>
      </w:tr>
      <w:tr w:rsidR="00BB2E74" w:rsidRPr="0096024E" w14:paraId="6C0F16D8" w14:textId="77777777" w:rsidTr="00955C98">
        <w:tc>
          <w:tcPr>
            <w:tcW w:w="421" w:type="dxa"/>
            <w:tcBorders>
              <w:top w:val="nil"/>
              <w:left w:val="nil"/>
              <w:bottom w:val="nil"/>
              <w:right w:val="nil"/>
            </w:tcBorders>
            <w:vAlign w:val="center"/>
          </w:tcPr>
          <w:p w14:paraId="4ADBFE9D"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305" w:type="dxa"/>
            <w:tcBorders>
              <w:top w:val="nil"/>
              <w:left w:val="nil"/>
              <w:bottom w:val="nil"/>
              <w:right w:val="nil"/>
            </w:tcBorders>
            <w:vAlign w:val="center"/>
          </w:tcPr>
          <w:p w14:paraId="74C3B5EF"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Mild</w:t>
            </w:r>
          </w:p>
        </w:tc>
        <w:tc>
          <w:tcPr>
            <w:tcW w:w="7290" w:type="dxa"/>
            <w:tcBorders>
              <w:top w:val="nil"/>
              <w:left w:val="nil"/>
              <w:bottom w:val="nil"/>
              <w:right w:val="nil"/>
            </w:tcBorders>
            <w:vAlign w:val="center"/>
          </w:tcPr>
          <w:p w14:paraId="1327770E"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Necrotic fibres are focal to a small region, affecting only a few </w:t>
            </w:r>
            <w:proofErr w:type="spellStart"/>
            <w:r w:rsidRPr="0096024E">
              <w:rPr>
                <w:rFonts w:ascii="Calibri" w:hAnsi="Calibri" w:cs="Calibri"/>
                <w:sz w:val="19"/>
                <w:szCs w:val="19"/>
                <w:lang w:val="en-GB"/>
              </w:rPr>
              <w:t>myofibres</w:t>
            </w:r>
            <w:proofErr w:type="spellEnd"/>
            <w:r w:rsidRPr="0096024E">
              <w:rPr>
                <w:rFonts w:ascii="Calibri" w:hAnsi="Calibri" w:cs="Calibri"/>
                <w:sz w:val="19"/>
                <w:szCs w:val="19"/>
                <w:lang w:val="en-GB"/>
              </w:rPr>
              <w:t>, very often presence dystrophic minerali</w:t>
            </w:r>
            <w:r>
              <w:rPr>
                <w:rFonts w:ascii="Calibri" w:hAnsi="Calibri" w:cs="Calibri"/>
                <w:sz w:val="19"/>
                <w:szCs w:val="19"/>
                <w:lang w:val="en-GB"/>
              </w:rPr>
              <w:t>s</w:t>
            </w:r>
            <w:r w:rsidRPr="0096024E">
              <w:rPr>
                <w:rFonts w:ascii="Calibri" w:hAnsi="Calibri" w:cs="Calibri"/>
                <w:sz w:val="19"/>
                <w:szCs w:val="19"/>
                <w:lang w:val="en-GB"/>
              </w:rPr>
              <w:t>ation (calcification). Affected fibres can appear vacuolated and fragmented, pale (H&amp;E) or purple (Mallory trichrome), swollen, round, peripheral nuclei are lost, with minor or no phagocytosis.</w:t>
            </w:r>
          </w:p>
        </w:tc>
      </w:tr>
      <w:tr w:rsidR="00BB2E74" w:rsidRPr="0096024E" w14:paraId="435CDE51" w14:textId="77777777" w:rsidTr="00955C98">
        <w:tc>
          <w:tcPr>
            <w:tcW w:w="421" w:type="dxa"/>
            <w:tcBorders>
              <w:top w:val="nil"/>
              <w:left w:val="nil"/>
              <w:bottom w:val="nil"/>
              <w:right w:val="nil"/>
            </w:tcBorders>
            <w:vAlign w:val="center"/>
          </w:tcPr>
          <w:p w14:paraId="19EC569B"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2</w:t>
            </w:r>
          </w:p>
        </w:tc>
        <w:tc>
          <w:tcPr>
            <w:tcW w:w="1305" w:type="dxa"/>
            <w:tcBorders>
              <w:top w:val="nil"/>
              <w:left w:val="nil"/>
              <w:bottom w:val="nil"/>
              <w:right w:val="nil"/>
            </w:tcBorders>
            <w:vAlign w:val="center"/>
          </w:tcPr>
          <w:p w14:paraId="1AC32EC9"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Moderate</w:t>
            </w:r>
          </w:p>
        </w:tc>
        <w:tc>
          <w:tcPr>
            <w:tcW w:w="7290" w:type="dxa"/>
            <w:tcBorders>
              <w:top w:val="nil"/>
              <w:left w:val="nil"/>
              <w:bottom w:val="nil"/>
              <w:right w:val="nil"/>
            </w:tcBorders>
            <w:vAlign w:val="center"/>
          </w:tcPr>
          <w:p w14:paraId="4CE68A85"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Necrotic fibres are locali</w:t>
            </w:r>
            <w:r>
              <w:rPr>
                <w:rFonts w:ascii="Calibri" w:hAnsi="Calibri" w:cs="Calibri"/>
                <w:sz w:val="19"/>
                <w:szCs w:val="19"/>
                <w:lang w:val="en-GB"/>
              </w:rPr>
              <w:t>s</w:t>
            </w:r>
            <w:r w:rsidRPr="0096024E">
              <w:rPr>
                <w:rFonts w:ascii="Calibri" w:hAnsi="Calibri" w:cs="Calibri"/>
                <w:sz w:val="19"/>
                <w:szCs w:val="19"/>
                <w:lang w:val="en-GB"/>
              </w:rPr>
              <w:t xml:space="preserve">ed to one area, affecting only one bundle of </w:t>
            </w:r>
            <w:proofErr w:type="spellStart"/>
            <w:r w:rsidRPr="0096024E">
              <w:rPr>
                <w:rFonts w:ascii="Calibri" w:hAnsi="Calibri" w:cs="Calibri"/>
                <w:sz w:val="19"/>
                <w:szCs w:val="19"/>
                <w:lang w:val="en-GB"/>
              </w:rPr>
              <w:t>myofibres</w:t>
            </w:r>
            <w:proofErr w:type="spellEnd"/>
            <w:r w:rsidRPr="0096024E">
              <w:rPr>
                <w:rFonts w:ascii="Calibri" w:hAnsi="Calibri" w:cs="Calibri"/>
                <w:sz w:val="19"/>
                <w:szCs w:val="19"/>
                <w:lang w:val="en-GB"/>
              </w:rPr>
              <w:t>. Affected fibres can appear vacuolated and fragmented, pale (H&amp;E) or purple (Mallory trichrome), swollen, round, peripheral nuclei are lost. It may be accompanied with moderated leukocyte accumulation and/or active phagocytosis surrounding.</w:t>
            </w:r>
          </w:p>
        </w:tc>
      </w:tr>
      <w:tr w:rsidR="00BB2E74" w:rsidRPr="0096024E" w14:paraId="0320A50F" w14:textId="77777777" w:rsidTr="00955C98">
        <w:tc>
          <w:tcPr>
            <w:tcW w:w="421" w:type="dxa"/>
            <w:tcBorders>
              <w:top w:val="nil"/>
              <w:left w:val="nil"/>
              <w:bottom w:val="single" w:sz="8" w:space="0" w:color="auto"/>
              <w:right w:val="nil"/>
            </w:tcBorders>
            <w:vAlign w:val="center"/>
          </w:tcPr>
          <w:p w14:paraId="5CC9A6A3"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3</w:t>
            </w:r>
          </w:p>
        </w:tc>
        <w:tc>
          <w:tcPr>
            <w:tcW w:w="1305" w:type="dxa"/>
            <w:tcBorders>
              <w:top w:val="nil"/>
              <w:left w:val="nil"/>
              <w:bottom w:val="single" w:sz="8" w:space="0" w:color="auto"/>
              <w:right w:val="nil"/>
            </w:tcBorders>
            <w:vAlign w:val="center"/>
          </w:tcPr>
          <w:p w14:paraId="3F0A938E"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Severe</w:t>
            </w:r>
          </w:p>
        </w:tc>
        <w:tc>
          <w:tcPr>
            <w:tcW w:w="7290" w:type="dxa"/>
            <w:tcBorders>
              <w:top w:val="nil"/>
              <w:left w:val="nil"/>
              <w:bottom w:val="single" w:sz="8" w:space="0" w:color="auto"/>
              <w:right w:val="nil"/>
            </w:tcBorders>
            <w:vAlign w:val="center"/>
          </w:tcPr>
          <w:p w14:paraId="13CB8E59"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Necrotic fibres are locali</w:t>
            </w:r>
            <w:r>
              <w:rPr>
                <w:rFonts w:ascii="Calibri" w:hAnsi="Calibri" w:cs="Calibri"/>
                <w:sz w:val="19"/>
                <w:szCs w:val="19"/>
                <w:lang w:val="en-GB"/>
              </w:rPr>
              <w:t>s</w:t>
            </w:r>
            <w:r w:rsidRPr="0096024E">
              <w:rPr>
                <w:rFonts w:ascii="Calibri" w:hAnsi="Calibri" w:cs="Calibri"/>
                <w:sz w:val="19"/>
                <w:szCs w:val="19"/>
                <w:lang w:val="en-GB"/>
              </w:rPr>
              <w:t>ed to more than one</w:t>
            </w:r>
            <w:r>
              <w:rPr>
                <w:rFonts w:ascii="Calibri" w:hAnsi="Calibri" w:cs="Calibri"/>
                <w:sz w:val="19"/>
                <w:szCs w:val="19"/>
                <w:lang w:val="en-GB"/>
              </w:rPr>
              <w:t xml:space="preserve"> focal</w:t>
            </w:r>
            <w:r w:rsidRPr="0096024E">
              <w:rPr>
                <w:rFonts w:ascii="Calibri" w:hAnsi="Calibri" w:cs="Calibri"/>
                <w:sz w:val="19"/>
                <w:szCs w:val="19"/>
                <w:lang w:val="en-GB"/>
              </w:rPr>
              <w:t xml:space="preserve"> area, affecting several muscle </w:t>
            </w:r>
            <w:proofErr w:type="gramStart"/>
            <w:r w:rsidRPr="0096024E">
              <w:rPr>
                <w:rFonts w:ascii="Calibri" w:hAnsi="Calibri" w:cs="Calibri"/>
                <w:sz w:val="19"/>
                <w:szCs w:val="19"/>
                <w:lang w:val="en-GB"/>
              </w:rPr>
              <w:t>fibre</w:t>
            </w:r>
            <w:proofErr w:type="gramEnd"/>
            <w:r w:rsidRPr="0096024E">
              <w:rPr>
                <w:rFonts w:ascii="Calibri" w:hAnsi="Calibri" w:cs="Calibri"/>
                <w:sz w:val="19"/>
                <w:szCs w:val="19"/>
                <w:lang w:val="en-GB"/>
              </w:rPr>
              <w:t xml:space="preserve"> bundles. It may be accompanied with moderate leucocyte accumulation and/or active phagocytosis surrounding. </w:t>
            </w:r>
          </w:p>
        </w:tc>
      </w:tr>
    </w:tbl>
    <w:p w14:paraId="1668D0D2" w14:textId="77777777" w:rsidR="00BB2E74" w:rsidRPr="0096024E" w:rsidRDefault="00BB2E74" w:rsidP="00BB2E74">
      <w:pPr>
        <w:rPr>
          <w:rFonts w:ascii="Cambria" w:hAnsi="Cambria" w:cs="Calibri"/>
          <w:b/>
          <w:bCs/>
          <w:sz w:val="8"/>
          <w:szCs w:val="8"/>
          <w:lang w:val="en-GB"/>
        </w:rPr>
      </w:pPr>
    </w:p>
    <w:p w14:paraId="4E1FCDC0" w14:textId="77777777" w:rsidR="00BB2E74" w:rsidRPr="0096024E" w:rsidRDefault="00BB2E74" w:rsidP="00BB2E74">
      <w:pPr>
        <w:rPr>
          <w:rFonts w:ascii="Cambria" w:hAnsi="Cambria" w:cs="Calibri"/>
          <w:b/>
          <w:bCs/>
          <w:lang w:val="en-GB"/>
        </w:rPr>
      </w:pPr>
      <w:r w:rsidRPr="00C74618">
        <w:rPr>
          <w:rFonts w:ascii="Cambria" w:hAnsi="Cambria" w:cs="Calibri"/>
          <w:b/>
          <w:bCs/>
          <w:noProof/>
          <w:lang w:eastAsia="en-IE"/>
        </w:rPr>
        <w:drawing>
          <wp:inline distT="0" distB="0" distL="0" distR="0" wp14:anchorId="11B8C050" wp14:editId="77B66658">
            <wp:extent cx="5731510" cy="25850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585085"/>
                    </a:xfrm>
                    <a:prstGeom prst="rect">
                      <a:avLst/>
                    </a:prstGeom>
                  </pic:spPr>
                </pic:pic>
              </a:graphicData>
            </a:graphic>
          </wp:inline>
        </w:drawing>
      </w:r>
    </w:p>
    <w:p w14:paraId="352517D7" w14:textId="77777777" w:rsidR="00BB2E74" w:rsidRPr="0096024E" w:rsidRDefault="00BB2E74" w:rsidP="00BB2E74">
      <w:pPr>
        <w:rPr>
          <w:rFonts w:ascii="Cambria" w:hAnsi="Cambria" w:cs="Calibri"/>
          <w:b/>
          <w:bCs/>
          <w:sz w:val="15"/>
          <w:szCs w:val="15"/>
          <w:lang w:val="en-GB"/>
        </w:rPr>
      </w:pPr>
    </w:p>
    <w:tbl>
      <w:tblPr>
        <w:tblStyle w:val="TableGrid"/>
        <w:tblW w:w="0" w:type="auto"/>
        <w:tblLook w:val="04A0" w:firstRow="1" w:lastRow="0" w:firstColumn="1" w:lastColumn="0" w:noHBand="0" w:noVBand="1"/>
      </w:tblPr>
      <w:tblGrid>
        <w:gridCol w:w="421"/>
        <w:gridCol w:w="1305"/>
        <w:gridCol w:w="7290"/>
      </w:tblGrid>
      <w:tr w:rsidR="00BB2E74" w:rsidRPr="0096024E" w14:paraId="12968C9A" w14:textId="77777777" w:rsidTr="00955C98">
        <w:trPr>
          <w:trHeight w:val="582"/>
        </w:trPr>
        <w:tc>
          <w:tcPr>
            <w:tcW w:w="1726" w:type="dxa"/>
            <w:gridSpan w:val="2"/>
            <w:tcBorders>
              <w:top w:val="single" w:sz="8" w:space="0" w:color="auto"/>
              <w:left w:val="nil"/>
              <w:bottom w:val="single" w:sz="8" w:space="0" w:color="auto"/>
              <w:right w:val="nil"/>
            </w:tcBorders>
            <w:shd w:val="clear" w:color="auto" w:fill="D8D9D9"/>
          </w:tcPr>
          <w:p w14:paraId="6B106BD1"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t>ADIPOCYTE (fat) INFILTRATION:</w:t>
            </w:r>
          </w:p>
        </w:tc>
        <w:tc>
          <w:tcPr>
            <w:tcW w:w="7290" w:type="dxa"/>
            <w:tcBorders>
              <w:top w:val="single" w:sz="8" w:space="0" w:color="auto"/>
              <w:left w:val="nil"/>
              <w:bottom w:val="single" w:sz="8" w:space="0" w:color="auto"/>
              <w:right w:val="nil"/>
            </w:tcBorders>
            <w:shd w:val="clear" w:color="auto" w:fill="D8D9D9"/>
            <w:vAlign w:val="center"/>
          </w:tcPr>
          <w:p w14:paraId="70053386"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Regeneration impairment leads to fibre substitution with ectopic tissues including inter-muscle (perymisium) and intra-muscle (endomysium) accumulation of adipocytes</w:t>
            </w:r>
            <w:r>
              <w:rPr>
                <w:rFonts w:ascii="Calibri" w:hAnsi="Calibri" w:cs="Calibri"/>
                <w:b/>
                <w:bCs/>
                <w:sz w:val="19"/>
                <w:szCs w:val="19"/>
                <w:lang w:val="en-GB"/>
              </w:rPr>
              <w:t xml:space="preserve"> [5].</w:t>
            </w:r>
          </w:p>
        </w:tc>
      </w:tr>
      <w:tr w:rsidR="00BB2E74" w:rsidRPr="0096024E" w14:paraId="3E623135" w14:textId="77777777" w:rsidTr="00955C98">
        <w:trPr>
          <w:trHeight w:val="325"/>
        </w:trPr>
        <w:tc>
          <w:tcPr>
            <w:tcW w:w="421" w:type="dxa"/>
            <w:tcBorders>
              <w:top w:val="single" w:sz="8" w:space="0" w:color="auto"/>
              <w:left w:val="nil"/>
              <w:bottom w:val="nil"/>
              <w:right w:val="nil"/>
            </w:tcBorders>
            <w:vAlign w:val="center"/>
          </w:tcPr>
          <w:p w14:paraId="349C993B"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305" w:type="dxa"/>
            <w:tcBorders>
              <w:top w:val="single" w:sz="8" w:space="0" w:color="auto"/>
              <w:left w:val="nil"/>
              <w:bottom w:val="nil"/>
              <w:right w:val="nil"/>
            </w:tcBorders>
            <w:vAlign w:val="center"/>
          </w:tcPr>
          <w:p w14:paraId="76AF497E"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Normal</w:t>
            </w:r>
          </w:p>
        </w:tc>
        <w:tc>
          <w:tcPr>
            <w:tcW w:w="7290" w:type="dxa"/>
            <w:tcBorders>
              <w:top w:val="single" w:sz="8" w:space="0" w:color="auto"/>
              <w:left w:val="nil"/>
              <w:bottom w:val="nil"/>
              <w:right w:val="nil"/>
            </w:tcBorders>
            <w:vAlign w:val="center"/>
          </w:tcPr>
          <w:p w14:paraId="3DA3578A"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Adipose tissue is present in normal sites (</w:t>
            </w:r>
            <w:proofErr w:type="spellStart"/>
            <w:r w:rsidRPr="0096024E">
              <w:rPr>
                <w:rFonts w:ascii="Calibri" w:hAnsi="Calibri" w:cs="Calibri"/>
                <w:sz w:val="19"/>
                <w:szCs w:val="19"/>
                <w:lang w:val="en-GB"/>
              </w:rPr>
              <w:t>e.g</w:t>
            </w:r>
            <w:proofErr w:type="spellEnd"/>
            <w:r w:rsidRPr="0096024E">
              <w:rPr>
                <w:rFonts w:ascii="Calibri" w:hAnsi="Calibri" w:cs="Calibri"/>
                <w:sz w:val="19"/>
                <w:szCs w:val="19"/>
                <w:lang w:val="en-GB"/>
              </w:rPr>
              <w:t xml:space="preserve"> in perymisium surrounding neurovascular bundles, subcutaneous fat surrounded by epimysium).</w:t>
            </w:r>
          </w:p>
        </w:tc>
      </w:tr>
      <w:tr w:rsidR="00BB2E74" w:rsidRPr="0096024E" w14:paraId="2984E318" w14:textId="77777777" w:rsidTr="00955C98">
        <w:trPr>
          <w:trHeight w:val="245"/>
        </w:trPr>
        <w:tc>
          <w:tcPr>
            <w:tcW w:w="421" w:type="dxa"/>
            <w:tcBorders>
              <w:top w:val="nil"/>
              <w:left w:val="nil"/>
              <w:bottom w:val="nil"/>
              <w:right w:val="nil"/>
            </w:tcBorders>
            <w:vAlign w:val="center"/>
          </w:tcPr>
          <w:p w14:paraId="5806A38E"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305" w:type="dxa"/>
            <w:tcBorders>
              <w:top w:val="nil"/>
              <w:left w:val="nil"/>
              <w:bottom w:val="nil"/>
              <w:right w:val="nil"/>
            </w:tcBorders>
            <w:vAlign w:val="center"/>
          </w:tcPr>
          <w:p w14:paraId="11BD6E9B"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Mild</w:t>
            </w:r>
          </w:p>
        </w:tc>
        <w:tc>
          <w:tcPr>
            <w:tcW w:w="7290" w:type="dxa"/>
            <w:tcBorders>
              <w:top w:val="nil"/>
              <w:left w:val="nil"/>
              <w:bottom w:val="nil"/>
              <w:right w:val="nil"/>
            </w:tcBorders>
            <w:vAlign w:val="center"/>
          </w:tcPr>
          <w:p w14:paraId="2B48F8FE" w14:textId="77777777" w:rsidR="00BB2E74" w:rsidRPr="0096024E" w:rsidRDefault="00BB2E74" w:rsidP="00955C98">
            <w:pPr>
              <w:jc w:val="both"/>
              <w:rPr>
                <w:rFonts w:ascii="Calibri" w:hAnsi="Calibri" w:cs="Calibri"/>
                <w:sz w:val="19"/>
                <w:szCs w:val="19"/>
                <w:lang w:val="en-GB"/>
              </w:rPr>
            </w:pPr>
            <w:r>
              <w:rPr>
                <w:rFonts w:ascii="Calibri" w:hAnsi="Calibri" w:cs="Calibri"/>
                <w:sz w:val="19"/>
                <w:szCs w:val="19"/>
                <w:lang w:val="en-GB"/>
              </w:rPr>
              <w:t>S</w:t>
            </w:r>
            <w:r w:rsidRPr="0096024E">
              <w:rPr>
                <w:rFonts w:ascii="Calibri" w:hAnsi="Calibri" w:cs="Calibri"/>
                <w:sz w:val="19"/>
                <w:szCs w:val="19"/>
                <w:lang w:val="en-GB"/>
              </w:rPr>
              <w:t>cattered accumulation of adipose tissue (in small clusters) in the perymisium and endomysium.</w:t>
            </w:r>
          </w:p>
        </w:tc>
      </w:tr>
      <w:tr w:rsidR="00BB2E74" w:rsidRPr="0096024E" w14:paraId="5BC868C2" w14:textId="77777777" w:rsidTr="00955C98">
        <w:trPr>
          <w:trHeight w:val="291"/>
        </w:trPr>
        <w:tc>
          <w:tcPr>
            <w:tcW w:w="421" w:type="dxa"/>
            <w:tcBorders>
              <w:top w:val="nil"/>
              <w:left w:val="nil"/>
              <w:bottom w:val="nil"/>
              <w:right w:val="nil"/>
            </w:tcBorders>
            <w:vAlign w:val="center"/>
          </w:tcPr>
          <w:p w14:paraId="6A08D9BF"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2</w:t>
            </w:r>
          </w:p>
        </w:tc>
        <w:tc>
          <w:tcPr>
            <w:tcW w:w="1305" w:type="dxa"/>
            <w:tcBorders>
              <w:top w:val="nil"/>
              <w:left w:val="nil"/>
              <w:bottom w:val="nil"/>
              <w:right w:val="nil"/>
            </w:tcBorders>
            <w:vAlign w:val="center"/>
          </w:tcPr>
          <w:p w14:paraId="70965FE8"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Moderate</w:t>
            </w:r>
          </w:p>
        </w:tc>
        <w:tc>
          <w:tcPr>
            <w:tcW w:w="7290" w:type="dxa"/>
            <w:tcBorders>
              <w:top w:val="nil"/>
              <w:left w:val="nil"/>
              <w:bottom w:val="nil"/>
              <w:right w:val="nil"/>
            </w:tcBorders>
            <w:vAlign w:val="center"/>
          </w:tcPr>
          <w:p w14:paraId="53EA3A38"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Large clusters or moderately scattered accumulation of adipose tissue in the perymisium and endomysium. </w:t>
            </w:r>
            <w:r>
              <w:rPr>
                <w:rFonts w:ascii="Calibri" w:hAnsi="Calibri" w:cs="Calibri"/>
                <w:sz w:val="19"/>
                <w:szCs w:val="19"/>
                <w:lang w:val="en-GB"/>
              </w:rPr>
              <w:t>Hint: a</w:t>
            </w:r>
            <w:r w:rsidRPr="0096024E">
              <w:rPr>
                <w:rFonts w:ascii="Calibri" w:hAnsi="Calibri" w:cs="Calibri"/>
                <w:sz w:val="19"/>
                <w:szCs w:val="19"/>
                <w:lang w:val="en-GB"/>
              </w:rPr>
              <w:t>dipocyte infiltration is not present in all fields of view at 10X (not counting areas of severe inflammation)</w:t>
            </w:r>
          </w:p>
        </w:tc>
      </w:tr>
      <w:tr w:rsidR="00BB2E74" w:rsidRPr="0096024E" w14:paraId="2A949F1A" w14:textId="77777777" w:rsidTr="00955C98">
        <w:trPr>
          <w:trHeight w:val="281"/>
        </w:trPr>
        <w:tc>
          <w:tcPr>
            <w:tcW w:w="421" w:type="dxa"/>
            <w:tcBorders>
              <w:top w:val="nil"/>
              <w:left w:val="nil"/>
              <w:bottom w:val="single" w:sz="8" w:space="0" w:color="auto"/>
              <w:right w:val="nil"/>
            </w:tcBorders>
            <w:vAlign w:val="center"/>
          </w:tcPr>
          <w:p w14:paraId="3267C254"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3</w:t>
            </w:r>
          </w:p>
        </w:tc>
        <w:tc>
          <w:tcPr>
            <w:tcW w:w="1305" w:type="dxa"/>
            <w:tcBorders>
              <w:top w:val="nil"/>
              <w:left w:val="nil"/>
              <w:bottom w:val="single" w:sz="8" w:space="0" w:color="auto"/>
              <w:right w:val="nil"/>
            </w:tcBorders>
            <w:vAlign w:val="center"/>
          </w:tcPr>
          <w:p w14:paraId="5196E0EA"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Severe</w:t>
            </w:r>
          </w:p>
        </w:tc>
        <w:tc>
          <w:tcPr>
            <w:tcW w:w="7290" w:type="dxa"/>
            <w:tcBorders>
              <w:top w:val="nil"/>
              <w:left w:val="nil"/>
              <w:bottom w:val="single" w:sz="8" w:space="0" w:color="auto"/>
              <w:right w:val="nil"/>
            </w:tcBorders>
            <w:vAlign w:val="center"/>
          </w:tcPr>
          <w:p w14:paraId="243F4707"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Markedly increased and widely spread</w:t>
            </w:r>
            <w:r>
              <w:rPr>
                <w:rFonts w:ascii="Calibri" w:hAnsi="Calibri" w:cs="Calibri"/>
                <w:sz w:val="19"/>
                <w:szCs w:val="19"/>
                <w:lang w:val="en-GB"/>
              </w:rPr>
              <w:t xml:space="preserve"> large clusters of</w:t>
            </w:r>
            <w:r w:rsidRPr="0096024E">
              <w:rPr>
                <w:rFonts w:ascii="Calibri" w:hAnsi="Calibri" w:cs="Calibri"/>
                <w:sz w:val="19"/>
                <w:szCs w:val="19"/>
                <w:lang w:val="en-GB"/>
              </w:rPr>
              <w:t xml:space="preserve"> adipocyte accumulation in the perymisium and endomysium. </w:t>
            </w:r>
            <w:r>
              <w:rPr>
                <w:rFonts w:ascii="Calibri" w:hAnsi="Calibri" w:cs="Calibri"/>
                <w:sz w:val="19"/>
                <w:szCs w:val="19"/>
                <w:lang w:val="en-GB"/>
              </w:rPr>
              <w:t xml:space="preserve">Hint: </w:t>
            </w:r>
            <w:r w:rsidRPr="0096024E">
              <w:rPr>
                <w:rFonts w:ascii="Calibri" w:hAnsi="Calibri" w:cs="Calibri"/>
                <w:sz w:val="19"/>
                <w:szCs w:val="19"/>
                <w:lang w:val="en-GB"/>
              </w:rPr>
              <w:t xml:space="preserve">Adipocyte infiltration present in all fields of view at 10X. </w:t>
            </w:r>
          </w:p>
        </w:tc>
      </w:tr>
    </w:tbl>
    <w:p w14:paraId="22A86DD5" w14:textId="77777777" w:rsidR="00BB2E74" w:rsidRPr="0096024E" w:rsidRDefault="00BB2E74" w:rsidP="00BB2E74">
      <w:pPr>
        <w:rPr>
          <w:rFonts w:ascii="Cambria" w:hAnsi="Cambria" w:cs="Calibri"/>
          <w:b/>
          <w:bCs/>
          <w:sz w:val="15"/>
          <w:szCs w:val="15"/>
          <w:lang w:val="en-GB"/>
        </w:rPr>
      </w:pPr>
      <w:r w:rsidRPr="0096024E">
        <w:rPr>
          <w:rFonts w:ascii="Cambria" w:hAnsi="Cambria" w:cs="Calibri"/>
          <w:b/>
          <w:bCs/>
          <w:noProof/>
          <w:lang w:eastAsia="en-IE"/>
        </w:rPr>
        <w:drawing>
          <wp:inline distT="0" distB="0" distL="0" distR="0" wp14:anchorId="2B814165" wp14:editId="18B68A3F">
            <wp:extent cx="5731510" cy="1784584"/>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1784584"/>
                    </a:xfrm>
                    <a:prstGeom prst="rect">
                      <a:avLst/>
                    </a:prstGeom>
                  </pic:spPr>
                </pic:pic>
              </a:graphicData>
            </a:graphic>
          </wp:inline>
        </w:drawing>
      </w:r>
    </w:p>
    <w:tbl>
      <w:tblPr>
        <w:tblStyle w:val="TableGrid"/>
        <w:tblW w:w="0" w:type="auto"/>
        <w:tblLook w:val="04A0" w:firstRow="1" w:lastRow="0" w:firstColumn="1" w:lastColumn="0" w:noHBand="0" w:noVBand="1"/>
      </w:tblPr>
      <w:tblGrid>
        <w:gridCol w:w="421"/>
        <w:gridCol w:w="1305"/>
        <w:gridCol w:w="7290"/>
      </w:tblGrid>
      <w:tr w:rsidR="00BB2E74" w:rsidRPr="0096024E" w14:paraId="730A47AB" w14:textId="77777777" w:rsidTr="00955C98">
        <w:tc>
          <w:tcPr>
            <w:tcW w:w="1726" w:type="dxa"/>
            <w:gridSpan w:val="2"/>
            <w:tcBorders>
              <w:top w:val="single" w:sz="8" w:space="0" w:color="auto"/>
              <w:left w:val="nil"/>
              <w:bottom w:val="single" w:sz="8" w:space="0" w:color="auto"/>
              <w:right w:val="nil"/>
            </w:tcBorders>
            <w:shd w:val="clear" w:color="auto" w:fill="D8D9D9"/>
          </w:tcPr>
          <w:p w14:paraId="328A3F80"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lastRenderedPageBreak/>
              <w:t>FIBRE DEGENERATION / REGENERATION:</w:t>
            </w:r>
          </w:p>
        </w:tc>
        <w:tc>
          <w:tcPr>
            <w:tcW w:w="7290" w:type="dxa"/>
            <w:tcBorders>
              <w:top w:val="single" w:sz="8" w:space="0" w:color="auto"/>
              <w:left w:val="nil"/>
              <w:bottom w:val="single" w:sz="8" w:space="0" w:color="auto"/>
              <w:right w:val="nil"/>
            </w:tcBorders>
            <w:shd w:val="clear" w:color="auto" w:fill="D8D9D9"/>
            <w:vAlign w:val="center"/>
          </w:tcPr>
          <w:p w14:paraId="7CB2D109"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Regenerative myofibers are histologically characterised by the presence of centralised nuclei and cytoplasmic basophilia (slight purple stain) due to large amounts of RNA in actively differentiating and growing cells</w:t>
            </w:r>
            <w:r>
              <w:rPr>
                <w:rFonts w:ascii="Calibri" w:hAnsi="Calibri" w:cs="Calibri"/>
                <w:b/>
                <w:bCs/>
                <w:sz w:val="19"/>
                <w:szCs w:val="19"/>
                <w:lang w:val="en-GB"/>
              </w:rPr>
              <w:t xml:space="preserve"> [6].</w:t>
            </w:r>
            <w:r w:rsidRPr="0096024E">
              <w:rPr>
                <w:rFonts w:ascii="Calibri" w:hAnsi="Calibri" w:cs="Calibri"/>
                <w:b/>
                <w:bCs/>
                <w:sz w:val="19"/>
                <w:szCs w:val="19"/>
                <w:lang w:val="en-GB"/>
              </w:rPr>
              <w:t xml:space="preserve"> They can appear near areas of active necrosis or degeneration and leukocyte infiltration, as macrophages play an important role in phagocyti</w:t>
            </w:r>
            <w:r>
              <w:rPr>
                <w:rFonts w:ascii="Calibri" w:hAnsi="Calibri" w:cs="Calibri"/>
                <w:b/>
                <w:bCs/>
                <w:sz w:val="19"/>
                <w:szCs w:val="19"/>
                <w:lang w:val="en-GB"/>
              </w:rPr>
              <w:t>s</w:t>
            </w:r>
            <w:r w:rsidRPr="0096024E">
              <w:rPr>
                <w:rFonts w:ascii="Calibri" w:hAnsi="Calibri" w:cs="Calibri"/>
                <w:b/>
                <w:bCs/>
                <w:sz w:val="19"/>
                <w:szCs w:val="19"/>
                <w:lang w:val="en-GB"/>
              </w:rPr>
              <w:t>ing associated debris</w:t>
            </w:r>
            <w:r>
              <w:rPr>
                <w:rFonts w:ascii="Calibri" w:hAnsi="Calibri" w:cs="Calibri"/>
                <w:b/>
                <w:bCs/>
                <w:sz w:val="19"/>
                <w:szCs w:val="19"/>
                <w:lang w:val="en-GB"/>
              </w:rPr>
              <w:t xml:space="preserve"> [7].</w:t>
            </w:r>
          </w:p>
        </w:tc>
      </w:tr>
      <w:tr w:rsidR="00BB2E74" w:rsidRPr="0096024E" w14:paraId="6D559659" w14:textId="77777777" w:rsidTr="00955C98">
        <w:trPr>
          <w:trHeight w:val="325"/>
        </w:trPr>
        <w:tc>
          <w:tcPr>
            <w:tcW w:w="421" w:type="dxa"/>
            <w:tcBorders>
              <w:top w:val="single" w:sz="8" w:space="0" w:color="auto"/>
              <w:left w:val="nil"/>
              <w:bottom w:val="nil"/>
              <w:right w:val="nil"/>
            </w:tcBorders>
            <w:vAlign w:val="center"/>
          </w:tcPr>
          <w:p w14:paraId="6C6C5FA2"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305" w:type="dxa"/>
            <w:tcBorders>
              <w:top w:val="single" w:sz="8" w:space="0" w:color="auto"/>
              <w:left w:val="nil"/>
              <w:bottom w:val="nil"/>
              <w:right w:val="nil"/>
            </w:tcBorders>
            <w:vAlign w:val="center"/>
          </w:tcPr>
          <w:p w14:paraId="149DB514"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Normal</w:t>
            </w:r>
          </w:p>
        </w:tc>
        <w:tc>
          <w:tcPr>
            <w:tcW w:w="7290" w:type="dxa"/>
            <w:tcBorders>
              <w:top w:val="single" w:sz="8" w:space="0" w:color="auto"/>
              <w:left w:val="nil"/>
              <w:bottom w:val="nil"/>
              <w:right w:val="nil"/>
            </w:tcBorders>
            <w:vAlign w:val="center"/>
          </w:tcPr>
          <w:p w14:paraId="0138710C"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Normal appearance of muscle fibres, characterised by presence of peripheral nuclei, and regular polygonal shape. Very few myofibers with a central nucleus may be still present. </w:t>
            </w:r>
          </w:p>
        </w:tc>
      </w:tr>
      <w:tr w:rsidR="00BB2E74" w:rsidRPr="0096024E" w14:paraId="73035852" w14:textId="77777777" w:rsidTr="00955C98">
        <w:trPr>
          <w:trHeight w:val="447"/>
        </w:trPr>
        <w:tc>
          <w:tcPr>
            <w:tcW w:w="421" w:type="dxa"/>
            <w:tcBorders>
              <w:top w:val="nil"/>
              <w:left w:val="nil"/>
              <w:bottom w:val="nil"/>
              <w:right w:val="nil"/>
            </w:tcBorders>
            <w:vAlign w:val="center"/>
          </w:tcPr>
          <w:p w14:paraId="0775CEFF"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305" w:type="dxa"/>
            <w:tcBorders>
              <w:top w:val="nil"/>
              <w:left w:val="nil"/>
              <w:bottom w:val="nil"/>
              <w:right w:val="nil"/>
            </w:tcBorders>
            <w:vAlign w:val="center"/>
          </w:tcPr>
          <w:p w14:paraId="4D92B2A0"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Late-stage regeneration</w:t>
            </w:r>
          </w:p>
        </w:tc>
        <w:tc>
          <w:tcPr>
            <w:tcW w:w="7290" w:type="dxa"/>
            <w:tcBorders>
              <w:top w:val="nil"/>
              <w:left w:val="nil"/>
              <w:bottom w:val="nil"/>
              <w:right w:val="nil"/>
            </w:tcBorders>
            <w:vAlign w:val="center"/>
          </w:tcPr>
          <w:p w14:paraId="0FDB817D"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Presence of more mature myofibers, morphology and size of myofibers returning to normal appearance and regular shape, but still with large areas of centrali</w:t>
            </w:r>
            <w:r>
              <w:rPr>
                <w:rFonts w:ascii="Calibri" w:hAnsi="Calibri" w:cs="Calibri"/>
                <w:sz w:val="19"/>
                <w:szCs w:val="19"/>
                <w:lang w:val="en-GB"/>
              </w:rPr>
              <w:t>s</w:t>
            </w:r>
            <w:r w:rsidRPr="0096024E">
              <w:rPr>
                <w:rFonts w:ascii="Calibri" w:hAnsi="Calibri" w:cs="Calibri"/>
                <w:sz w:val="19"/>
                <w:szCs w:val="19"/>
                <w:lang w:val="en-GB"/>
              </w:rPr>
              <w:t xml:space="preserve">ed nuclei present. Muscle fibres have lost the basophilic staining of an actively regenerating </w:t>
            </w:r>
            <w:proofErr w:type="gramStart"/>
            <w:r w:rsidRPr="0096024E">
              <w:rPr>
                <w:rFonts w:ascii="Calibri" w:hAnsi="Calibri" w:cs="Calibri"/>
                <w:sz w:val="19"/>
                <w:szCs w:val="19"/>
                <w:lang w:val="en-GB"/>
              </w:rPr>
              <w:t>myotubes</w:t>
            </w:r>
            <w:proofErr w:type="gramEnd"/>
            <w:r w:rsidRPr="0096024E">
              <w:rPr>
                <w:rFonts w:ascii="Calibri" w:hAnsi="Calibri" w:cs="Calibri"/>
                <w:sz w:val="19"/>
                <w:szCs w:val="19"/>
                <w:lang w:val="en-GB"/>
              </w:rPr>
              <w:t xml:space="preserve"> and inflammation has resolved. </w:t>
            </w:r>
          </w:p>
        </w:tc>
      </w:tr>
      <w:tr w:rsidR="00BB2E74" w:rsidRPr="0096024E" w14:paraId="5BB93F46" w14:textId="77777777" w:rsidTr="00955C98">
        <w:trPr>
          <w:trHeight w:val="566"/>
        </w:trPr>
        <w:tc>
          <w:tcPr>
            <w:tcW w:w="421" w:type="dxa"/>
            <w:tcBorders>
              <w:top w:val="nil"/>
              <w:left w:val="nil"/>
              <w:bottom w:val="nil"/>
              <w:right w:val="nil"/>
            </w:tcBorders>
            <w:vAlign w:val="center"/>
          </w:tcPr>
          <w:p w14:paraId="62603FAB"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2</w:t>
            </w:r>
          </w:p>
        </w:tc>
        <w:tc>
          <w:tcPr>
            <w:tcW w:w="1305" w:type="dxa"/>
            <w:tcBorders>
              <w:top w:val="nil"/>
              <w:left w:val="nil"/>
              <w:bottom w:val="nil"/>
              <w:right w:val="nil"/>
            </w:tcBorders>
            <w:vAlign w:val="center"/>
          </w:tcPr>
          <w:p w14:paraId="217762F5"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Early-stage regeneration</w:t>
            </w:r>
          </w:p>
        </w:tc>
        <w:tc>
          <w:tcPr>
            <w:tcW w:w="7290" w:type="dxa"/>
            <w:tcBorders>
              <w:top w:val="nil"/>
              <w:left w:val="nil"/>
              <w:bottom w:val="nil"/>
              <w:right w:val="nil"/>
            </w:tcBorders>
            <w:vAlign w:val="center"/>
          </w:tcPr>
          <w:p w14:paraId="7C1C10B1"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Presence of muscle fibres markedly smaller and homogeneous in size. Myofibers show hypertrophic centrali</w:t>
            </w:r>
            <w:r>
              <w:rPr>
                <w:rFonts w:ascii="Calibri" w:hAnsi="Calibri" w:cs="Calibri"/>
                <w:sz w:val="19"/>
                <w:szCs w:val="19"/>
                <w:lang w:val="en-GB"/>
              </w:rPr>
              <w:t>s</w:t>
            </w:r>
            <w:r w:rsidRPr="0096024E">
              <w:rPr>
                <w:rFonts w:ascii="Calibri" w:hAnsi="Calibri" w:cs="Calibri"/>
                <w:sz w:val="19"/>
                <w:szCs w:val="19"/>
                <w:lang w:val="en-GB"/>
              </w:rPr>
              <w:t xml:space="preserve">ed nuclei (enlarged) and cytoplasmic basophilia. Areas of active inflammation (mild to moderate) may still be present in surrounding areas.  </w:t>
            </w:r>
          </w:p>
        </w:tc>
      </w:tr>
      <w:tr w:rsidR="00BB2E74" w:rsidRPr="0096024E" w14:paraId="399958D4" w14:textId="77777777" w:rsidTr="00955C98">
        <w:tc>
          <w:tcPr>
            <w:tcW w:w="421" w:type="dxa"/>
            <w:tcBorders>
              <w:top w:val="nil"/>
              <w:left w:val="nil"/>
              <w:bottom w:val="single" w:sz="8" w:space="0" w:color="auto"/>
              <w:right w:val="nil"/>
            </w:tcBorders>
            <w:vAlign w:val="center"/>
          </w:tcPr>
          <w:p w14:paraId="6CBD4CB3"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3</w:t>
            </w:r>
          </w:p>
        </w:tc>
        <w:tc>
          <w:tcPr>
            <w:tcW w:w="1305" w:type="dxa"/>
            <w:tcBorders>
              <w:top w:val="nil"/>
              <w:left w:val="nil"/>
              <w:bottom w:val="single" w:sz="8" w:space="0" w:color="auto"/>
              <w:right w:val="nil"/>
            </w:tcBorders>
            <w:vAlign w:val="center"/>
          </w:tcPr>
          <w:p w14:paraId="35345AED"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Fibre Degeneration</w:t>
            </w:r>
          </w:p>
        </w:tc>
        <w:tc>
          <w:tcPr>
            <w:tcW w:w="7290" w:type="dxa"/>
            <w:tcBorders>
              <w:top w:val="nil"/>
              <w:left w:val="nil"/>
              <w:bottom w:val="single" w:sz="8" w:space="0" w:color="auto"/>
              <w:right w:val="nil"/>
            </w:tcBorders>
            <w:vAlign w:val="center"/>
          </w:tcPr>
          <w:p w14:paraId="3490FF27"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 xml:space="preserve">Degeneration can exhibit a variety of microscopic changes including irregular shapes, cell swelling </w:t>
            </w:r>
            <w:proofErr w:type="gramStart"/>
            <w:r w:rsidRPr="0096024E">
              <w:rPr>
                <w:rFonts w:ascii="Calibri" w:hAnsi="Calibri" w:cs="Calibri"/>
                <w:sz w:val="19"/>
                <w:szCs w:val="19"/>
                <w:lang w:val="en-GB"/>
              </w:rPr>
              <w:t>or,</w:t>
            </w:r>
            <w:proofErr w:type="gramEnd"/>
            <w:r w:rsidRPr="0096024E">
              <w:rPr>
                <w:rFonts w:ascii="Calibri" w:hAnsi="Calibri" w:cs="Calibri"/>
                <w:sz w:val="19"/>
                <w:szCs w:val="19"/>
                <w:lang w:val="en-GB"/>
              </w:rPr>
              <w:t xml:space="preserve"> shrunken fibres, </w:t>
            </w:r>
            <w:proofErr w:type="spellStart"/>
            <w:r w:rsidRPr="0096024E">
              <w:rPr>
                <w:rFonts w:ascii="Calibri" w:hAnsi="Calibri" w:cs="Calibri"/>
                <w:sz w:val="19"/>
                <w:szCs w:val="19"/>
                <w:lang w:val="en-GB"/>
              </w:rPr>
              <w:t>hypereosinophilia</w:t>
            </w:r>
            <w:proofErr w:type="spellEnd"/>
            <w:r w:rsidRPr="0096024E">
              <w:rPr>
                <w:rFonts w:ascii="Calibri" w:hAnsi="Calibri" w:cs="Calibri"/>
                <w:sz w:val="19"/>
                <w:szCs w:val="19"/>
                <w:lang w:val="en-GB"/>
              </w:rPr>
              <w:t xml:space="preserve"> (pale colour) and necrosis. Accompanied with large areas of leukocyte accumulation (severe inflammation) with marked attenuation or disruption of several muscle fibres.</w:t>
            </w:r>
          </w:p>
        </w:tc>
      </w:tr>
    </w:tbl>
    <w:p w14:paraId="4AF198CD" w14:textId="77777777" w:rsidR="00BB2E74" w:rsidRPr="0096024E" w:rsidRDefault="00BB2E74" w:rsidP="00BB2E74">
      <w:pPr>
        <w:rPr>
          <w:rFonts w:ascii="Cambria" w:hAnsi="Cambria" w:cs="Calibri"/>
          <w:b/>
          <w:bCs/>
          <w:sz w:val="10"/>
          <w:szCs w:val="10"/>
          <w:lang w:val="en-GB"/>
        </w:rPr>
      </w:pPr>
    </w:p>
    <w:p w14:paraId="317FDDDF" w14:textId="77777777" w:rsidR="00BB2E74" w:rsidRPr="0096024E" w:rsidRDefault="00BB2E74" w:rsidP="00BB2E74">
      <w:pPr>
        <w:rPr>
          <w:rFonts w:ascii="Cambria" w:hAnsi="Cambria" w:cs="Calibri"/>
          <w:b/>
          <w:bCs/>
          <w:lang w:val="en-GB"/>
        </w:rPr>
      </w:pPr>
      <w:r w:rsidRPr="0096024E">
        <w:rPr>
          <w:rFonts w:ascii="Cambria" w:hAnsi="Cambria" w:cs="Calibri"/>
          <w:b/>
          <w:bCs/>
          <w:noProof/>
          <w:lang w:eastAsia="en-IE"/>
        </w:rPr>
        <w:drawing>
          <wp:inline distT="0" distB="0" distL="0" distR="0" wp14:anchorId="2DE26276" wp14:editId="60E81EF5">
            <wp:extent cx="5796000" cy="193200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96000" cy="1932001"/>
                    </a:xfrm>
                    <a:prstGeom prst="rect">
                      <a:avLst/>
                    </a:prstGeom>
                  </pic:spPr>
                </pic:pic>
              </a:graphicData>
            </a:graphic>
          </wp:inline>
        </w:drawing>
      </w:r>
    </w:p>
    <w:p w14:paraId="116F6EFC" w14:textId="77777777" w:rsidR="00BB2E74" w:rsidRPr="0096024E" w:rsidRDefault="00BB2E74" w:rsidP="00BB2E74">
      <w:pPr>
        <w:rPr>
          <w:rFonts w:ascii="Cambria" w:hAnsi="Cambria" w:cs="Calibri"/>
          <w:b/>
          <w:bCs/>
          <w:lang w:val="en-GB"/>
        </w:rPr>
      </w:pPr>
    </w:p>
    <w:p w14:paraId="7B016B25" w14:textId="77777777" w:rsidR="00BB2E74" w:rsidRPr="0096024E" w:rsidRDefault="00BB2E74" w:rsidP="00BB2E74">
      <w:pPr>
        <w:rPr>
          <w:rFonts w:ascii="Cambria" w:hAnsi="Cambria" w:cs="Calibri"/>
          <w:b/>
          <w:bCs/>
          <w:lang w:val="en-GB"/>
        </w:rPr>
      </w:pPr>
      <w:r w:rsidRPr="0096024E">
        <w:rPr>
          <w:rFonts w:ascii="Cambria" w:hAnsi="Cambria" w:cs="Calibri"/>
          <w:b/>
          <w:bCs/>
          <w:noProof/>
          <w:lang w:eastAsia="en-IE"/>
        </w:rPr>
        <w:drawing>
          <wp:anchor distT="0" distB="0" distL="114300" distR="114300" simplePos="0" relativeHeight="251659264" behindDoc="1" locked="0" layoutInCell="1" allowOverlap="1" wp14:anchorId="43F891E4" wp14:editId="3201BF75">
            <wp:simplePos x="0" y="0"/>
            <wp:positionH relativeFrom="column">
              <wp:posOffset>4330065</wp:posOffset>
            </wp:positionH>
            <wp:positionV relativeFrom="paragraph">
              <wp:posOffset>91180</wp:posOffset>
            </wp:positionV>
            <wp:extent cx="1374405" cy="2103120"/>
            <wp:effectExtent l="0" t="0" r="0" b="5080"/>
            <wp:wrapTight wrapText="bothSides">
              <wp:wrapPolygon edited="0">
                <wp:start x="0" y="0"/>
                <wp:lineTo x="0" y="21522"/>
                <wp:lineTo x="21360" y="21522"/>
                <wp:lineTo x="2136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r="50026"/>
                    <a:stretch/>
                  </pic:blipFill>
                  <pic:spPr bwMode="auto">
                    <a:xfrm>
                      <a:off x="0" y="0"/>
                      <a:ext cx="1374405" cy="21031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449"/>
        <w:gridCol w:w="1218"/>
        <w:gridCol w:w="4901"/>
      </w:tblGrid>
      <w:tr w:rsidR="00BB2E74" w:rsidRPr="0096024E" w14:paraId="2BE21786" w14:textId="77777777" w:rsidTr="00955C98">
        <w:trPr>
          <w:trHeight w:val="893"/>
        </w:trPr>
        <w:tc>
          <w:tcPr>
            <w:tcW w:w="1667" w:type="dxa"/>
            <w:gridSpan w:val="2"/>
            <w:tcBorders>
              <w:top w:val="single" w:sz="8" w:space="0" w:color="auto"/>
              <w:left w:val="nil"/>
              <w:bottom w:val="single" w:sz="8" w:space="0" w:color="auto"/>
              <w:right w:val="nil"/>
            </w:tcBorders>
            <w:shd w:val="clear" w:color="auto" w:fill="D8D9D9"/>
          </w:tcPr>
          <w:p w14:paraId="00787417" w14:textId="77777777" w:rsidR="00BB2E74" w:rsidRPr="0096024E" w:rsidRDefault="00BB2E74" w:rsidP="00955C98">
            <w:pPr>
              <w:rPr>
                <w:rFonts w:ascii="Calibri" w:hAnsi="Calibri" w:cs="Calibri"/>
                <w:b/>
                <w:bCs/>
                <w:sz w:val="19"/>
                <w:szCs w:val="19"/>
                <w:lang w:val="en-GB"/>
              </w:rPr>
            </w:pPr>
            <w:r w:rsidRPr="0096024E">
              <w:rPr>
                <w:rFonts w:ascii="Calibri" w:hAnsi="Calibri" w:cs="Calibri"/>
                <w:b/>
                <w:bCs/>
                <w:sz w:val="19"/>
                <w:szCs w:val="19"/>
                <w:lang w:val="en-GB"/>
              </w:rPr>
              <w:t>HAEMORRHAGE:</w:t>
            </w:r>
          </w:p>
        </w:tc>
        <w:tc>
          <w:tcPr>
            <w:tcW w:w="4901" w:type="dxa"/>
            <w:tcBorders>
              <w:top w:val="single" w:sz="8" w:space="0" w:color="auto"/>
              <w:left w:val="nil"/>
              <w:bottom w:val="single" w:sz="8" w:space="0" w:color="auto"/>
              <w:right w:val="nil"/>
            </w:tcBorders>
            <w:shd w:val="clear" w:color="auto" w:fill="D8D9D9"/>
            <w:vAlign w:val="center"/>
          </w:tcPr>
          <w:p w14:paraId="280A3D65" w14:textId="77777777" w:rsidR="00BB2E74" w:rsidRPr="0096024E" w:rsidRDefault="00BB2E74" w:rsidP="00955C98">
            <w:pPr>
              <w:jc w:val="both"/>
              <w:rPr>
                <w:rFonts w:ascii="Calibri" w:hAnsi="Calibri" w:cs="Calibri"/>
                <w:b/>
                <w:bCs/>
                <w:sz w:val="19"/>
                <w:szCs w:val="19"/>
                <w:lang w:val="en-GB"/>
              </w:rPr>
            </w:pPr>
            <w:r w:rsidRPr="0096024E">
              <w:rPr>
                <w:rFonts w:ascii="Calibri" w:hAnsi="Calibri" w:cs="Calibri"/>
                <w:b/>
                <w:bCs/>
                <w:sz w:val="19"/>
                <w:szCs w:val="19"/>
                <w:lang w:val="en-GB"/>
              </w:rPr>
              <w:t>Extravascular accumulation of blood characteri</w:t>
            </w:r>
            <w:r>
              <w:rPr>
                <w:rFonts w:ascii="Calibri" w:hAnsi="Calibri" w:cs="Calibri"/>
                <w:b/>
                <w:bCs/>
                <w:sz w:val="19"/>
                <w:szCs w:val="19"/>
                <w:lang w:val="en-GB"/>
              </w:rPr>
              <w:t>s</w:t>
            </w:r>
            <w:r w:rsidRPr="0096024E">
              <w:rPr>
                <w:rFonts w:ascii="Calibri" w:hAnsi="Calibri" w:cs="Calibri"/>
                <w:b/>
                <w:bCs/>
                <w:sz w:val="19"/>
                <w:szCs w:val="19"/>
                <w:lang w:val="en-GB"/>
              </w:rPr>
              <w:t>ed by presence of free erythrocytes adjacent to and between muscle bundles or surrounding individual muscle fibres. Legions can range from focal and discrete to extensive and widespread. It typically occurs following an insult in muscle such as blunt trauma, intramuscular injection or inflammation</w:t>
            </w:r>
            <w:r>
              <w:rPr>
                <w:rFonts w:ascii="Calibri" w:hAnsi="Calibri" w:cs="Calibri"/>
                <w:b/>
                <w:bCs/>
                <w:sz w:val="19"/>
                <w:szCs w:val="19"/>
                <w:lang w:val="en-GB"/>
              </w:rPr>
              <w:t xml:space="preserve"> [8].</w:t>
            </w:r>
          </w:p>
        </w:tc>
      </w:tr>
      <w:tr w:rsidR="00BB2E74" w:rsidRPr="0096024E" w14:paraId="08D36FE5" w14:textId="77777777" w:rsidTr="00955C98">
        <w:trPr>
          <w:trHeight w:val="369"/>
        </w:trPr>
        <w:tc>
          <w:tcPr>
            <w:tcW w:w="449" w:type="dxa"/>
            <w:tcBorders>
              <w:top w:val="single" w:sz="8" w:space="0" w:color="auto"/>
              <w:left w:val="nil"/>
              <w:bottom w:val="nil"/>
              <w:right w:val="nil"/>
            </w:tcBorders>
            <w:vAlign w:val="center"/>
          </w:tcPr>
          <w:p w14:paraId="1BAD27C4"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0</w:t>
            </w:r>
          </w:p>
        </w:tc>
        <w:tc>
          <w:tcPr>
            <w:tcW w:w="1217" w:type="dxa"/>
            <w:tcBorders>
              <w:top w:val="single" w:sz="8" w:space="0" w:color="auto"/>
              <w:left w:val="nil"/>
              <w:bottom w:val="nil"/>
              <w:right w:val="nil"/>
            </w:tcBorders>
            <w:vAlign w:val="center"/>
          </w:tcPr>
          <w:p w14:paraId="5CDB4F40"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Absence</w:t>
            </w:r>
          </w:p>
        </w:tc>
        <w:tc>
          <w:tcPr>
            <w:tcW w:w="4901" w:type="dxa"/>
            <w:tcBorders>
              <w:top w:val="single" w:sz="8" w:space="0" w:color="auto"/>
              <w:left w:val="nil"/>
              <w:bottom w:val="nil"/>
              <w:right w:val="nil"/>
            </w:tcBorders>
            <w:vAlign w:val="center"/>
          </w:tcPr>
          <w:p w14:paraId="647C1F8E"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Not observed</w:t>
            </w:r>
          </w:p>
        </w:tc>
      </w:tr>
      <w:tr w:rsidR="00BB2E74" w:rsidRPr="0096024E" w14:paraId="5491DE24" w14:textId="77777777" w:rsidTr="00955C98">
        <w:trPr>
          <w:trHeight w:val="219"/>
        </w:trPr>
        <w:tc>
          <w:tcPr>
            <w:tcW w:w="449" w:type="dxa"/>
            <w:tcBorders>
              <w:top w:val="nil"/>
              <w:left w:val="nil"/>
              <w:bottom w:val="single" w:sz="8" w:space="0" w:color="auto"/>
              <w:right w:val="nil"/>
            </w:tcBorders>
            <w:vAlign w:val="center"/>
          </w:tcPr>
          <w:p w14:paraId="3278477C"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1</w:t>
            </w:r>
          </w:p>
        </w:tc>
        <w:tc>
          <w:tcPr>
            <w:tcW w:w="1217" w:type="dxa"/>
            <w:tcBorders>
              <w:top w:val="nil"/>
              <w:left w:val="nil"/>
              <w:bottom w:val="single" w:sz="8" w:space="0" w:color="auto"/>
              <w:right w:val="nil"/>
            </w:tcBorders>
            <w:vAlign w:val="center"/>
          </w:tcPr>
          <w:p w14:paraId="4B5B28BA" w14:textId="77777777" w:rsidR="00BB2E74" w:rsidRPr="0096024E" w:rsidRDefault="00BB2E74" w:rsidP="00955C98">
            <w:pPr>
              <w:rPr>
                <w:rFonts w:ascii="Calibri" w:hAnsi="Calibri" w:cs="Calibri"/>
                <w:sz w:val="19"/>
                <w:szCs w:val="19"/>
                <w:lang w:val="en-GB"/>
              </w:rPr>
            </w:pPr>
            <w:r w:rsidRPr="0096024E">
              <w:rPr>
                <w:rFonts w:ascii="Calibri" w:hAnsi="Calibri" w:cs="Calibri"/>
                <w:sz w:val="19"/>
                <w:szCs w:val="19"/>
                <w:lang w:val="en-GB"/>
              </w:rPr>
              <w:t>Presence</w:t>
            </w:r>
          </w:p>
        </w:tc>
        <w:tc>
          <w:tcPr>
            <w:tcW w:w="4901" w:type="dxa"/>
            <w:tcBorders>
              <w:top w:val="nil"/>
              <w:left w:val="nil"/>
              <w:bottom w:val="single" w:sz="8" w:space="0" w:color="auto"/>
              <w:right w:val="nil"/>
            </w:tcBorders>
            <w:vAlign w:val="center"/>
          </w:tcPr>
          <w:p w14:paraId="033648C2" w14:textId="77777777" w:rsidR="00BB2E74" w:rsidRPr="0096024E" w:rsidRDefault="00BB2E74" w:rsidP="00955C98">
            <w:pPr>
              <w:jc w:val="both"/>
              <w:rPr>
                <w:rFonts w:ascii="Calibri" w:hAnsi="Calibri" w:cs="Calibri"/>
                <w:sz w:val="19"/>
                <w:szCs w:val="19"/>
                <w:lang w:val="en-GB"/>
              </w:rPr>
            </w:pPr>
            <w:r w:rsidRPr="0096024E">
              <w:rPr>
                <w:rFonts w:ascii="Calibri" w:hAnsi="Calibri" w:cs="Calibri"/>
                <w:sz w:val="19"/>
                <w:szCs w:val="19"/>
                <w:lang w:val="en-GB"/>
              </w:rPr>
              <w:t>Present on its own or accompanied by muscle necrosis/fibrosis/inflammation. Haemorrhage will only be recorded when it is not present in an area of inflammation/degeneration (i.e. extravascular blood present in inflammation/degeneration may be due the degeneration of capillaries or small vessels and therefore it is not counted as an unexpected event).</w:t>
            </w:r>
          </w:p>
        </w:tc>
      </w:tr>
    </w:tbl>
    <w:p w14:paraId="7B03F699" w14:textId="77777777" w:rsidR="00BB2E74" w:rsidRPr="0096024E" w:rsidRDefault="00BB2E74" w:rsidP="00BB2E74">
      <w:pPr>
        <w:rPr>
          <w:rFonts w:ascii="Cambria" w:hAnsi="Cambria" w:cs="Calibri"/>
          <w:b/>
          <w:bCs/>
          <w:lang w:val="en-GB"/>
        </w:rPr>
      </w:pPr>
    </w:p>
    <w:p w14:paraId="62185586" w14:textId="3B120101" w:rsidR="00BB2E74" w:rsidRPr="00BB2E74" w:rsidRDefault="00BB2E74" w:rsidP="00BB2E74">
      <w:pPr>
        <w:rPr>
          <w:rFonts w:ascii="Cambria" w:hAnsi="Cambria" w:cs="Calibri"/>
          <w:b/>
          <w:bCs/>
          <w:lang w:val="en-GB"/>
        </w:rPr>
      </w:pPr>
      <w:r w:rsidRPr="00BB2E74">
        <w:rPr>
          <w:rFonts w:ascii="Cambria" w:hAnsi="Cambria" w:cs="Calibri"/>
          <w:b/>
          <w:bCs/>
          <w:lang w:val="en-GB"/>
        </w:rPr>
        <w:t>References:</w:t>
      </w:r>
    </w:p>
    <w:p w14:paraId="42971859" w14:textId="1CA0AFEA" w:rsidR="00BB2E74" w:rsidRDefault="00BB2E74" w:rsidP="00BB2E74">
      <w:pPr>
        <w:rPr>
          <w:rFonts w:ascii="Cambria" w:hAnsi="Cambria" w:cs="Calibri"/>
          <w:lang w:val="en-GB"/>
        </w:rPr>
      </w:pPr>
      <w:r w:rsidRPr="00BB2E74">
        <w:rPr>
          <w:rFonts w:ascii="Cambria" w:hAnsi="Cambria" w:cs="Calibri"/>
          <w:lang w:val="en-GB"/>
        </w:rPr>
        <w:t xml:space="preserve">This table was complied with guidance the work from </w:t>
      </w:r>
      <w:proofErr w:type="spellStart"/>
      <w:r w:rsidRPr="00BB2E74">
        <w:rPr>
          <w:rFonts w:ascii="Cambria" w:hAnsi="Cambria" w:cs="Calibri"/>
          <w:lang w:val="en-GB"/>
        </w:rPr>
        <w:t>Thuilliez</w:t>
      </w:r>
      <w:proofErr w:type="spellEnd"/>
      <w:r w:rsidRPr="00BB2E74">
        <w:rPr>
          <w:rFonts w:ascii="Cambria" w:hAnsi="Cambria" w:cs="Calibri"/>
          <w:lang w:val="en-GB"/>
        </w:rPr>
        <w:t xml:space="preserve"> </w:t>
      </w:r>
      <w:r w:rsidRPr="00BB2E74">
        <w:rPr>
          <w:rFonts w:ascii="Cambria" w:hAnsi="Cambria" w:cs="Calibri"/>
          <w:i/>
          <w:iCs/>
          <w:lang w:val="en-GB"/>
        </w:rPr>
        <w:t>et. al.</w:t>
      </w:r>
      <w:r w:rsidRPr="00BB2E74">
        <w:rPr>
          <w:rFonts w:ascii="Cambria" w:hAnsi="Cambria" w:cs="Calibri"/>
          <w:lang w:val="en-GB"/>
        </w:rPr>
        <w:t xml:space="preserve"> </w:t>
      </w:r>
      <w:sdt>
        <w:sdtPr>
          <w:rPr>
            <w:rFonts w:ascii="Cambria" w:hAnsi="Cambria" w:cs="Calibri"/>
            <w:lang w:val="en-GB"/>
          </w:rPr>
          <w:alias w:val="SmartCite Citation"/>
          <w:tag w:val="1336e822-23de-465a-ab65-0edb80abf28b:dced5bcb-bd5b-410e-ac1d-0b10e57a29a0+"/>
          <w:id w:val="146256012"/>
          <w:placeholder>
            <w:docPart w:val="778C9EDDDE7BFE45BCA95C5E71C7E0CA"/>
          </w:placeholder>
        </w:sdtPr>
        <w:sdtContent>
          <w:r w:rsidRPr="00BB2E74">
            <w:rPr>
              <w:rFonts w:ascii="Cambria" w:hAnsi="Cambria"/>
              <w:color w:val="000000"/>
            </w:rPr>
            <w:t>[33]</w:t>
          </w:r>
        </w:sdtContent>
      </w:sdt>
      <w:r w:rsidRPr="00BB2E74">
        <w:rPr>
          <w:rFonts w:ascii="Cambria" w:hAnsi="Cambria" w:cs="Calibri"/>
          <w:lang w:val="en-GB"/>
        </w:rPr>
        <w:t xml:space="preserve"> and from the National Toxicology Program (NTP) Nonneoplastic Lesion Atlas: </w:t>
      </w:r>
    </w:p>
    <w:p w14:paraId="5B896F89" w14:textId="77777777" w:rsidR="00BB2E74" w:rsidRPr="00BB2E74" w:rsidRDefault="00BB2E74" w:rsidP="00BB2E74">
      <w:pPr>
        <w:rPr>
          <w:rFonts w:ascii="Cambria" w:hAnsi="Cambria" w:cs="Calibri"/>
          <w:lang w:val="en-GB"/>
        </w:rPr>
      </w:pPr>
    </w:p>
    <w:p w14:paraId="398DE2C7"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[1]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Inflammation. Cesta MF, Herbert RA, Brix A, Malarkey DE, Sills RC (Eds.), in: National Toxicology Program Atlas </w:t>
      </w:r>
      <w:r w:rsidRPr="00BB2E74">
        <w:rPr>
          <w:rFonts w:ascii="Cambria" w:hAnsi="Cambria" w:cs="Calibri"/>
          <w:lang w:val="en-IE"/>
        </w:rPr>
        <w:lastRenderedPageBreak/>
        <w:t xml:space="preserve">of Nonneoplastic Lesions in Rats and Mice. Available: </w:t>
      </w:r>
      <w:hyperlink r:id="rId12"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1341BAF9"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[2]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Fibrosis. Cesta MF, Herbert RA, Brix A, Malarkey DE, Sills RC (Eds.), in: National Toxicology Program Atlas of Nonneoplastic Lesions in Rats and Mice. Available: </w:t>
      </w:r>
      <w:hyperlink r:id="rId13"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5BAE8B4B"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[3]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Necrosis. Cesta MF, Herbert RA, Brix A, Malarkey DE, Sills RC (Eds.), in: National Toxicology Program Atlas of Nonneoplastic Lesions in Rats and Mice. Available: </w:t>
      </w:r>
      <w:hyperlink r:id="rId14"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522295DC"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[4]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Mineralization. Cesta MF, Herbert RA, Brix A, Malarkey DE, Sills RC (Eds.), in: National Toxicology Program Atlas of Nonneoplastic Lesions in Rats and Mice. Available: </w:t>
      </w:r>
      <w:hyperlink r:id="rId15"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13DBFC0E" w14:textId="77777777" w:rsidR="00BB2E74" w:rsidRPr="00BB2E74" w:rsidRDefault="00BB2E74" w:rsidP="00BB2E74">
      <w:pPr>
        <w:rPr>
          <w:rFonts w:ascii="Cambria" w:hAnsi="Cambria" w:cs="Calibri"/>
        </w:rPr>
      </w:pPr>
      <w:r w:rsidRPr="00BB2E74">
        <w:rPr>
          <w:rFonts w:ascii="Cambria" w:hAnsi="Cambria" w:cs="Calibri"/>
          <w:lang w:val="en-IE"/>
        </w:rPr>
        <w:t xml:space="preserve">[5] </w:t>
      </w:r>
      <w:proofErr w:type="spellStart"/>
      <w:r w:rsidRPr="00BB2E74">
        <w:rPr>
          <w:rFonts w:ascii="Cambria" w:hAnsi="Cambria" w:cs="Calibri"/>
          <w:lang w:val="en-US"/>
        </w:rPr>
        <w:t>Sciorati</w:t>
      </w:r>
      <w:proofErr w:type="spellEnd"/>
      <w:r w:rsidRPr="00BB2E74">
        <w:rPr>
          <w:rFonts w:ascii="Cambria" w:hAnsi="Cambria" w:cs="Calibri"/>
          <w:lang w:val="en-US"/>
        </w:rPr>
        <w:t xml:space="preserve"> C, Clementi E, Manfredi AA, </w:t>
      </w:r>
      <w:proofErr w:type="spellStart"/>
      <w:r w:rsidRPr="00BB2E74">
        <w:rPr>
          <w:rFonts w:ascii="Cambria" w:hAnsi="Cambria" w:cs="Calibri"/>
          <w:lang w:val="en-US"/>
        </w:rPr>
        <w:t>Rovere-Querini</w:t>
      </w:r>
      <w:proofErr w:type="spellEnd"/>
      <w:r w:rsidRPr="00BB2E74">
        <w:rPr>
          <w:rFonts w:ascii="Cambria" w:hAnsi="Cambria" w:cs="Calibri"/>
          <w:lang w:val="en-US"/>
        </w:rPr>
        <w:t xml:space="preserve"> P. Fat deposition and accumulation in the damaged and inflamed skeletal muscle: cellular and molecular players. </w:t>
      </w:r>
      <w:r w:rsidRPr="00BB2E74">
        <w:rPr>
          <w:rFonts w:ascii="Cambria" w:hAnsi="Cambria" w:cs="Calibri"/>
          <w:i/>
          <w:iCs/>
          <w:lang w:val="en-US"/>
        </w:rPr>
        <w:t>Cell Mol Life Sci</w:t>
      </w:r>
      <w:r w:rsidRPr="00BB2E74">
        <w:rPr>
          <w:rFonts w:ascii="Cambria" w:hAnsi="Cambria" w:cs="Calibri"/>
          <w:lang w:val="en-US"/>
        </w:rPr>
        <w:t>. 2015;72(11):2135-2156. doi:10.1007/s00018-015-1857-7.</w:t>
      </w:r>
    </w:p>
    <w:p w14:paraId="79616479"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[6]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Regeneration. Cesta MF, Herbert RA, Brix A, Malarkey DE, Sills RC (Eds.), in: National Toxicology Program Atlas of Nonneoplastic Lesions in Rats and Mice. Available: </w:t>
      </w:r>
      <w:hyperlink r:id="rId16"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2858696C"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[7]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Degeneration. Cesta MF, Herbert RA, Brix A, Malarkey DE, Sills RC (Eds.), in: National Toxicology Program Atlas of Nonneoplastic Lesions in Rats and Mice. Available: </w:t>
      </w:r>
      <w:hyperlink r:id="rId17"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62D12AA0" w14:textId="77777777" w:rsidR="00BB2E74" w:rsidRPr="00BB2E74" w:rsidRDefault="00BB2E74" w:rsidP="00BB2E74">
      <w:pPr>
        <w:rPr>
          <w:rFonts w:ascii="Cambria" w:hAnsi="Cambria" w:cs="Calibri"/>
          <w:i/>
          <w:iCs/>
          <w:lang w:val="en-IE"/>
        </w:rPr>
      </w:pPr>
      <w:r w:rsidRPr="00BB2E74">
        <w:rPr>
          <w:rFonts w:ascii="Cambria" w:hAnsi="Cambria" w:cs="Calibri"/>
          <w:lang w:val="en-IE"/>
        </w:rPr>
        <w:t xml:space="preserve">[8] </w:t>
      </w:r>
      <w:proofErr w:type="spellStart"/>
      <w:r w:rsidRPr="00BB2E74">
        <w:rPr>
          <w:rFonts w:ascii="Cambria" w:hAnsi="Cambria" w:cs="Calibri"/>
          <w:lang w:val="en-IE"/>
        </w:rPr>
        <w:t>Crabbs</w:t>
      </w:r>
      <w:proofErr w:type="spellEnd"/>
      <w:r w:rsidRPr="00BB2E74">
        <w:rPr>
          <w:rFonts w:ascii="Cambria" w:hAnsi="Cambria" w:cs="Calibri"/>
          <w:lang w:val="en-IE"/>
        </w:rPr>
        <w:t xml:space="preserve"> TA. (2014) Musculoskeletal System–Skeletal Muscle: Haemorrhage. Cesta MF, Herbert RA, Brix A, Malarkey DE, Sills RC (Eds.), in: National Toxicology Program Atlas of Nonneoplastic Lesions in Rats and Mice. Available: </w:t>
      </w:r>
      <w:hyperlink r:id="rId18" w:history="1">
        <w:r w:rsidRPr="00BB2E74">
          <w:rPr>
            <w:rStyle w:val="Hyperlink"/>
            <w:rFonts w:ascii="Cambria" w:hAnsi="Cambria" w:cs="Calibri"/>
            <w:i/>
            <w:iCs/>
            <w:lang w:val="en-IE"/>
          </w:rPr>
          <w:t>https://ntp.niehs.nih.gov/nnl/musculoskeletal/index.htm</w:t>
        </w:r>
      </w:hyperlink>
      <w:r w:rsidRPr="00BB2E74">
        <w:rPr>
          <w:rFonts w:ascii="Cambria" w:hAnsi="Cambria" w:cs="Calibri"/>
          <w:i/>
          <w:iCs/>
          <w:lang w:val="en-IE"/>
        </w:rPr>
        <w:t xml:space="preserve"> [last accessed 17</w:t>
      </w:r>
      <w:r w:rsidRPr="00BB2E74">
        <w:rPr>
          <w:rFonts w:ascii="Cambria" w:hAnsi="Cambria" w:cs="Calibri"/>
          <w:i/>
          <w:iCs/>
          <w:vertAlign w:val="superscript"/>
          <w:lang w:val="en-IE"/>
        </w:rPr>
        <w:t>th</w:t>
      </w:r>
      <w:r w:rsidRPr="00BB2E74">
        <w:rPr>
          <w:rFonts w:ascii="Cambria" w:hAnsi="Cambria" w:cs="Calibri"/>
          <w:i/>
          <w:iCs/>
          <w:lang w:val="en-IE"/>
        </w:rPr>
        <w:t xml:space="preserve"> August 2022].</w:t>
      </w:r>
    </w:p>
    <w:p w14:paraId="0D5D2687" w14:textId="77777777" w:rsidR="00BB2E74" w:rsidRPr="004F6A76" w:rsidRDefault="00BB2E74" w:rsidP="00BB2E74">
      <w:pPr>
        <w:rPr>
          <w:rFonts w:ascii="Cambria" w:hAnsi="Cambria" w:cs="Calibri"/>
          <w:sz w:val="22"/>
          <w:szCs w:val="22"/>
          <w:lang w:val="en-IE"/>
        </w:rPr>
      </w:pPr>
    </w:p>
    <w:p w14:paraId="499BB9D2" w14:textId="77777777" w:rsidR="00BB2E74" w:rsidRPr="004F6A76" w:rsidRDefault="00BB2E74" w:rsidP="00BB2E74">
      <w:pPr>
        <w:rPr>
          <w:rFonts w:ascii="Cambria" w:hAnsi="Cambria" w:cs="Calibri"/>
          <w:sz w:val="22"/>
          <w:szCs w:val="22"/>
        </w:rPr>
      </w:pPr>
    </w:p>
    <w:p w14:paraId="7AD03573" w14:textId="1B25F145" w:rsidR="00BB2E74" w:rsidRDefault="00BB2E74" w:rsidP="00BB2E74">
      <w:pPr>
        <w:rPr>
          <w:rFonts w:ascii="Cambria" w:hAnsi="Cambria" w:cs="Calibri"/>
          <w:b/>
          <w:bCs/>
          <w:lang w:val="en-GB"/>
        </w:rPr>
      </w:pPr>
    </w:p>
    <w:p w14:paraId="19A593B9" w14:textId="4288B835" w:rsidR="00BB2E74" w:rsidRDefault="00BB2E74" w:rsidP="00BB2E74">
      <w:pPr>
        <w:rPr>
          <w:rFonts w:ascii="Cambria" w:hAnsi="Cambria" w:cs="Calibri"/>
          <w:b/>
          <w:bCs/>
          <w:lang w:val="en-GB"/>
        </w:rPr>
      </w:pPr>
    </w:p>
    <w:p w14:paraId="120F9024" w14:textId="7A19621B" w:rsidR="00BB2E74" w:rsidRDefault="00BB2E74" w:rsidP="00BB2E74">
      <w:pPr>
        <w:rPr>
          <w:rFonts w:ascii="Cambria" w:hAnsi="Cambria" w:cs="Calibri"/>
          <w:b/>
          <w:bCs/>
          <w:lang w:val="en-GB"/>
        </w:rPr>
      </w:pPr>
    </w:p>
    <w:p w14:paraId="3AD5AC61" w14:textId="3242E7C5" w:rsidR="00BB2E74" w:rsidRDefault="00BB2E74" w:rsidP="00BB2E74">
      <w:pPr>
        <w:rPr>
          <w:rFonts w:ascii="Cambria" w:hAnsi="Cambria" w:cs="Calibri"/>
          <w:b/>
          <w:bCs/>
          <w:lang w:val="en-GB"/>
        </w:rPr>
      </w:pPr>
    </w:p>
    <w:p w14:paraId="4BC244EF" w14:textId="76DB72E4" w:rsidR="00BB2E74" w:rsidRDefault="00BB2E74" w:rsidP="00BB2E74">
      <w:pPr>
        <w:rPr>
          <w:rFonts w:ascii="Cambria" w:hAnsi="Cambria" w:cs="Calibri"/>
          <w:b/>
          <w:bCs/>
          <w:lang w:val="en-GB"/>
        </w:rPr>
      </w:pPr>
    </w:p>
    <w:p w14:paraId="5BD38E83" w14:textId="5E0F10D4" w:rsidR="00BB2E74" w:rsidRDefault="00BB2E74" w:rsidP="00BB2E74">
      <w:pPr>
        <w:rPr>
          <w:rFonts w:ascii="Cambria" w:hAnsi="Cambria" w:cs="Calibri"/>
          <w:b/>
          <w:bCs/>
          <w:lang w:val="en-GB"/>
        </w:rPr>
      </w:pPr>
    </w:p>
    <w:p w14:paraId="03057BAC" w14:textId="0466231F" w:rsidR="00BB2E74" w:rsidRDefault="00BB2E74" w:rsidP="00BB2E74">
      <w:pPr>
        <w:rPr>
          <w:rFonts w:ascii="Cambria" w:hAnsi="Cambria" w:cs="Calibri"/>
          <w:b/>
          <w:bCs/>
          <w:lang w:val="en-GB"/>
        </w:rPr>
      </w:pPr>
    </w:p>
    <w:p w14:paraId="5D5E0121" w14:textId="7A5E278A" w:rsidR="00BB2E74" w:rsidRDefault="00BB2E74" w:rsidP="00BB2E74">
      <w:pPr>
        <w:rPr>
          <w:rFonts w:ascii="Cambria" w:hAnsi="Cambria" w:cs="Calibri"/>
          <w:b/>
          <w:bCs/>
          <w:lang w:val="en-GB"/>
        </w:rPr>
      </w:pPr>
    </w:p>
    <w:p w14:paraId="091FE4E1" w14:textId="279C3613" w:rsidR="00BB2E74" w:rsidRDefault="00BB2E74" w:rsidP="00BB2E74">
      <w:pPr>
        <w:rPr>
          <w:rFonts w:ascii="Cambria" w:hAnsi="Cambria" w:cs="Calibri"/>
          <w:b/>
          <w:bCs/>
          <w:lang w:val="en-GB"/>
        </w:rPr>
      </w:pPr>
    </w:p>
    <w:p w14:paraId="2ED3426E" w14:textId="79A85365" w:rsidR="00BB2E74" w:rsidRDefault="00BB2E74" w:rsidP="00BB2E74">
      <w:pPr>
        <w:rPr>
          <w:rFonts w:ascii="Cambria" w:hAnsi="Cambria" w:cs="Calibri"/>
          <w:b/>
          <w:bCs/>
          <w:lang w:val="en-GB"/>
        </w:rPr>
      </w:pPr>
    </w:p>
    <w:p w14:paraId="499436F0" w14:textId="560C68BB" w:rsidR="00BB2E74" w:rsidRDefault="00BB2E74" w:rsidP="00BB2E74">
      <w:pPr>
        <w:rPr>
          <w:rFonts w:ascii="Cambria" w:hAnsi="Cambria" w:cs="Calibri"/>
          <w:b/>
          <w:bCs/>
          <w:lang w:val="en-GB"/>
        </w:rPr>
      </w:pPr>
    </w:p>
    <w:p w14:paraId="351ABC14" w14:textId="5DAE258D" w:rsidR="00BB2E74" w:rsidRDefault="00BB2E74" w:rsidP="00BB2E74">
      <w:pPr>
        <w:rPr>
          <w:rFonts w:ascii="Cambria" w:hAnsi="Cambria" w:cs="Calibri"/>
          <w:b/>
          <w:bCs/>
          <w:lang w:val="en-GB"/>
        </w:rPr>
      </w:pPr>
    </w:p>
    <w:p w14:paraId="7CE38DB3" w14:textId="40C0196B" w:rsidR="00BB2E74" w:rsidRDefault="00BB2E74" w:rsidP="00BB2E74">
      <w:pPr>
        <w:rPr>
          <w:rFonts w:ascii="Cambria" w:hAnsi="Cambria" w:cs="Calibri"/>
          <w:b/>
          <w:bCs/>
          <w:lang w:val="en-GB"/>
        </w:rPr>
      </w:pPr>
    </w:p>
    <w:p w14:paraId="249BEE6C" w14:textId="0D1662D4" w:rsidR="00BB2E74" w:rsidRDefault="00BB2E74" w:rsidP="00BB2E74">
      <w:pPr>
        <w:rPr>
          <w:rFonts w:ascii="Cambria" w:hAnsi="Cambria" w:cs="Calibri"/>
          <w:b/>
          <w:bCs/>
          <w:lang w:val="en-GB"/>
        </w:rPr>
      </w:pPr>
    </w:p>
    <w:p w14:paraId="6B091EB8" w14:textId="77777777" w:rsidR="00BB2E74" w:rsidRPr="00975C7D" w:rsidRDefault="00BB2E74" w:rsidP="00BB2E74">
      <w:pPr>
        <w:rPr>
          <w:lang w:val="en-GB"/>
        </w:rPr>
      </w:pPr>
    </w:p>
    <w:sectPr w:rsidR="00BB2E74" w:rsidRPr="00975C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9874D" w14:textId="77777777" w:rsidR="00BE6E54" w:rsidRDefault="00BE6E54" w:rsidP="00BB2E74">
      <w:r>
        <w:separator/>
      </w:r>
    </w:p>
  </w:endnote>
  <w:endnote w:type="continuationSeparator" w:id="0">
    <w:p w14:paraId="7D4F729A" w14:textId="77777777" w:rsidR="00BE6E54" w:rsidRDefault="00BE6E54" w:rsidP="00BB2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C159C" w14:textId="77777777" w:rsidR="00BE6E54" w:rsidRDefault="00BE6E54" w:rsidP="00BB2E74">
      <w:r>
        <w:separator/>
      </w:r>
    </w:p>
  </w:footnote>
  <w:footnote w:type="continuationSeparator" w:id="0">
    <w:p w14:paraId="1EA2BBCC" w14:textId="77777777" w:rsidR="00BE6E54" w:rsidRDefault="00BE6E54" w:rsidP="00BB2E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E74"/>
    <w:rsid w:val="00975C7D"/>
    <w:rsid w:val="00A57DB1"/>
    <w:rsid w:val="00AD183A"/>
    <w:rsid w:val="00BB2E74"/>
    <w:rsid w:val="00BE6E54"/>
    <w:rsid w:val="00CE62CD"/>
    <w:rsid w:val="00DF26A4"/>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0CEED646"/>
  <w15:chartTrackingRefBased/>
  <w15:docId w15:val="{61EFB60D-821E-444C-8FE9-8948C5203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E74"/>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2E74"/>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2E74"/>
    <w:rPr>
      <w:color w:val="0563C1" w:themeColor="hyperlink"/>
      <w:u w:val="single"/>
    </w:rPr>
  </w:style>
  <w:style w:type="character" w:styleId="CommentReference">
    <w:name w:val="annotation reference"/>
    <w:basedOn w:val="DefaultParagraphFont"/>
    <w:uiPriority w:val="99"/>
    <w:semiHidden/>
    <w:unhideWhenUsed/>
    <w:rsid w:val="00BB2E74"/>
    <w:rPr>
      <w:sz w:val="16"/>
      <w:szCs w:val="16"/>
    </w:rPr>
  </w:style>
  <w:style w:type="paragraph" w:styleId="Header">
    <w:name w:val="header"/>
    <w:basedOn w:val="Normal"/>
    <w:link w:val="HeaderChar"/>
    <w:uiPriority w:val="99"/>
    <w:unhideWhenUsed/>
    <w:rsid w:val="00BB2E74"/>
    <w:pPr>
      <w:tabs>
        <w:tab w:val="center" w:pos="4513"/>
        <w:tab w:val="right" w:pos="9026"/>
      </w:tabs>
    </w:pPr>
  </w:style>
  <w:style w:type="character" w:customStyle="1" w:styleId="HeaderChar">
    <w:name w:val="Header Char"/>
    <w:basedOn w:val="DefaultParagraphFont"/>
    <w:link w:val="Header"/>
    <w:uiPriority w:val="99"/>
    <w:rsid w:val="00BB2E74"/>
    <w:rPr>
      <w:rFonts w:ascii="Times New Roman" w:eastAsia="Times New Roman" w:hAnsi="Times New Roman" w:cs="Times New Roman"/>
      <w:lang w:eastAsia="en-GB"/>
    </w:rPr>
  </w:style>
  <w:style w:type="paragraph" w:styleId="Footer">
    <w:name w:val="footer"/>
    <w:basedOn w:val="Normal"/>
    <w:link w:val="FooterChar"/>
    <w:uiPriority w:val="99"/>
    <w:unhideWhenUsed/>
    <w:rsid w:val="00BB2E74"/>
    <w:pPr>
      <w:tabs>
        <w:tab w:val="center" w:pos="4513"/>
        <w:tab w:val="right" w:pos="9026"/>
      </w:tabs>
    </w:pPr>
  </w:style>
  <w:style w:type="character" w:customStyle="1" w:styleId="FooterChar">
    <w:name w:val="Footer Char"/>
    <w:basedOn w:val="DefaultParagraphFont"/>
    <w:link w:val="Footer"/>
    <w:uiPriority w:val="99"/>
    <w:rsid w:val="00BB2E74"/>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ntp.niehs.nih.gov/nnl/musculoskeletal/index.htm" TargetMode="External"/><Relationship Id="rId18" Type="http://schemas.openxmlformats.org/officeDocument/2006/relationships/hyperlink" Target="https://ntp.niehs.nih.gov/nnl/musculoskeletal/index.htm"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hyperlink" Target="https://ntp.niehs.nih.gov/nnl/musculoskeletal/index.htm" TargetMode="External"/><Relationship Id="rId17" Type="http://schemas.openxmlformats.org/officeDocument/2006/relationships/hyperlink" Target="https://ntp.niehs.nih.gov/nnl/musculoskeletal/index.htm" TargetMode="External"/><Relationship Id="rId2" Type="http://schemas.openxmlformats.org/officeDocument/2006/relationships/settings" Target="settings.xml"/><Relationship Id="rId16" Type="http://schemas.openxmlformats.org/officeDocument/2006/relationships/hyperlink" Target="https://ntp.niehs.nih.gov/nnl/musculoskeletal/index.htm" TargetMode="External"/><Relationship Id="rId20"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hyperlink" Target="https://ntp.niehs.nih.gov/nnl/musculoskeletal/index.htm" TargetMode="External"/><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hyperlink" Target="https://ntp.niehs.nih.gov/nnl/musculoskeletal/index.h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78C9EDDDE7BFE45BCA95C5E71C7E0CA"/>
        <w:category>
          <w:name w:val="General"/>
          <w:gallery w:val="placeholder"/>
        </w:category>
        <w:types>
          <w:type w:val="bbPlcHdr"/>
        </w:types>
        <w:behaviors>
          <w:behavior w:val="content"/>
        </w:behaviors>
        <w:guid w:val="{75294E59-8DBC-8247-80BE-45C7D0E2DD7B}"/>
      </w:docPartPr>
      <w:docPartBody>
        <w:p w:rsidR="00D22F46" w:rsidRDefault="00B65CB1" w:rsidP="00B65CB1">
          <w:pPr>
            <w:pStyle w:val="778C9EDDDE7BFE45BCA95C5E71C7E0CA"/>
          </w:pPr>
          <w:r w:rsidRPr="000227B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CB1"/>
    <w:rsid w:val="003345BC"/>
    <w:rsid w:val="00B65CB1"/>
    <w:rsid w:val="00D07A4F"/>
    <w:rsid w:val="00D22F46"/>
    <w:rsid w:val="00EB6887"/>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5CB1"/>
    <w:rPr>
      <w:color w:val="808080"/>
    </w:rPr>
  </w:style>
  <w:style w:type="paragraph" w:customStyle="1" w:styleId="778C9EDDDE7BFE45BCA95C5E71C7E0CA">
    <w:name w:val="778C9EDDDE7BFE45BCA95C5E71C7E0CA"/>
    <w:rsid w:val="00B65C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1477</Words>
  <Characters>8425</Characters>
  <Application>Microsoft Office Word</Application>
  <DocSecurity>0</DocSecurity>
  <Lines>70</Lines>
  <Paragraphs>19</Paragraphs>
  <ScaleCrop>false</ScaleCrop>
  <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Sanz Nogues, Clara</dc:creator>
  <cp:keywords/>
  <dc:description/>
  <cp:lastModifiedBy>Sanz Nogues, Clara</cp:lastModifiedBy>
  <cp:revision>3</cp:revision>
  <dcterms:created xsi:type="dcterms:W3CDTF">2022-08-17T15:06:00Z</dcterms:created>
  <dcterms:modified xsi:type="dcterms:W3CDTF">2022-08-17T16:43:00Z</dcterms:modified>
</cp:coreProperties>
</file>