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92F" w:rsidRPr="008147E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sz w:val="28"/>
          <w:szCs w:val="28"/>
        </w:rPr>
        <w:t xml:space="preserve">Supplemental </w:t>
      </w:r>
      <w:r w:rsidRPr="007A6167">
        <w:rPr>
          <w:rFonts w:ascii="Arial" w:eastAsia="Times New Roman" w:hAnsi="Arial" w:cs="Arial"/>
          <w:b/>
          <w:bCs/>
          <w:sz w:val="28"/>
          <w:szCs w:val="28"/>
        </w:rPr>
        <w:t xml:space="preserve">Figure </w:t>
      </w:r>
      <w:r>
        <w:rPr>
          <w:rFonts w:ascii="Arial" w:eastAsia="Times New Roman" w:hAnsi="Arial" w:cs="Arial"/>
          <w:b/>
          <w:bCs/>
          <w:sz w:val="28"/>
          <w:szCs w:val="28"/>
        </w:rPr>
        <w:t>legends</w:t>
      </w:r>
    </w:p>
    <w:p w:rsidR="00F1492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Supplemental </w:t>
      </w:r>
      <w:r w:rsidRPr="007A6167">
        <w:rPr>
          <w:rFonts w:ascii="Arial" w:eastAsia="Times New Roman" w:hAnsi="Arial" w:cs="Arial"/>
          <w:b/>
          <w:sz w:val="24"/>
          <w:szCs w:val="24"/>
        </w:rPr>
        <w:t>Figure 1.</w:t>
      </w:r>
      <w:r>
        <w:rPr>
          <w:rFonts w:ascii="Arial" w:eastAsia="Times New Roman" w:hAnsi="Arial" w:cs="Arial"/>
          <w:b/>
          <w:sz w:val="24"/>
          <w:szCs w:val="24"/>
        </w:rPr>
        <w:t xml:space="preserve"> Alternative model for collaboration among humans</w:t>
      </w:r>
    </w:p>
    <w:p w:rsidR="00F1492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A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Functional dependence on the population age structure for the fraction of younger hosts which reproduce under collaborative, </w:t>
      </w:r>
      <m:oMath>
        <m:r>
          <w:rPr>
            <w:rFonts w:ascii="Cambria Math" w:eastAsia="Times New Roman" w:hAnsi="Cambria Math" w:cs="Arial"/>
            <w:sz w:val="24"/>
            <w:szCs w:val="24"/>
          </w:rPr>
          <m:t>a=0, 0&lt;b≤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</w:rPr>
              <m:t>2</m:t>
            </m:r>
          </m:den>
        </m:f>
      </m:oMath>
      <w:r>
        <w:rPr>
          <w:rFonts w:ascii="Arial" w:eastAsia="Times New Roman" w:hAnsi="Arial" w:cs="Arial"/>
          <w:bCs/>
          <w:sz w:val="24"/>
          <w:szCs w:val="24"/>
        </w:rPr>
        <w:t xml:space="preserve">, and competitive, </w:t>
      </w:r>
      <m:oMath>
        <m:r>
          <w:rPr>
            <w:rFonts w:ascii="Cambria Math" w:eastAsia="Times New Roman" w:hAnsi="Cambria Math" w:cs="Arial"/>
            <w:sz w:val="24"/>
            <w:szCs w:val="24"/>
          </w:rPr>
          <m:t>b=0</m:t>
        </m:r>
        <m:r>
          <m:rPr>
            <m:sty m:val="p"/>
          </m:rPr>
          <w:rPr>
            <w:rFonts w:ascii="Cambria Math" w:eastAsia="Times New Roman" w:hAnsi="Cambria Math" w:cs="Arial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Times New Roman" w:hAnsi="Arial" w:cs="Arial"/>
            <w:sz w:val="24"/>
            <w:szCs w:val="24"/>
          </w:rPr>
          <m:t xml:space="preserve">, </m:t>
        </m:r>
        <m:r>
          <w:rPr>
            <w:rFonts w:ascii="Cambria Math" w:eastAsia="Times New Roman" w:hAnsi="Cambria Math" w:cs="Arial"/>
            <w:sz w:val="24"/>
            <w:szCs w:val="24"/>
          </w:rPr>
          <m:t>0&lt;a≤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</w:rPr>
              <m:t>2</m:t>
            </m:r>
          </m:den>
        </m:f>
      </m:oMath>
      <w:r>
        <w:rPr>
          <w:rFonts w:ascii="Arial" w:eastAsia="Times New Roman" w:hAnsi="Arial" w:cs="Arial"/>
          <w:bCs/>
          <w:sz w:val="24"/>
          <w:szCs w:val="24"/>
        </w:rPr>
        <w:t xml:space="preserve">, conditions. Alternative functional form from that used in the main text. </w:t>
      </w:r>
      <w:r>
        <w:rPr>
          <w:rFonts w:ascii="Arial" w:eastAsia="Times New Roman" w:hAnsi="Arial" w:cs="Arial"/>
          <w:b/>
          <w:sz w:val="24"/>
          <w:szCs w:val="24"/>
        </w:rPr>
        <w:t>B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An example epidemic trajectory for </w:t>
      </w:r>
      <m:oMath>
        <m:r>
          <w:rPr>
            <w:rFonts w:ascii="Cambria Math" w:eastAsia="Times New Roman" w:hAnsi="Cambria Math" w:cs="Arial"/>
            <w:sz w:val="24"/>
            <w:szCs w:val="24"/>
          </w:rPr>
          <m:t>a=0.2</m:t>
        </m:r>
      </m:oMath>
      <w:r>
        <w:rPr>
          <w:rFonts w:ascii="Arial" w:eastAsia="Times New Roman" w:hAnsi="Arial" w:cs="Arial"/>
          <w:bCs/>
          <w:sz w:val="24"/>
          <w:szCs w:val="24"/>
        </w:rPr>
        <w:t xml:space="preserve"> displaying the proportions of the three disease states. </w:t>
      </w:r>
      <w:r>
        <w:rPr>
          <w:rFonts w:ascii="Arial" w:eastAsia="Times New Roman" w:hAnsi="Arial" w:cs="Arial"/>
          <w:b/>
          <w:sz w:val="24"/>
          <w:szCs w:val="24"/>
        </w:rPr>
        <w:t>C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Epidemic trajectories for different degrees of collaboration with the younger, potentially reproductive, fraction of the population displayed. </w:t>
      </w:r>
      <w:r>
        <w:rPr>
          <w:rFonts w:ascii="Arial" w:eastAsia="Times New Roman" w:hAnsi="Arial" w:cs="Arial"/>
          <w:b/>
          <w:sz w:val="24"/>
          <w:szCs w:val="24"/>
        </w:rPr>
        <w:t>D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Population growth rate,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22222"/>
                <w:shd w:val="clear" w:color="auto" w:fill="FFFFFF"/>
              </w:rPr>
            </m:ctrlPr>
          </m:fPr>
          <m:num>
            <m:r>
              <w:rPr>
                <w:rFonts w:ascii="Cambria Math" w:eastAsia="Times New Roman" w:hAnsi="Cambria Math" w:cs="Arial"/>
                <w:color w:val="222222"/>
                <w:shd w:val="clear" w:color="auto" w:fill="FFFFFF"/>
              </w:rPr>
              <m:t>dN/dt</m:t>
            </m:r>
          </m:num>
          <m:den>
            <m:r>
              <w:rPr>
                <w:rFonts w:ascii="Cambria Math" w:eastAsia="Times New Roman" w:hAnsi="Cambria Math" w:cs="Arial"/>
                <w:color w:val="222222"/>
                <w:shd w:val="clear" w:color="auto" w:fill="FFFFFF"/>
              </w:rPr>
              <m:t>N</m:t>
            </m:r>
          </m:den>
        </m:f>
      </m:oMath>
      <w:r>
        <w:rPr>
          <w:rFonts w:ascii="Arial" w:eastAsia="Times New Roman" w:hAnsi="Arial" w:cs="Arial"/>
          <w:bCs/>
          <w:sz w:val="24"/>
          <w:szCs w:val="24"/>
        </w:rPr>
        <w:t xml:space="preserve">, during the epidemic phase (left) and relaxation into endemicity (right). </w:t>
      </w:r>
      <w:bookmarkStart w:id="0" w:name="OLE_LINK20"/>
      <w:r>
        <w:rPr>
          <w:rFonts w:ascii="Arial" w:eastAsia="Times New Roman" w:hAnsi="Arial" w:cs="Arial"/>
          <w:b/>
          <w:sz w:val="24"/>
          <w:szCs w:val="24"/>
        </w:rPr>
        <w:t>E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bookmarkEnd w:id="0"/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Comparison of initial, disease free, growth rates and final growth rates at endemic equilibrium. </w:t>
      </w:r>
      <w:r>
        <w:rPr>
          <w:rFonts w:ascii="Arial" w:eastAsia="Times New Roman" w:hAnsi="Arial" w:cs="Arial"/>
          <w:b/>
          <w:sz w:val="24"/>
          <w:szCs w:val="24"/>
        </w:rPr>
        <w:t>F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Equivalent infection death rates for younger, potentially reproductive, hosts resulting in the same growth rate suppression for variable infection death rates among post-reproductive hosts. </w:t>
      </w:r>
    </w:p>
    <w:p w:rsidR="00F1492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</w:p>
    <w:p w:rsidR="00F1492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Supplemental </w:t>
      </w:r>
      <w:r w:rsidRPr="007A6167">
        <w:rPr>
          <w:rFonts w:ascii="Arial" w:eastAsia="Times New Roman" w:hAnsi="Arial" w:cs="Arial"/>
          <w:b/>
          <w:sz w:val="24"/>
          <w:szCs w:val="24"/>
        </w:rPr>
        <w:t xml:space="preserve">Figure </w:t>
      </w:r>
      <w:r>
        <w:rPr>
          <w:rFonts w:ascii="Arial" w:eastAsia="Times New Roman" w:hAnsi="Arial" w:cs="Arial"/>
          <w:b/>
          <w:sz w:val="24"/>
          <w:szCs w:val="24"/>
        </w:rPr>
        <w:t>2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>
        <w:rPr>
          <w:rFonts w:ascii="Arial" w:eastAsia="Times New Roman" w:hAnsi="Arial" w:cs="Arial"/>
          <w:b/>
          <w:sz w:val="24"/>
          <w:szCs w:val="24"/>
        </w:rPr>
        <w:t xml:space="preserve"> Competition among sweat bees</w:t>
      </w:r>
    </w:p>
    <w:p w:rsidR="00F1492F" w:rsidRDefault="00F1492F" w:rsidP="00F1492F">
      <w:pPr>
        <w:shd w:val="clear" w:color="auto" w:fill="FFFFFF"/>
        <w:spacing w:after="0"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7A6167">
        <w:rPr>
          <w:rFonts w:ascii="Arial" w:eastAsia="Times New Roman" w:hAnsi="Arial" w:cs="Arial"/>
          <w:b/>
          <w:sz w:val="24"/>
          <w:szCs w:val="24"/>
        </w:rPr>
        <w:t>A.</w:t>
      </w:r>
      <w:r>
        <w:rPr>
          <w:rFonts w:ascii="Arial" w:eastAsia="Times New Roman" w:hAnsi="Arial" w:cs="Arial"/>
          <w:bCs/>
          <w:sz w:val="24"/>
          <w:szCs w:val="24"/>
        </w:rPr>
        <w:t xml:space="preserve"> An example epidemic trajectory for </w:t>
      </w:r>
      <m:oMath>
        <m:r>
          <w:rPr>
            <w:rFonts w:ascii="Cambria Math" w:eastAsia="Times New Roman" w:hAnsi="Cambria Math" w:cs="Arial"/>
            <w:sz w:val="24"/>
            <w:szCs w:val="24"/>
          </w:rPr>
          <m:t>b=0.2</m:t>
        </m:r>
      </m:oMath>
      <w:r>
        <w:rPr>
          <w:rFonts w:ascii="Arial" w:eastAsia="Times New Roman" w:hAnsi="Arial" w:cs="Arial"/>
          <w:bCs/>
          <w:sz w:val="24"/>
          <w:szCs w:val="24"/>
        </w:rPr>
        <w:t xml:space="preserve"> displaying the proportions of the three disease states. </w:t>
      </w:r>
      <w:r>
        <w:rPr>
          <w:rFonts w:ascii="Arial" w:eastAsia="Times New Roman" w:hAnsi="Arial" w:cs="Arial"/>
          <w:b/>
          <w:sz w:val="24"/>
          <w:szCs w:val="24"/>
        </w:rPr>
        <w:t>B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Epidemic trajectories for different degrees of competition with the younger, potentially reproductive, fraction of the population displayed. </w:t>
      </w:r>
      <w:r>
        <w:rPr>
          <w:rFonts w:ascii="Arial" w:eastAsia="Times New Roman" w:hAnsi="Arial" w:cs="Arial"/>
          <w:b/>
          <w:sz w:val="24"/>
          <w:szCs w:val="24"/>
        </w:rPr>
        <w:t>C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Population growth rate,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222222"/>
                <w:shd w:val="clear" w:color="auto" w:fill="FFFFFF"/>
              </w:rPr>
            </m:ctrlPr>
          </m:fPr>
          <m:num>
            <m:r>
              <w:rPr>
                <w:rFonts w:ascii="Cambria Math" w:eastAsia="Times New Roman" w:hAnsi="Cambria Math" w:cs="Arial"/>
                <w:color w:val="222222"/>
                <w:shd w:val="clear" w:color="auto" w:fill="FFFFFF"/>
              </w:rPr>
              <m:t>dN/dt</m:t>
            </m:r>
          </m:num>
          <m:den>
            <m:r>
              <w:rPr>
                <w:rFonts w:ascii="Cambria Math" w:eastAsia="Times New Roman" w:hAnsi="Cambria Math" w:cs="Arial"/>
                <w:color w:val="222222"/>
                <w:shd w:val="clear" w:color="auto" w:fill="FFFFFF"/>
              </w:rPr>
              <m:t>N</m:t>
            </m:r>
          </m:den>
        </m:f>
      </m:oMath>
      <w:r>
        <w:rPr>
          <w:rFonts w:ascii="Arial" w:eastAsia="Times New Roman" w:hAnsi="Arial" w:cs="Arial"/>
          <w:bCs/>
          <w:sz w:val="24"/>
          <w:szCs w:val="24"/>
        </w:rPr>
        <w:t xml:space="preserve">, over the course of the epidemic which quickly reaches a state of endemic equilibrium. 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</w:rPr>
        <w:t>D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 xml:space="preserve">Comparison of initial, disease free, growth rates and final growth rates at endemic equilibrium. </w:t>
      </w:r>
      <w:r>
        <w:rPr>
          <w:rFonts w:ascii="Arial" w:eastAsia="Times New Roman" w:hAnsi="Arial" w:cs="Arial"/>
          <w:b/>
          <w:sz w:val="24"/>
          <w:szCs w:val="24"/>
        </w:rPr>
        <w:t>E</w:t>
      </w:r>
      <w:r w:rsidRPr="007A6167">
        <w:rPr>
          <w:rFonts w:ascii="Arial" w:eastAsia="Times New Roman" w:hAnsi="Arial" w:cs="Arial"/>
          <w:b/>
          <w:sz w:val="24"/>
          <w:szCs w:val="24"/>
        </w:rPr>
        <w:t>.</w:t>
      </w:r>
      <w:r w:rsidRPr="007A6167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>Equivalent increase in birth rate resulting in the same growth rate increase for variable infection death rates among post-reproductive hosts.</w:t>
      </w:r>
    </w:p>
    <w:p w:rsidR="001760E5" w:rsidRDefault="00F1492F">
      <w:bookmarkStart w:id="1" w:name="_GoBack"/>
      <w:bookmarkEnd w:id="1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92F"/>
    <w:rsid w:val="008A3324"/>
    <w:rsid w:val="00996CDB"/>
    <w:rsid w:val="00BA546E"/>
    <w:rsid w:val="00F1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1D91F2-7427-4963-9D28-39C34CFD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49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2022-08-24T09:30:00Z</dcterms:created>
  <dcterms:modified xsi:type="dcterms:W3CDTF">2022-08-24T09:31:00Z</dcterms:modified>
</cp:coreProperties>
</file>