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3B42" w14:textId="4CC44060" w:rsidR="00D203F2" w:rsidRDefault="003A4789" w:rsidP="00D203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789">
        <w:rPr>
          <w:rFonts w:ascii="Times New Roman" w:hAnsi="Times New Roman" w:cs="Times New Roman"/>
          <w:b/>
          <w:bCs/>
          <w:sz w:val="24"/>
          <w:szCs w:val="24"/>
        </w:rPr>
        <w:t>Highlights</w:t>
      </w:r>
    </w:p>
    <w:p w14:paraId="1FE68CC0" w14:textId="77777777" w:rsidR="00912532" w:rsidRPr="003A4789" w:rsidRDefault="00912532" w:rsidP="00D203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3453B3" w14:textId="36348A27" w:rsidR="00D203F2" w:rsidRDefault="00D203F2" w:rsidP="00912532">
      <w:pPr>
        <w:pStyle w:val="a3"/>
        <w:numPr>
          <w:ilvl w:val="0"/>
          <w:numId w:val="2"/>
        </w:numPr>
        <w:ind w:left="360" w:firstLineChars="0"/>
        <w:rPr>
          <w:rFonts w:ascii="Times New Roman" w:hAnsi="Times New Roman" w:cs="Times New Roman"/>
          <w:sz w:val="24"/>
          <w:szCs w:val="24"/>
        </w:rPr>
      </w:pPr>
      <w:r w:rsidRPr="00912532">
        <w:rPr>
          <w:rFonts w:ascii="Times New Roman" w:hAnsi="Times New Roman" w:cs="Times New Roman"/>
          <w:sz w:val="24"/>
          <w:szCs w:val="24"/>
        </w:rPr>
        <w:t xml:space="preserve">A new composite material is designed with </w:t>
      </w:r>
      <w:r w:rsidR="00912532">
        <w:rPr>
          <w:rFonts w:ascii="Times New Roman" w:hAnsi="Times New Roman" w:cs="Times New Roman"/>
          <w:sz w:val="24"/>
          <w:szCs w:val="24"/>
        </w:rPr>
        <w:t>energy transfer</w:t>
      </w:r>
      <w:r w:rsidRPr="00912532">
        <w:rPr>
          <w:rFonts w:ascii="Times New Roman" w:hAnsi="Times New Roman" w:cs="Times New Roman"/>
          <w:sz w:val="24"/>
          <w:szCs w:val="24"/>
        </w:rPr>
        <w:t xml:space="preserve"> between </w:t>
      </w:r>
      <w:r w:rsidR="00912532">
        <w:rPr>
          <w:rFonts w:ascii="Times New Roman" w:hAnsi="Times New Roman" w:cs="Times New Roman"/>
          <w:sz w:val="24"/>
          <w:szCs w:val="24"/>
        </w:rPr>
        <w:t>upconversion nanoparticles</w:t>
      </w:r>
      <w:r w:rsidRPr="00912532">
        <w:rPr>
          <w:rFonts w:ascii="Times New Roman" w:hAnsi="Times New Roman" w:cs="Times New Roman"/>
          <w:sz w:val="24"/>
          <w:szCs w:val="24"/>
        </w:rPr>
        <w:t xml:space="preserve"> and </w:t>
      </w:r>
      <w:r w:rsidR="00912532">
        <w:rPr>
          <w:rFonts w:ascii="Times New Roman" w:hAnsi="Times New Roman" w:cs="Times New Roman"/>
          <w:sz w:val="24"/>
          <w:szCs w:val="24"/>
        </w:rPr>
        <w:t>perovskite dots for luminescence sensing</w:t>
      </w:r>
      <w:r w:rsidR="00F65F8F">
        <w:rPr>
          <w:rFonts w:ascii="Times New Roman" w:hAnsi="Times New Roman" w:cs="Times New Roman" w:hint="eastAsia"/>
          <w:sz w:val="24"/>
          <w:szCs w:val="24"/>
        </w:rPr>
        <w:t>.</w:t>
      </w:r>
      <w:r w:rsidR="009125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4D8A8" w14:textId="77777777" w:rsidR="00F65F8F" w:rsidRPr="00912532" w:rsidRDefault="00F65F8F" w:rsidP="00F65F8F">
      <w:pPr>
        <w:pStyle w:val="a3"/>
        <w:ind w:left="360" w:firstLineChars="0" w:firstLine="0"/>
        <w:rPr>
          <w:rFonts w:ascii="Times New Roman" w:hAnsi="Times New Roman" w:cs="Times New Roman" w:hint="eastAsia"/>
          <w:sz w:val="24"/>
          <w:szCs w:val="24"/>
        </w:rPr>
      </w:pPr>
    </w:p>
    <w:p w14:paraId="008758DA" w14:textId="77777777" w:rsidR="00F65F8F" w:rsidRPr="00F65F8F" w:rsidRDefault="00F65F8F" w:rsidP="00F65F8F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F65F8F">
        <w:rPr>
          <w:rFonts w:ascii="Times New Roman" w:hAnsi="Times New Roman" w:cs="Times New Roman"/>
          <w:sz w:val="24"/>
          <w:szCs w:val="24"/>
        </w:rPr>
        <w:t>Based on the absorption position of the BHQ1 quenching group to modulate the luminescence position of the composite material at 531 nm for detection.</w:t>
      </w:r>
    </w:p>
    <w:p w14:paraId="78B24A89" w14:textId="77777777" w:rsidR="00A97FD1" w:rsidRPr="00F65F8F" w:rsidRDefault="00A97FD1" w:rsidP="00071169">
      <w:pPr>
        <w:rPr>
          <w:rFonts w:ascii="Times New Roman" w:hAnsi="Times New Roman" w:cs="Times New Roman"/>
          <w:sz w:val="24"/>
          <w:szCs w:val="24"/>
        </w:rPr>
      </w:pPr>
    </w:p>
    <w:p w14:paraId="0C33E08F" w14:textId="68B2F3DB" w:rsidR="00D203F2" w:rsidRPr="00912532" w:rsidRDefault="00071169" w:rsidP="00912532">
      <w:pPr>
        <w:pStyle w:val="a3"/>
        <w:numPr>
          <w:ilvl w:val="0"/>
          <w:numId w:val="2"/>
        </w:numPr>
        <w:ind w:left="36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203F2" w:rsidRPr="00912532">
        <w:rPr>
          <w:rFonts w:ascii="Times New Roman" w:hAnsi="Times New Roman" w:cs="Times New Roman"/>
          <w:sz w:val="24"/>
          <w:szCs w:val="24"/>
        </w:rPr>
        <w:t xml:space="preserve">ew </w:t>
      </w:r>
      <w:r>
        <w:rPr>
          <w:rFonts w:ascii="Times New Roman" w:hAnsi="Times New Roman" w:cs="Times New Roman"/>
          <w:sz w:val="24"/>
          <w:szCs w:val="24"/>
        </w:rPr>
        <w:t>upconversion</w:t>
      </w:r>
      <w:r w:rsidR="00D203F2" w:rsidRPr="00912532">
        <w:rPr>
          <w:rFonts w:ascii="Times New Roman" w:hAnsi="Times New Roman" w:cs="Times New Roman"/>
          <w:sz w:val="24"/>
          <w:szCs w:val="24"/>
        </w:rPr>
        <w:t xml:space="preserve"> probe</w:t>
      </w:r>
      <w:r>
        <w:rPr>
          <w:rFonts w:ascii="Times New Roman" w:hAnsi="Times New Roman" w:cs="Times New Roman"/>
          <w:sz w:val="24"/>
          <w:szCs w:val="24"/>
        </w:rPr>
        <w:t xml:space="preserve">s are designed and tested for </w:t>
      </w:r>
      <w:r w:rsidR="00D203F2" w:rsidRPr="00912532">
        <w:rPr>
          <w:rFonts w:ascii="Times New Roman" w:hAnsi="Times New Roman" w:cs="Times New Roman"/>
          <w:sz w:val="24"/>
          <w:szCs w:val="24"/>
        </w:rPr>
        <w:t>reducing the fluorescen</w:t>
      </w:r>
      <w:r>
        <w:rPr>
          <w:rFonts w:ascii="Times New Roman" w:hAnsi="Times New Roman" w:cs="Times New Roman"/>
          <w:sz w:val="24"/>
          <w:szCs w:val="24"/>
        </w:rPr>
        <w:t>ce</w:t>
      </w:r>
      <w:r w:rsidR="00D203F2" w:rsidRPr="00912532">
        <w:rPr>
          <w:rFonts w:ascii="Times New Roman" w:hAnsi="Times New Roman" w:cs="Times New Roman"/>
          <w:sz w:val="24"/>
          <w:szCs w:val="24"/>
        </w:rPr>
        <w:t xml:space="preserve"> background and enhancing the penetration.</w:t>
      </w:r>
    </w:p>
    <w:p w14:paraId="0975D950" w14:textId="77777777" w:rsidR="00A97FD1" w:rsidRDefault="00A97FD1" w:rsidP="0091253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D3A74EA" w14:textId="1E5B2AD5" w:rsidR="00D203F2" w:rsidRPr="00912532" w:rsidRDefault="00D203F2" w:rsidP="00912532">
      <w:pPr>
        <w:pStyle w:val="a3"/>
        <w:numPr>
          <w:ilvl w:val="0"/>
          <w:numId w:val="2"/>
        </w:numPr>
        <w:ind w:left="360" w:firstLineChars="0"/>
        <w:rPr>
          <w:rFonts w:ascii="Times New Roman" w:hAnsi="Times New Roman" w:cs="Times New Roman"/>
          <w:sz w:val="24"/>
          <w:szCs w:val="24"/>
        </w:rPr>
      </w:pPr>
      <w:r w:rsidRPr="00912532">
        <w:rPr>
          <w:rFonts w:ascii="Times New Roman" w:hAnsi="Times New Roman" w:cs="Times New Roman"/>
          <w:sz w:val="24"/>
          <w:szCs w:val="24"/>
        </w:rPr>
        <w:t xml:space="preserve">The </w:t>
      </w:r>
      <w:r w:rsidR="00071169">
        <w:rPr>
          <w:rFonts w:ascii="Times New Roman" w:hAnsi="Times New Roman" w:cs="Times New Roman"/>
          <w:sz w:val="24"/>
          <w:szCs w:val="24"/>
        </w:rPr>
        <w:t>upconversion</w:t>
      </w:r>
      <w:r w:rsidRPr="00912532">
        <w:rPr>
          <w:rFonts w:ascii="Times New Roman" w:hAnsi="Times New Roman" w:cs="Times New Roman"/>
          <w:sz w:val="24"/>
          <w:szCs w:val="24"/>
        </w:rPr>
        <w:t xml:space="preserve"> probe</w:t>
      </w:r>
      <w:r w:rsidR="00071169">
        <w:rPr>
          <w:rFonts w:ascii="Times New Roman" w:hAnsi="Times New Roman" w:cs="Times New Roman"/>
          <w:sz w:val="24"/>
          <w:szCs w:val="24"/>
        </w:rPr>
        <w:t>s are promising for sensitive</w:t>
      </w:r>
      <w:r w:rsidRPr="00912532">
        <w:rPr>
          <w:rFonts w:ascii="Times New Roman" w:hAnsi="Times New Roman" w:cs="Times New Roman"/>
          <w:sz w:val="24"/>
          <w:szCs w:val="24"/>
        </w:rPr>
        <w:t xml:space="preserve"> detection and specific recognition of miRNA-155</w:t>
      </w:r>
      <w:r w:rsidR="00071169">
        <w:rPr>
          <w:rFonts w:ascii="Times New Roman" w:hAnsi="Times New Roman" w:cs="Times New Roman"/>
          <w:sz w:val="24"/>
          <w:szCs w:val="24"/>
        </w:rPr>
        <w:t xml:space="preserve"> for</w:t>
      </w:r>
      <w:r w:rsidRPr="00912532">
        <w:rPr>
          <w:rFonts w:ascii="Times New Roman" w:hAnsi="Times New Roman" w:cs="Times New Roman"/>
          <w:sz w:val="24"/>
          <w:szCs w:val="24"/>
        </w:rPr>
        <w:t xml:space="preserve"> early detection and diagnosis of </w:t>
      </w:r>
      <w:r w:rsidR="00071169">
        <w:rPr>
          <w:rFonts w:ascii="Times New Roman" w:hAnsi="Times New Roman" w:cs="Times New Roman"/>
          <w:sz w:val="24"/>
          <w:szCs w:val="24"/>
        </w:rPr>
        <w:t>cancers</w:t>
      </w:r>
      <w:r w:rsidR="006738C8">
        <w:rPr>
          <w:rFonts w:ascii="Times New Roman" w:hAnsi="Times New Roman" w:cs="Times New Roman"/>
          <w:sz w:val="24"/>
          <w:szCs w:val="24"/>
        </w:rPr>
        <w:t>.</w:t>
      </w:r>
    </w:p>
    <w:p w14:paraId="06A3F9DF" w14:textId="77777777" w:rsidR="00D203F2" w:rsidRDefault="00D203F2" w:rsidP="00912532">
      <w:pPr>
        <w:ind w:left="360"/>
      </w:pPr>
    </w:p>
    <w:p w14:paraId="1531424F" w14:textId="07185A62" w:rsidR="00D203F2" w:rsidRDefault="00D203F2" w:rsidP="00F65F8F">
      <w:pPr>
        <w:ind w:left="360"/>
      </w:pPr>
    </w:p>
    <w:sectPr w:rsidR="00D20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501EF"/>
    <w:multiLevelType w:val="hybridMultilevel"/>
    <w:tmpl w:val="BA422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75E7A"/>
    <w:multiLevelType w:val="hybridMultilevel"/>
    <w:tmpl w:val="8EEC832A"/>
    <w:lvl w:ilvl="0" w:tplc="327E8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AC7CE1"/>
    <w:multiLevelType w:val="hybridMultilevel"/>
    <w:tmpl w:val="40AA27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B15A44"/>
    <w:multiLevelType w:val="hybridMultilevel"/>
    <w:tmpl w:val="E6248BF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483563">
    <w:abstractNumId w:val="1"/>
  </w:num>
  <w:num w:numId="2" w16cid:durableId="60450603">
    <w:abstractNumId w:val="3"/>
  </w:num>
  <w:num w:numId="3" w16cid:durableId="1710715045">
    <w:abstractNumId w:val="0"/>
  </w:num>
  <w:num w:numId="4" w16cid:durableId="863634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D4"/>
    <w:rsid w:val="00043221"/>
    <w:rsid w:val="00071169"/>
    <w:rsid w:val="00087E3F"/>
    <w:rsid w:val="001640FF"/>
    <w:rsid w:val="001727F0"/>
    <w:rsid w:val="003A4789"/>
    <w:rsid w:val="003C6FD5"/>
    <w:rsid w:val="003E5CCF"/>
    <w:rsid w:val="00447498"/>
    <w:rsid w:val="00652159"/>
    <w:rsid w:val="006738C8"/>
    <w:rsid w:val="006A5528"/>
    <w:rsid w:val="007479FE"/>
    <w:rsid w:val="008003D4"/>
    <w:rsid w:val="00912532"/>
    <w:rsid w:val="00934D37"/>
    <w:rsid w:val="00A97FD1"/>
    <w:rsid w:val="00BC7F04"/>
    <w:rsid w:val="00C20CDA"/>
    <w:rsid w:val="00CA3207"/>
    <w:rsid w:val="00D203F2"/>
    <w:rsid w:val="00D91126"/>
    <w:rsid w:val="00F65F8F"/>
    <w:rsid w:val="00FC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78D8"/>
  <w15:chartTrackingRefBased/>
  <w15:docId w15:val="{424F957B-46C6-4B52-975C-B93A468B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4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长 江七号</dc:creator>
  <cp:keywords/>
  <dc:description/>
  <cp:lastModifiedBy>长 江七号</cp:lastModifiedBy>
  <cp:revision>11</cp:revision>
  <dcterms:created xsi:type="dcterms:W3CDTF">2022-08-02T01:31:00Z</dcterms:created>
  <dcterms:modified xsi:type="dcterms:W3CDTF">2022-08-03T01:54:00Z</dcterms:modified>
</cp:coreProperties>
</file>