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Supporting information</w:t>
      </w:r>
      <w:r w:rsidDel="00000000" w:rsidR="00000000" w:rsidRPr="00000000">
        <w:rPr>
          <w:rtl w:val="0"/>
        </w:rPr>
      </w:r>
    </w:p>
    <w:p w:rsidR="00000000" w:rsidDel="00000000" w:rsidP="00000000" w:rsidRDefault="00000000" w:rsidRPr="00000000" w14:paraId="00000002">
      <w:pPr>
        <w:spacing w:after="16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after="160"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Optimizing variant-specific therapeutic SARS-CoV-2 decoys using deep-learning-guided molecular dynamic simulations.</w:t>
      </w:r>
      <w:r w:rsidDel="00000000" w:rsidR="00000000" w:rsidRPr="00000000">
        <w:rPr>
          <w:rtl w:val="0"/>
        </w:rPr>
      </w:r>
    </w:p>
    <w:p w:rsidR="00000000" w:rsidDel="00000000" w:rsidP="00000000" w:rsidRDefault="00000000" w:rsidRPr="00000000" w14:paraId="00000004">
      <w:pPr>
        <w:spacing w:after="160" w:line="480" w:lineRule="auto"/>
        <w:jc w:val="lef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5">
      <w:pPr>
        <w:spacing w:after="160" w:line="48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Katharina Köchl</w:t>
      </w:r>
      <w:r w:rsidDel="00000000" w:rsidR="00000000" w:rsidRPr="00000000">
        <w:rPr>
          <w:rFonts w:ascii="Times New Roman" w:cs="Times New Roman" w:eastAsia="Times New Roman" w:hAnsi="Times New Roman"/>
          <w:vertAlign w:val="superscript"/>
          <w:rtl w:val="0"/>
        </w:rPr>
        <w:t xml:space="preserve">1,2</w:t>
      </w:r>
      <w:r w:rsidDel="00000000" w:rsidR="00000000" w:rsidRPr="00000000">
        <w:rPr>
          <w:rFonts w:ascii="Times New Roman" w:cs="Times New Roman" w:eastAsia="Times New Roman" w:hAnsi="Times New Roman"/>
          <w:rtl w:val="0"/>
        </w:rPr>
        <w:t xml:space="preserve">, Tobias Schopper</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Vedat Durmaz</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Lena Parigger</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Amit Singh</w:t>
      </w:r>
      <w:r w:rsidDel="00000000" w:rsidR="00000000" w:rsidRPr="00000000">
        <w:rPr>
          <w:rFonts w:ascii="Times New Roman" w:cs="Times New Roman" w:eastAsia="Times New Roman" w:hAnsi="Times New Roman"/>
          <w:vertAlign w:val="superscript"/>
          <w:rtl w:val="0"/>
        </w:rPr>
        <w:t xml:space="preserve">1,3</w:t>
      </w:r>
      <w:r w:rsidDel="00000000" w:rsidR="00000000" w:rsidRPr="00000000">
        <w:rPr>
          <w:rFonts w:ascii="Times New Roman" w:cs="Times New Roman" w:eastAsia="Times New Roman" w:hAnsi="Times New Roman"/>
          <w:rtl w:val="0"/>
        </w:rPr>
        <w:t xml:space="preserve">, </w:t>
        <w:br w:type="textWrapping"/>
        <w:t xml:space="preserve">Andreas Krassnigg</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Marco Cespugli</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Wei Wu</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Xiaoli Yang</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Yanchong Zhang</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w:t>
        <w:br w:type="textWrapping"/>
        <w:t xml:space="preserve">Welson Wen-Shang Wang</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Crystal Selluski</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Tiehan Zhao</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Xin Zhang</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Caihong Bai</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Leon Lin</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Yuxiang Hu</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Zhiwei Xie</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Zaihui Zhang</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Jun Yan</w:t>
      </w: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Kurt Zatloukal</w:t>
      </w:r>
      <w:r w:rsidDel="00000000" w:rsidR="00000000" w:rsidRPr="00000000">
        <w:rPr>
          <w:rFonts w:ascii="Times New Roman" w:cs="Times New Roman" w:eastAsia="Times New Roman" w:hAnsi="Times New Roman"/>
          <w:vertAlign w:val="superscript"/>
          <w:rtl w:val="0"/>
        </w:rPr>
        <w:t xml:space="preserve">5</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vertAlign w:val="superscript"/>
          <w:rtl w:val="0"/>
        </w:rPr>
        <w:t xml:space="preserve"> </w:t>
      </w:r>
      <w:r w:rsidDel="00000000" w:rsidR="00000000" w:rsidRPr="00000000">
        <w:rPr>
          <w:rFonts w:ascii="Times New Roman" w:cs="Times New Roman" w:eastAsia="Times New Roman" w:hAnsi="Times New Roman"/>
          <w:rtl w:val="0"/>
        </w:rPr>
        <w:t xml:space="preserve">Karl Gruber</w:t>
      </w:r>
      <w:r w:rsidDel="00000000" w:rsidR="00000000" w:rsidRPr="00000000">
        <w:rPr>
          <w:rFonts w:ascii="Times New Roman" w:cs="Times New Roman" w:eastAsia="Times New Roman" w:hAnsi="Times New Roman"/>
          <w:vertAlign w:val="superscript"/>
          <w:rtl w:val="0"/>
        </w:rPr>
        <w:t xml:space="preserve">1,3,6</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rtl w:val="0"/>
        </w:rPr>
        <w:t xml:space="preserve"> </w:t>
        <w:br w:type="textWrapping"/>
      </w:r>
      <w:r w:rsidDel="00000000" w:rsidR="00000000" w:rsidRPr="00000000">
        <w:rPr>
          <w:rFonts w:ascii="Times New Roman" w:cs="Times New Roman" w:eastAsia="Times New Roman" w:hAnsi="Times New Roman"/>
          <w:u w:val="single"/>
          <w:rtl w:val="0"/>
        </w:rPr>
        <w:t xml:space="preserve">Georg Steinkellner</w:t>
      </w:r>
      <w:r w:rsidDel="00000000" w:rsidR="00000000" w:rsidRPr="00000000">
        <w:rPr>
          <w:rFonts w:ascii="Times New Roman" w:cs="Times New Roman" w:eastAsia="Times New Roman" w:hAnsi="Times New Roman"/>
          <w:vertAlign w:val="superscript"/>
          <w:rtl w:val="0"/>
        </w:rPr>
        <w:t xml:space="preserve">1,3*</w:t>
      </w:r>
      <w:r w:rsidDel="00000000" w:rsidR="00000000" w:rsidRPr="00000000">
        <w:rPr>
          <w:rFonts w:ascii="Times New Roman" w:cs="Times New Roman" w:eastAsia="Times New Roman" w:hAnsi="Times New Roman"/>
          <w:rtl w:val="0"/>
        </w:rPr>
        <w:t xml:space="preserve"> &amp; </w:t>
      </w:r>
      <w:r w:rsidDel="00000000" w:rsidR="00000000" w:rsidRPr="00000000">
        <w:rPr>
          <w:rFonts w:ascii="Times New Roman" w:cs="Times New Roman" w:eastAsia="Times New Roman" w:hAnsi="Times New Roman"/>
          <w:u w:val="single"/>
          <w:rtl w:val="0"/>
        </w:rPr>
        <w:t xml:space="preserve">Christian C. Gruber</w:t>
      </w:r>
      <w:r w:rsidDel="00000000" w:rsidR="00000000" w:rsidRPr="00000000">
        <w:rPr>
          <w:rFonts w:ascii="Times New Roman" w:cs="Times New Roman" w:eastAsia="Times New Roman" w:hAnsi="Times New Roman"/>
          <w:vertAlign w:val="superscript"/>
          <w:rtl w:val="0"/>
        </w:rPr>
        <w:t xml:space="preserve">1,2,3,6*</w:t>
      </w:r>
      <w:r w:rsidDel="00000000" w:rsidR="00000000" w:rsidRPr="00000000">
        <w:rPr>
          <w:rtl w:val="0"/>
        </w:rPr>
      </w:r>
    </w:p>
    <w:p w:rsidR="00000000" w:rsidDel="00000000" w:rsidP="00000000" w:rsidRDefault="00000000" w:rsidRPr="00000000" w14:paraId="00000006">
      <w:pPr>
        <w:spacing w:after="160"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spacing w:after="160"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Innophore</w:t>
      </w:r>
      <w:r w:rsidDel="00000000" w:rsidR="00000000" w:rsidRPr="00000000">
        <w:rPr>
          <w:rFonts w:ascii="Times New Roman" w:cs="Times New Roman" w:eastAsia="Times New Roman" w:hAnsi="Times New Roman"/>
          <w:rtl w:val="0"/>
        </w:rPr>
        <w:t xml:space="preserve"> GmbH, 8010, Graz, Austria</w:t>
      </w:r>
    </w:p>
    <w:p w:rsidR="00000000" w:rsidDel="00000000" w:rsidP="00000000" w:rsidRDefault="00000000" w:rsidRPr="00000000" w14:paraId="00000008">
      <w:pPr>
        <w:spacing w:after="160"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Austrian Centre of Industrial Biotechnology, 8010, Graz, Austria</w:t>
      </w:r>
    </w:p>
    <w:p w:rsidR="00000000" w:rsidDel="00000000" w:rsidP="00000000" w:rsidRDefault="00000000" w:rsidRPr="00000000" w14:paraId="00000009">
      <w:pPr>
        <w:spacing w:after="160"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3</w:t>
      </w:r>
      <w:r w:rsidDel="00000000" w:rsidR="00000000" w:rsidRPr="00000000">
        <w:rPr>
          <w:rFonts w:ascii="Times New Roman" w:cs="Times New Roman" w:eastAsia="Times New Roman" w:hAnsi="Times New Roman"/>
          <w:rtl w:val="0"/>
        </w:rPr>
        <w:t xml:space="preserve">Institute of Molecular Bioscience, University of Graz, 8010, Graz, Austria</w:t>
      </w:r>
    </w:p>
    <w:p w:rsidR="00000000" w:rsidDel="00000000" w:rsidP="00000000" w:rsidRDefault="00000000" w:rsidRPr="00000000" w14:paraId="0000000A">
      <w:pPr>
        <w:spacing w:after="160"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SignalChem Lifesciences Corp., 110-13120 Vanier Place, Richmond, BC V6V 2J2, Canada</w:t>
      </w:r>
      <w:r w:rsidDel="00000000" w:rsidR="00000000" w:rsidRPr="00000000">
        <w:rPr>
          <w:rtl w:val="0"/>
        </w:rPr>
      </w:r>
    </w:p>
    <w:p w:rsidR="00000000" w:rsidDel="00000000" w:rsidP="00000000" w:rsidRDefault="00000000" w:rsidRPr="00000000" w14:paraId="0000000B">
      <w:pPr>
        <w:spacing w:after="160"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5</w:t>
      </w:r>
      <w:r w:rsidDel="00000000" w:rsidR="00000000" w:rsidRPr="00000000">
        <w:rPr>
          <w:rFonts w:ascii="Times New Roman" w:cs="Times New Roman" w:eastAsia="Times New Roman" w:hAnsi="Times New Roman"/>
          <w:rtl w:val="0"/>
        </w:rPr>
        <w:t xml:space="preserve">Diagnostic- and Research Center for Molecular Biomedicine, Institute of Pathology, Medical University of Graz, 8010, Graz, Austria</w:t>
      </w:r>
    </w:p>
    <w:p w:rsidR="00000000" w:rsidDel="00000000" w:rsidP="00000000" w:rsidRDefault="00000000" w:rsidRPr="00000000" w14:paraId="0000000C">
      <w:pPr>
        <w:spacing w:after="160"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6</w:t>
      </w:r>
      <w:r w:rsidDel="00000000" w:rsidR="00000000" w:rsidRPr="00000000">
        <w:rPr>
          <w:rFonts w:ascii="Times New Roman" w:cs="Times New Roman" w:eastAsia="Times New Roman" w:hAnsi="Times New Roman"/>
          <w:rtl w:val="0"/>
        </w:rPr>
        <w:t xml:space="preserve">Field of Excellence BioHealth - University of Graz, 8010, Graz, Austria</w:t>
      </w:r>
    </w:p>
    <w:p w:rsidR="00000000" w:rsidDel="00000000" w:rsidP="00000000" w:rsidRDefault="00000000" w:rsidRPr="00000000" w14:paraId="0000000D">
      <w:pPr>
        <w:spacing w:after="160" w:line="480" w:lineRule="auto"/>
        <w:rPr>
          <w:rFonts w:ascii="Roboto" w:cs="Roboto" w:eastAsia="Roboto" w:hAnsi="Roboto"/>
          <w:color w:val="222222"/>
          <w:sz w:val="27"/>
          <w:szCs w:val="27"/>
          <w:highlight w:val="red"/>
        </w:rPr>
      </w:pPr>
      <w:r w:rsidDel="00000000" w:rsidR="00000000" w:rsidRPr="00000000">
        <w:rPr>
          <w:rFonts w:ascii="Times New Roman" w:cs="Times New Roman" w:eastAsia="Times New Roman" w:hAnsi="Times New Roman"/>
          <w:rtl w:val="0"/>
        </w:rPr>
        <w:t xml:space="preserve">*Correspondence should be addressed to (</w:t>
      </w:r>
      <w:hyperlink r:id="rId6">
        <w:r w:rsidDel="00000000" w:rsidR="00000000" w:rsidRPr="00000000">
          <w:rPr>
            <w:rFonts w:ascii="Times New Roman" w:cs="Times New Roman" w:eastAsia="Times New Roman" w:hAnsi="Times New Roman"/>
            <w:color w:val="1155cc"/>
            <w:u w:val="single"/>
            <w:rtl w:val="0"/>
          </w:rPr>
          <w:t xml:space="preserve">christian.gruber@innophore.com</w:t>
        </w:r>
      </w:hyperlink>
      <w:r w:rsidDel="00000000" w:rsidR="00000000" w:rsidRPr="00000000">
        <w:rPr>
          <w:rFonts w:ascii="Times New Roman" w:cs="Times New Roman" w:eastAsia="Times New Roman" w:hAnsi="Times New Roman"/>
          <w:rtl w:val="0"/>
        </w:rPr>
        <w:t xml:space="preserve"> or </w:t>
      </w:r>
      <w:hyperlink r:id="rId7">
        <w:r w:rsidDel="00000000" w:rsidR="00000000" w:rsidRPr="00000000">
          <w:rPr>
            <w:rFonts w:ascii="Times New Roman" w:cs="Times New Roman" w:eastAsia="Times New Roman" w:hAnsi="Times New Roman"/>
            <w:color w:val="1155cc"/>
            <w:u w:val="single"/>
            <w:rtl w:val="0"/>
          </w:rPr>
          <w:t xml:space="preserve">georg.steinkellner@innophore.com</w:t>
        </w:r>
      </w:hyperlink>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00E">
      <w:pPr>
        <w:spacing w:after="160"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spacing w:after="160"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Artificial Neural Network. </w:t>
      </w:r>
    </w:p>
    <w:p w:rsidR="00000000" w:rsidDel="00000000" w:rsidP="00000000" w:rsidRDefault="00000000" w:rsidRPr="00000000" w14:paraId="00000010">
      <w:pPr>
        <w:spacing w:line="48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Motivation.</w:t>
      </w:r>
    </w:p>
    <w:p w:rsidR="00000000" w:rsidDel="00000000" w:rsidP="00000000" w:rsidRDefault="00000000" w:rsidRPr="00000000" w14:paraId="00000011">
      <w:pPr>
        <w:spacing w:after="20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employed the ANN to predict new viable hACE2 candidates. Since randomly searching through the entire mutation landscape using molecular-dynamics simulations is computationally infeasible, the binding affinities of all possible single-point mutants of the wildtype-hACE2 were predicted by the ANN, of which the most promising candidates were then analyzed via the empirical scoring function.</w:t>
      </w:r>
    </w:p>
    <w:p w:rsidR="00000000" w:rsidDel="00000000" w:rsidP="00000000" w:rsidRDefault="00000000" w:rsidRPr="00000000" w14:paraId="00000012">
      <w:pPr>
        <w:spacing w:after="200" w:line="48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Training the ANN for hACE2 candidate pre-selection.</w:t>
      </w:r>
    </w:p>
    <w:p w:rsidR="00000000" w:rsidDel="00000000" w:rsidP="00000000" w:rsidRDefault="00000000" w:rsidRPr="00000000" w14:paraId="00000013">
      <w:pPr>
        <w:spacing w:after="20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validation set for the experiments was chosen to be any combination containing hACE2 variants with the amino-acid exchanges T27Y and L79T. This results in a set of 70 combinations, and includes the three best-performing samples, which contain the two highest-affinity hACE2 variants “T27Y, L79T, N330Y, K31W” and “T27Y, L79T, K31W”, leaving the lowest ΔG values in the training set at -67.1 kJ/mol. Using this validation set to learn how the ANN behaves when shown out-of-distribution values of ΔG, the model training was stopped when the validation loss was minimal, under the requirement that all high-performers were assigned ΔG values lower than -60 kJ/mol.</w:t>
      </w:r>
    </w:p>
    <w:p w:rsidR="00000000" w:rsidDel="00000000" w:rsidP="00000000" w:rsidRDefault="00000000" w:rsidRPr="00000000" w14:paraId="00000014">
      <w:pPr>
        <w:spacing w:after="20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approach was chosen since this way the network was trained so that it would have been able to predict the current highest-affinity hACE2 mutation without having seen them during training.</w:t>
      </w:r>
    </w:p>
    <w:p w:rsidR="00000000" w:rsidDel="00000000" w:rsidP="00000000" w:rsidRDefault="00000000" w:rsidRPr="00000000" w14:paraId="00000015">
      <w:pPr>
        <w:spacing w:after="200" w:line="48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Results </w:t>
      </w:r>
    </w:p>
    <w:p w:rsidR="00000000" w:rsidDel="00000000" w:rsidP="00000000" w:rsidRDefault="00000000" w:rsidRPr="00000000" w14:paraId="00000016">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 of all single-point hACE2 mutants, the ANN only found five values with ΔG values lower than -60 kJ/mol.  For  ΔG values lower than -59 kJ/mol it found nine, for  ΔG values lower than -58 kJ/mol, 18 candidates were found. The candidates with ΔG values &lt; -60 kJ/mol successfully gave three new hACE2 mutations with values &lt; -63 kJ/mol, one of which (K31E) even reached state-of-the art performance of -71 kJ/mol. Note that the previous highest-affinity hACE2 mutant was built using four amino-acid exchanges, versus just a single one in this case. </w:t>
      </w:r>
    </w:p>
    <w:p w:rsidR="00000000" w:rsidDel="00000000" w:rsidP="00000000" w:rsidRDefault="00000000" w:rsidRPr="00000000" w14:paraId="00000017">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 S1 shows the distribution of the obtained MD results in dependence of the ANN prediction, and shows a clear trend towards higher MD affinities for higher predictions. </w:t>
      </w:r>
    </w:p>
    <w:p w:rsidR="00000000" w:rsidDel="00000000" w:rsidP="00000000" w:rsidRDefault="00000000" w:rsidRPr="00000000" w14:paraId="00000018">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310063" cy="3427279"/>
            <wp:effectExtent b="0" l="0" r="0" t="0"/>
            <wp:docPr id="8" name="image1.png"/>
            <a:graphic>
              <a:graphicData uri="http://schemas.openxmlformats.org/drawingml/2006/picture">
                <pic:pic>
                  <pic:nvPicPr>
                    <pic:cNvPr id="0" name="image1.png"/>
                    <pic:cNvPicPr preferRelativeResize="0"/>
                  </pic:nvPicPr>
                  <pic:blipFill>
                    <a:blip r:embed="rId8"/>
                    <a:srcRect b="0" l="2345" r="906" t="-2768"/>
                    <a:stretch>
                      <a:fillRect/>
                    </a:stretch>
                  </pic:blipFill>
                  <pic:spPr>
                    <a:xfrm>
                      <a:off x="0" y="0"/>
                      <a:ext cx="4310063" cy="3427279"/>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S1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Correlation-plot between ANN predictions and MD-results for single-point hACE2 mutants.</w:t>
      </w:r>
      <w:r w:rsidDel="00000000" w:rsidR="00000000" w:rsidRPr="00000000">
        <w:rPr>
          <w:rFonts w:ascii="Times New Roman" w:cs="Times New Roman" w:eastAsia="Times New Roman" w:hAnsi="Times New Roman"/>
          <w:sz w:val="24"/>
          <w:szCs w:val="24"/>
          <w:rtl w:val="0"/>
        </w:rPr>
        <w:t xml:space="preserve"> The control group shows 100 randomly sampled single-point amino-acid exchanges from all possible single-point mutations. Blue points indicate the 300 highest affinities predicted by the ANN from all single-point variants, green outlines indicate that points belong to the top 1% (110) of ANN predictions.</w:t>
      </w:r>
    </w:p>
    <w:p w:rsidR="00000000" w:rsidDel="00000000" w:rsidP="00000000" w:rsidRDefault="00000000" w:rsidRPr="00000000" w14:paraId="0000001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 S</w:t>
      </w: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Fonts w:ascii="Times New Roman" w:cs="Times New Roman" w:eastAsia="Times New Roman" w:hAnsi="Times New Roman"/>
          <w:b w:val="1"/>
          <w:sz w:val="24"/>
          <w:szCs w:val="24"/>
          <w:rtl w:val="0"/>
        </w:rPr>
        <w:t xml:space="preserve"> | Detailed composition of the initial artificial neural network training-set.</w:t>
      </w:r>
    </w:p>
    <w:tbl>
      <w:tblPr>
        <w:tblStyle w:val="Table1"/>
        <w:tblW w:w="5970.0" w:type="dxa"/>
        <w:jc w:val="left"/>
        <w:tblInd w:w="28.799999999999997"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5"/>
        <w:gridCol w:w="1605"/>
        <w:gridCol w:w="825"/>
        <w:gridCol w:w="1710"/>
        <w:gridCol w:w="765"/>
        <w:gridCol w:w="540"/>
        <w:tblGridChange w:id="0">
          <w:tblGrid>
            <w:gridCol w:w="525"/>
            <w:gridCol w:w="1605"/>
            <w:gridCol w:w="825"/>
            <w:gridCol w:w="1710"/>
            <w:gridCol w:w="765"/>
            <w:gridCol w:w="540"/>
          </w:tblGrid>
        </w:tblGridChange>
      </w:tblGrid>
      <w:tr>
        <w:trPr>
          <w:cantSplit w:val="0"/>
          <w:trHeight w:val="623.52" w:hRule="atLeast"/>
          <w:tblHeader w:val="0"/>
        </w:trPr>
        <w:tc>
          <w:tcPr>
            <w:tcBorders>
              <w:bottom w:color="ffffff" w:space="0" w:sz="8" w:val="single"/>
              <w:right w:color="ffffff" w:space="0" w:sz="8" w:val="single"/>
            </w:tcBorders>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01F">
            <w:pPr>
              <w:rPr>
                <w:rFonts w:ascii="Times New Roman" w:cs="Times New Roman" w:eastAsia="Times New Roman" w:hAnsi="Times New Roman"/>
                <w:b w:val="1"/>
                <w:sz w:val="20"/>
                <w:szCs w:val="20"/>
              </w:rPr>
            </w:pPr>
            <w:r w:rsidDel="00000000" w:rsidR="00000000" w:rsidRPr="00000000">
              <w:rPr>
                <w:rtl w:val="0"/>
              </w:rPr>
            </w:r>
          </w:p>
        </w:tc>
        <w:tc>
          <w:tcPr>
            <w:tcBorders>
              <w:left w:color="ffffff" w:space="0" w:sz="8" w:val="single"/>
              <w:right w:color="ffffff" w:space="0" w:sz="8" w:val="single"/>
            </w:tcBorders>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0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RBD Mutations</w:t>
            </w:r>
            <w:r w:rsidDel="00000000" w:rsidR="00000000" w:rsidRPr="00000000">
              <w:rPr>
                <w:rtl w:val="0"/>
              </w:rPr>
            </w:r>
          </w:p>
        </w:tc>
        <w:tc>
          <w:tcPr>
            <w:tcBorders>
              <w:left w:color="ffffff" w:space="0" w:sz="8" w:val="single"/>
              <w:right w:color="ffffff" w:space="0" w:sz="8" w:val="single"/>
            </w:tcBorders>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021">
            <w:pPr>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Count</w:t>
            </w:r>
          </w:p>
        </w:tc>
        <w:tc>
          <w:tcPr>
            <w:tcBorders>
              <w:left w:color="ffffff" w:space="0" w:sz="8" w:val="single"/>
              <w:right w:color="ffffff" w:space="0" w:sz="8" w:val="single"/>
            </w:tcBorders>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022">
            <w:pPr>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ACE2 Mutations</w:t>
            </w:r>
          </w:p>
        </w:tc>
        <w:tc>
          <w:tcPr>
            <w:tcBorders>
              <w:left w:color="ffffff" w:space="0" w:sz="8" w:val="single"/>
              <w:right w:color="ffffff" w:space="0" w:sz="8" w:val="single"/>
            </w:tcBorders>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023">
            <w:pPr>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Count</w:t>
            </w:r>
          </w:p>
        </w:tc>
        <w:tc>
          <w:tcPr>
            <w:tcBorders>
              <w:left w:color="ffffff" w:space="0" w:sz="8" w:val="single"/>
              <w:bottom w:color="ffffff" w:space="0" w:sz="8" w:val="single"/>
            </w:tcBorders>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024">
            <w:pPr>
              <w:widowControl w:val="0"/>
              <w:spacing w:line="240" w:lineRule="auto"/>
              <w:rPr>
                <w:rFonts w:ascii="Times New Roman" w:cs="Times New Roman" w:eastAsia="Times New Roman" w:hAnsi="Times New Roman"/>
                <w:b w:val="1"/>
                <w:sz w:val="20"/>
                <w:szCs w:val="20"/>
              </w:rPr>
            </w:pPr>
            <w:r w:rsidDel="00000000" w:rsidR="00000000" w:rsidRPr="00000000">
              <w:rPr>
                <w:rtl w:val="0"/>
              </w:rPr>
            </w:r>
          </w:p>
        </w:tc>
      </w:tr>
      <w:tr>
        <w:trPr>
          <w:cantSplit w:val="0"/>
          <w:trHeight w:val="371.52" w:hRule="atLeast"/>
          <w:tblHeader w:val="0"/>
        </w:trPr>
        <w:tc>
          <w:tcPr>
            <w:tcBorders>
              <w:top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5">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tcBorders>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6">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 Mutations </w:t>
            </w:r>
          </w:p>
        </w:tc>
        <w:tc>
          <w:tcPr>
            <w:tcBorders>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7">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621</w:t>
            </w:r>
          </w:p>
        </w:tc>
        <w:tc>
          <w:tcPr>
            <w:tcBorders>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8">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Mutation</w:t>
            </w:r>
          </w:p>
        </w:tc>
        <w:tc>
          <w:tcPr>
            <w:tcBorders>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9">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120</w:t>
            </w:r>
          </w:p>
        </w:tc>
        <w:tc>
          <w:tcPr>
            <w:tcBorders>
              <w:top w:color="ffffff" w:space="0" w:sz="8" w:val="single"/>
              <w:left w:color="ffffff" w:space="0" w:sz="8" w:val="single"/>
              <w:bottom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A">
            <w:pPr>
              <w:widowControl w:val="0"/>
              <w:spacing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B">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C">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6-10 Mutations</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D">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187</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E">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Mutations</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2F">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top w:color="ffffff" w:space="0" w:sz="8" w:val="single"/>
              <w:left w:color="ffffff" w:space="0" w:sz="8" w:val="single"/>
              <w:bottom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0">
            <w:pPr>
              <w:widowControl w:val="0"/>
              <w:spacing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1">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2">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10-15 Mutations</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3">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176</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4">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Mutations</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5">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top w:color="ffffff" w:space="0" w:sz="8" w:val="single"/>
              <w:left w:color="ffffff" w:space="0" w:sz="8" w:val="single"/>
              <w:bottom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6">
            <w:pPr>
              <w:widowControl w:val="0"/>
              <w:spacing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7">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8">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15 - 20 Mutations </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9">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A">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 Mutations</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B">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w:t>
            </w:r>
          </w:p>
        </w:tc>
        <w:tc>
          <w:tcPr>
            <w:tcBorders>
              <w:top w:color="ffffff" w:space="0" w:sz="8" w:val="single"/>
              <w:left w:color="ffffff" w:space="0" w:sz="8" w:val="single"/>
              <w:bottom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C">
            <w:pPr>
              <w:widowControl w:val="0"/>
              <w:spacing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D">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E">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 Mutations</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3F">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40">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 Mutations</w:t>
            </w:r>
          </w:p>
        </w:tc>
        <w:tc>
          <w:tcPr>
            <w:tcBorders>
              <w:top w:color="ffffff" w:space="0" w:sz="8" w:val="single"/>
              <w:left w:color="ffffff" w:space="0" w:sz="8" w:val="single"/>
              <w:bottom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41">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ffffff" w:space="0" w:sz="8" w:val="single"/>
              <w:left w:color="ffffff" w:space="0" w:sz="8" w:val="single"/>
              <w:bottom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42">
            <w:pPr>
              <w:widowControl w:val="0"/>
              <w:spacing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43">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8" w:val="single"/>
              <w:left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44">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top w:color="ffffff" w:space="0" w:sz="8" w:val="single"/>
              <w:left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45">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top w:color="ffffff" w:space="0" w:sz="8" w:val="single"/>
              <w:left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46">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Wild type</w:t>
            </w:r>
          </w:p>
        </w:tc>
        <w:tc>
          <w:tcPr>
            <w:tcBorders>
              <w:top w:color="ffffff" w:space="0" w:sz="8" w:val="single"/>
              <w:left w:color="ffffff" w:space="0" w:sz="8" w:val="single"/>
              <w:righ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47">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844</w:t>
            </w:r>
          </w:p>
        </w:tc>
        <w:tc>
          <w:tcPr>
            <w:tcBorders>
              <w:top w:color="ffffff" w:space="0" w:sz="8" w:val="single"/>
              <w:left w:color="ffffff" w:space="0" w:sz="8" w:val="single"/>
            </w:tcBorders>
            <w:shd w:fill="auto" w:val="clear"/>
            <w:tcMar>
              <w:top w:w="7.199999999999999" w:type="dxa"/>
              <w:left w:w="7.199999999999999" w:type="dxa"/>
              <w:bottom w:w="7.199999999999999" w:type="dxa"/>
              <w:right w:w="7.199999999999999" w:type="dxa"/>
            </w:tcMar>
            <w:vAlign w:val="top"/>
          </w:tcPr>
          <w:p w:rsidR="00000000" w:rsidDel="00000000" w:rsidP="00000000" w:rsidRDefault="00000000" w:rsidRPr="00000000" w14:paraId="00000048">
            <w:pPr>
              <w:widowControl w:val="0"/>
              <w:spacing w:line="240" w:lineRule="auto"/>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49">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A">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drawing>
          <wp:inline distB="114300" distT="114300" distL="114300" distR="114300">
            <wp:extent cx="4548188" cy="3369990"/>
            <wp:effectExtent b="0" l="0" r="0" t="0"/>
            <wp:docPr id="3" name="image5.png"/>
            <a:graphic>
              <a:graphicData uri="http://schemas.openxmlformats.org/drawingml/2006/picture">
                <pic:pic>
                  <pic:nvPicPr>
                    <pic:cNvPr id="0" name="image5.png"/>
                    <pic:cNvPicPr preferRelativeResize="0"/>
                  </pic:nvPicPr>
                  <pic:blipFill>
                    <a:blip r:embed="rId9"/>
                    <a:srcRect b="0" l="1485" r="2099" t="0"/>
                    <a:stretch>
                      <a:fillRect/>
                    </a:stretch>
                  </pic:blipFill>
                  <pic:spPr>
                    <a:xfrm>
                      <a:off x="0" y="0"/>
                      <a:ext cx="4548188" cy="3369990"/>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spacing w:after="20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Fig. S2</w:t>
      </w:r>
      <w:r w:rsidDel="00000000" w:rsidR="00000000" w:rsidRPr="00000000">
        <w:rPr>
          <w:rFonts w:ascii="Times New Roman" w:cs="Times New Roman" w:eastAsia="Times New Roman" w:hAnsi="Times New Roman"/>
          <w:b w:val="1"/>
          <w:sz w:val="24"/>
          <w:szCs w:val="24"/>
          <w:rtl w:val="0"/>
        </w:rPr>
        <w:t xml:space="preserve"> | Qualitative representation of model error dependence on Gibbs free-energy values (Δ</w:t>
      </w:r>
      <w:r w:rsidDel="00000000" w:rsidR="00000000" w:rsidRPr="00000000">
        <w:rPr>
          <w:rFonts w:ascii="Times New Roman" w:cs="Times New Roman" w:eastAsia="Times New Roman" w:hAnsi="Times New Roman"/>
          <w:b w:val="1"/>
          <w:i w:val="1"/>
          <w:sz w:val="24"/>
          <w:szCs w:val="24"/>
          <w:rtl w:val="0"/>
        </w:rPr>
        <w:t xml:space="preserve">G</w:t>
      </w:r>
      <w:r w:rsidDel="00000000" w:rsidR="00000000" w:rsidRPr="00000000">
        <w:rPr>
          <w:rFonts w:ascii="Times New Roman" w:cs="Times New Roman" w:eastAsia="Times New Roman" w:hAnsi="Times New Roman"/>
          <w:b w:val="1"/>
          <w:sz w:val="24"/>
          <w:szCs w:val="24"/>
          <w:rtl w:val="0"/>
        </w:rPr>
        <w:t xml:space="preserve">) from the MD simulations. </w:t>
      </w:r>
    </w:p>
    <w:p w:rsidR="00000000" w:rsidDel="00000000" w:rsidP="00000000" w:rsidRDefault="00000000" w:rsidRPr="00000000" w14:paraId="0000004D">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Pr>
        <w:drawing>
          <wp:inline distB="114300" distT="114300" distL="114300" distR="114300">
            <wp:extent cx="4233863" cy="2993720"/>
            <wp:effectExtent b="0" l="0" r="0" t="0"/>
            <wp:docPr id="6" name="image3.png"/>
            <a:graphic>
              <a:graphicData uri="http://schemas.openxmlformats.org/drawingml/2006/picture">
                <pic:pic>
                  <pic:nvPicPr>
                    <pic:cNvPr id="0" name="image3.png"/>
                    <pic:cNvPicPr preferRelativeResize="0"/>
                  </pic:nvPicPr>
                  <pic:blipFill>
                    <a:blip r:embed="rId10"/>
                    <a:srcRect b="0" l="0" r="0" t="6039"/>
                    <a:stretch>
                      <a:fillRect/>
                    </a:stretch>
                  </pic:blipFill>
                  <pic:spPr>
                    <a:xfrm>
                      <a:off x="0" y="0"/>
                      <a:ext cx="4233863" cy="2993720"/>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S3 </w:t>
      </w:r>
      <w:r w:rsidDel="00000000" w:rsidR="00000000" w:rsidRPr="00000000">
        <w:rPr>
          <w:rFonts w:ascii="Times New Roman" w:cs="Times New Roman" w:eastAsia="Times New Roman" w:hAnsi="Times New Roman"/>
          <w:b w:val="1"/>
          <w:sz w:val="24"/>
          <w:szCs w:val="24"/>
          <w:rtl w:val="0"/>
        </w:rPr>
        <w:t xml:space="preserve">| Gibbs free-energy value (Δ</w:t>
      </w:r>
      <w:r w:rsidDel="00000000" w:rsidR="00000000" w:rsidRPr="00000000">
        <w:rPr>
          <w:rFonts w:ascii="Times New Roman" w:cs="Times New Roman" w:eastAsia="Times New Roman" w:hAnsi="Times New Roman"/>
          <w:b w:val="1"/>
          <w:i w:val="1"/>
          <w:sz w:val="24"/>
          <w:szCs w:val="24"/>
          <w:rtl w:val="0"/>
        </w:rPr>
        <w:t xml:space="preserve">G</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distribution of the entire training set. </w:t>
      </w:r>
      <w:r w:rsidDel="00000000" w:rsidR="00000000" w:rsidRPr="00000000">
        <w:rPr>
          <w:rFonts w:ascii="Times New Roman" w:cs="Times New Roman" w:eastAsia="Times New Roman" w:hAnsi="Times New Roman"/>
          <w:sz w:val="24"/>
          <w:szCs w:val="24"/>
          <w:rtl w:val="0"/>
        </w:rPr>
        <w:t xml:space="preserve">Strong binders with energies &lt;-65 kJ/mol and weak binders with energies &gt;-45 kJ/mol are severely underrepresented, yet the model still produces accurate prediction</w:t>
      </w:r>
      <w:r w:rsidDel="00000000" w:rsidR="00000000" w:rsidRPr="00000000">
        <w:rPr>
          <w:rFonts w:ascii="Times New Roman" w:cs="Times New Roman" w:eastAsia="Times New Roman" w:hAnsi="Times New Roman"/>
          <w:sz w:val="24"/>
          <w:szCs w:val="24"/>
          <w:rtl w:val="0"/>
        </w:rPr>
        <w:t xml:space="preserve">s</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04F">
      <w:pPr>
        <w:spacing w:after="160" w:line="48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0">
      <w:pPr>
        <w:spacing w:line="48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Network Input Data.</w:t>
      </w:r>
    </w:p>
    <w:p w:rsidR="00000000" w:rsidDel="00000000" w:rsidP="00000000" w:rsidRDefault="00000000" w:rsidRPr="00000000" w14:paraId="00000051">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input channels were decided on to be the following set of properties:</w:t>
      </w:r>
    </w:p>
    <w:p w:rsidR="00000000" w:rsidDel="00000000" w:rsidP="00000000" w:rsidRDefault="00000000" w:rsidRPr="00000000" w14:paraId="00000052">
      <w:pPr>
        <w:numPr>
          <w:ilvl w:val="0"/>
          <w:numId w:val="2"/>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representing the electric field</w:t>
      </w:r>
    </w:p>
    <w:p w:rsidR="00000000" w:rsidDel="00000000" w:rsidP="00000000" w:rsidRDefault="00000000" w:rsidRPr="00000000" w14:paraId="00000053">
      <w:pPr>
        <w:numPr>
          <w:ilvl w:val="0"/>
          <w:numId w:val="2"/>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 representing the force-field experienced by aromatics</w:t>
      </w:r>
    </w:p>
    <w:p w:rsidR="00000000" w:rsidDel="00000000" w:rsidP="00000000" w:rsidRDefault="00000000" w:rsidRPr="00000000" w14:paraId="00000054">
      <w:pPr>
        <w:numPr>
          <w:ilvl w:val="0"/>
          <w:numId w:val="2"/>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“HP” : The hydrophobicity-field</w:t>
      </w:r>
    </w:p>
    <w:p w:rsidR="00000000" w:rsidDel="00000000" w:rsidP="00000000" w:rsidRDefault="00000000" w:rsidRPr="00000000" w14:paraId="00000055">
      <w:pPr>
        <w:numPr>
          <w:ilvl w:val="0"/>
          <w:numId w:val="2"/>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“HD” : Hydrogen-bond donor field</w:t>
      </w:r>
    </w:p>
    <w:p w:rsidR="00000000" w:rsidDel="00000000" w:rsidP="00000000" w:rsidRDefault="00000000" w:rsidRPr="00000000" w14:paraId="00000056">
      <w:pPr>
        <w:numPr>
          <w:ilvl w:val="0"/>
          <w:numId w:val="2"/>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  Desolvation field</w:t>
      </w:r>
    </w:p>
    <w:p w:rsidR="00000000" w:rsidDel="00000000" w:rsidP="00000000" w:rsidRDefault="00000000" w:rsidRPr="00000000" w14:paraId="00000057">
      <w:pPr>
        <w:numPr>
          <w:ilvl w:val="0"/>
          <w:numId w:val="2"/>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 :  Iodine field</w:t>
      </w:r>
    </w:p>
    <w:p w:rsidR="00000000" w:rsidDel="00000000" w:rsidP="00000000" w:rsidRDefault="00000000" w:rsidRPr="00000000" w14:paraId="00000058">
      <w:pPr>
        <w:numPr>
          <w:ilvl w:val="0"/>
          <w:numId w:val="2"/>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“BF”: Flexibility field</w:t>
      </w:r>
    </w:p>
    <w:p w:rsidR="00000000" w:rsidDel="00000000" w:rsidP="00000000" w:rsidRDefault="00000000" w:rsidRPr="00000000" w14:paraId="00000059">
      <w:pPr>
        <w:numPr>
          <w:ilvl w:val="0"/>
          <w:numId w:val="2"/>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 Nitrogen as H-bond acceptor field</w:t>
      </w:r>
    </w:p>
    <w:p w:rsidR="00000000" w:rsidDel="00000000" w:rsidP="00000000" w:rsidRDefault="00000000" w:rsidRPr="00000000" w14:paraId="0000005A">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Halos only depend on surface geometry and are independent of the exact underlying structure of their respective proteins, which allows the ANN to be agnostic to the protein-structure. Fig. S4 shows an example set of Halos. To see their relation to the protein structure,  we refer to Fig. 2. </w:t>
      </w:r>
    </w:p>
    <w:p w:rsidR="00000000" w:rsidDel="00000000" w:rsidP="00000000" w:rsidRDefault="00000000" w:rsidRPr="00000000" w14:paraId="0000005B">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510088" cy="2425880"/>
            <wp:effectExtent b="0" l="0" r="0" t="0"/>
            <wp:docPr id="5" name="image6.png"/>
            <a:graphic>
              <a:graphicData uri="http://schemas.openxmlformats.org/drawingml/2006/picture">
                <pic:pic>
                  <pic:nvPicPr>
                    <pic:cNvPr id="0" name="image6.png"/>
                    <pic:cNvPicPr preferRelativeResize="0"/>
                  </pic:nvPicPr>
                  <pic:blipFill>
                    <a:blip r:embed="rId11"/>
                    <a:srcRect b="7210" l="2369" r="3159" t="5934"/>
                    <a:stretch>
                      <a:fillRect/>
                    </a:stretch>
                  </pic:blipFill>
                  <pic:spPr>
                    <a:xfrm>
                      <a:off x="0" y="0"/>
                      <a:ext cx="4510088" cy="2425880"/>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w:t>
      </w:r>
      <w:r w:rsidDel="00000000" w:rsidR="00000000" w:rsidRPr="00000000">
        <w:rPr>
          <w:rFonts w:ascii="Times New Roman" w:cs="Times New Roman" w:eastAsia="Times New Roman" w:hAnsi="Times New Roman"/>
          <w:b w:val="1"/>
          <w:sz w:val="24"/>
          <w:szCs w:val="24"/>
          <w:rtl w:val="0"/>
        </w:rPr>
        <w:t xml:space="preserve">S4 |</w:t>
      </w:r>
      <w:r w:rsidDel="00000000" w:rsidR="00000000" w:rsidRPr="00000000">
        <w:rPr>
          <w:rFonts w:ascii="Times New Roman" w:cs="Times New Roman" w:eastAsia="Times New Roman" w:hAnsi="Times New Roman"/>
          <w:b w:val="1"/>
          <w:sz w:val="24"/>
          <w:szCs w:val="24"/>
          <w:rtl w:val="0"/>
        </w:rPr>
        <w:t xml:space="preserve"> Example Halos of the eight input-channels for hACE2 (left) and RBD (right) rendered in Open3D.</w:t>
      </w:r>
      <w:r w:rsidDel="00000000" w:rsidR="00000000" w:rsidRPr="00000000">
        <w:rPr>
          <w:rFonts w:ascii="Times New Roman" w:cs="Times New Roman" w:eastAsia="Times New Roman" w:hAnsi="Times New Roman"/>
          <w:sz w:val="24"/>
          <w:szCs w:val="24"/>
          <w:rtl w:val="0"/>
        </w:rPr>
        <w:t xml:space="preserve"> First column, from top to bottom: electrostatics (e), hydrophobicity (HP), hydrogen-bond donor (HD), nitrogen as hydrogen-bond acceptor (NA). Second column, from top to bottom: Iodine (I), desolvation field (d), flexibility/uncertainty field (BF), aromaticity (A).</w:t>
      </w:r>
    </w:p>
    <w:p w:rsidR="00000000" w:rsidDel="00000000" w:rsidP="00000000" w:rsidRDefault="00000000" w:rsidRPr="00000000" w14:paraId="0000005D">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decision was made by correlation studies independent from the present work, deciding on this set of eight largely uncorrelated features.  Preliminary ablation studies have shown that, if each property is used separately one by one, the hydrophobicity field has the strongest predictive power, outperforming all others by 0.1 to 0.15 kJ/mol validation error. On the other hand, all of the eight channels alone are sufficient to produce meaningful predictions, with the </w:t>
      </w:r>
      <w:r w:rsidDel="00000000" w:rsidR="00000000" w:rsidRPr="00000000">
        <w:rPr>
          <w:rFonts w:ascii="Times New Roman" w:cs="Times New Roman" w:eastAsia="Times New Roman" w:hAnsi="Times New Roman"/>
          <w:i w:val="1"/>
          <w:sz w:val="24"/>
          <w:szCs w:val="24"/>
          <w:rtl w:val="0"/>
        </w:rPr>
        <w:t xml:space="preserve">“nitrogen as H-bond acceptor” </w:t>
      </w:r>
      <w:r w:rsidDel="00000000" w:rsidR="00000000" w:rsidRPr="00000000">
        <w:rPr>
          <w:rFonts w:ascii="Times New Roman" w:cs="Times New Roman" w:eastAsia="Times New Roman" w:hAnsi="Times New Roman"/>
          <w:sz w:val="24"/>
          <w:szCs w:val="24"/>
          <w:rtl w:val="0"/>
        </w:rPr>
        <w:t xml:space="preserve">field, which for hACE2 and RBD Halos seems to correlate mainly with their depth-profile perpendicular to the attachment plane, exhibiting unstable and slow training as well as worse convergence on validation metrics, suggesting that the surface geometry alone is important but not sufficient. The best performing combination of fields evaluated for the prediction of new hACE2 variants has been determined to be, in descending order of importance:</w:t>
      </w:r>
    </w:p>
    <w:p w:rsidR="00000000" w:rsidDel="00000000" w:rsidP="00000000" w:rsidRDefault="00000000" w:rsidRPr="00000000" w14:paraId="0000005F">
      <w:pPr>
        <w:numPr>
          <w:ilvl w:val="0"/>
          <w:numId w:val="1"/>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Hydrophobicity field</w:t>
      </w:r>
    </w:p>
    <w:p w:rsidR="00000000" w:rsidDel="00000000" w:rsidP="00000000" w:rsidRDefault="00000000" w:rsidRPr="00000000" w14:paraId="00000060">
      <w:pPr>
        <w:numPr>
          <w:ilvl w:val="0"/>
          <w:numId w:val="1"/>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Hydrogen-bond donor field</w:t>
      </w:r>
    </w:p>
    <w:p w:rsidR="00000000" w:rsidDel="00000000" w:rsidP="00000000" w:rsidRDefault="00000000" w:rsidRPr="00000000" w14:paraId="00000061">
      <w:pPr>
        <w:numPr>
          <w:ilvl w:val="0"/>
          <w:numId w:val="1"/>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Aromatic field</w:t>
      </w:r>
    </w:p>
    <w:p w:rsidR="00000000" w:rsidDel="00000000" w:rsidP="00000000" w:rsidRDefault="00000000" w:rsidRPr="00000000" w14:paraId="00000062">
      <w:pPr>
        <w:numPr>
          <w:ilvl w:val="0"/>
          <w:numId w:val="1"/>
        </w:numPr>
        <w:spacing w:line="48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Electric field</w:t>
      </w:r>
    </w:p>
    <w:p w:rsidR="00000000" w:rsidDel="00000000" w:rsidP="00000000" w:rsidRDefault="00000000" w:rsidRPr="00000000" w14:paraId="00000063">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voxelized Halos were padded to a size of 36x38x33 voxels, at a grid spacing of 1.4 Å between neighboring voxels. A visualization of the Halos for the properties listed above is shown in Fig. S4.</w:t>
      </w:r>
    </w:p>
    <w:p w:rsidR="00000000" w:rsidDel="00000000" w:rsidP="00000000" w:rsidRDefault="00000000" w:rsidRPr="00000000" w14:paraId="00000064">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line="48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Network Regularization and Augmentation.</w:t>
      </w:r>
    </w:p>
    <w:p w:rsidR="00000000" w:rsidDel="00000000" w:rsidP="00000000" w:rsidRDefault="00000000" w:rsidRPr="00000000" w14:paraId="00000066">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explicit techniques for regularization were employed, only the implicit mechanisms induced by separated convolutions on the input Halos, as well as a channel-wise bottleneck in the last convolutional layer. </w:t>
      </w:r>
    </w:p>
    <w:p w:rsidR="00000000" w:rsidDel="00000000" w:rsidP="00000000" w:rsidRDefault="00000000" w:rsidRPr="00000000" w14:paraId="00000067">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data labels were augmented with an additive Gaussian-noise term with mean zero and variance 0.6 kJ/mol, which amounts to half of the uncertainty of the MD simulation itself. Furthermore, the MSE loss was again squared, leading to a stronger emphasis on rare outlier samples. This strategy was chosen over under- or oversampling to avoid memorizing outliers, as well as to keep retraining the network with the bulk of noisy samples, which adds an additional stochastic element to the loss landscape, avoiding the overfitting of common samples. Loss values under 0.5 kJ/mol were set to zero, as these deviations were not considered physically meaningful and did not need to be emphasized further during training.</w:t>
      </w:r>
    </w:p>
    <w:p w:rsidR="00000000" w:rsidDel="00000000" w:rsidP="00000000" w:rsidRDefault="00000000" w:rsidRPr="00000000" w14:paraId="00000068">
      <w:pPr>
        <w:spacing w:after="160" w:line="48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9">
      <w:pPr>
        <w:spacing w:after="160"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MD-simulation</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6A">
      <w:pP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w:t>
      </w:r>
      <w:r w:rsidDel="00000000" w:rsidR="00000000" w:rsidRPr="00000000">
        <w:rPr>
          <w:rFonts w:ascii="Times New Roman" w:cs="Times New Roman" w:eastAsia="Times New Roman" w:hAnsi="Times New Roman"/>
          <w:b w:val="1"/>
          <w:sz w:val="24"/>
          <w:szCs w:val="24"/>
          <w:rtl w:val="0"/>
        </w:rPr>
        <w:t xml:space="preserve">S2 </w:t>
      </w:r>
      <w:r w:rsidDel="00000000" w:rsidR="00000000" w:rsidRPr="00000000">
        <w:rPr>
          <w:rFonts w:ascii="Times New Roman" w:cs="Times New Roman" w:eastAsia="Times New Roman" w:hAnsi="Times New Roman"/>
          <w:b w:val="1"/>
          <w:sz w:val="24"/>
          <w:szCs w:val="24"/>
          <w:rtl w:val="0"/>
        </w:rPr>
        <w:t xml:space="preserve">| Binding activities of wild-type hACE2-Fc and hACE2-Fc variants with immobilized recombinant SARS-CoV-2 spike protein RBD in the ELISA binding affinity assay and predicted Gibbs free binding energies (ΔG</w:t>
      </w:r>
      <w:r w:rsidDel="00000000" w:rsidR="00000000" w:rsidRPr="00000000">
        <w:rPr>
          <w:rFonts w:ascii="Times New Roman" w:cs="Times New Roman" w:eastAsia="Times New Roman" w:hAnsi="Times New Roman"/>
          <w:b w:val="1"/>
          <w:sz w:val="24"/>
          <w:szCs w:val="24"/>
          <w:vertAlign w:val="subscript"/>
          <w:rtl w:val="0"/>
        </w:rPr>
        <w:t xml:space="preserve">pred</w:t>
      </w:r>
      <w:r w:rsidDel="00000000" w:rsidR="00000000" w:rsidRPr="00000000">
        <w:rPr>
          <w:rFonts w:ascii="Times New Roman" w:cs="Times New Roman" w:eastAsia="Times New Roman" w:hAnsi="Times New Roman"/>
          <w:b w:val="1"/>
          <w:sz w:val="24"/>
          <w:szCs w:val="24"/>
          <w:rtl w:val="0"/>
        </w:rPr>
        <w:t xml:space="preserve">) from the MD simulations</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Binding half maximal effective concentration</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(EC</w:t>
      </w:r>
      <w:r w:rsidDel="00000000" w:rsidR="00000000" w:rsidRPr="00000000">
        <w:rPr>
          <w:rFonts w:ascii="Times New Roman" w:cs="Times New Roman" w:eastAsia="Times New Roman" w:hAnsi="Times New Roman"/>
          <w:sz w:val="24"/>
          <w:szCs w:val="24"/>
          <w:vertAlign w:val="subscript"/>
          <w:rtl w:val="0"/>
        </w:rPr>
        <w:t xml:space="preserve">50</w:t>
      </w:r>
      <w:r w:rsidDel="00000000" w:rsidR="00000000" w:rsidRPr="00000000">
        <w:rPr>
          <w:rFonts w:ascii="Times New Roman" w:cs="Times New Roman" w:eastAsia="Times New Roman" w:hAnsi="Times New Roman"/>
          <w:sz w:val="24"/>
          <w:szCs w:val="24"/>
          <w:rtl w:val="0"/>
        </w:rPr>
        <w:t xml:space="preserve">) values were calculated using GraphPad prism. Δ</w:t>
      </w:r>
      <w:r w:rsidDel="00000000" w:rsidR="00000000" w:rsidRPr="00000000">
        <w:rPr>
          <w:rFonts w:ascii="Times New Roman" w:cs="Times New Roman" w:eastAsia="Times New Roman" w:hAnsi="Times New Roman"/>
          <w:i w:val="1"/>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pred</w:t>
      </w:r>
      <w:r w:rsidDel="00000000" w:rsidR="00000000" w:rsidRPr="00000000">
        <w:rPr>
          <w:rFonts w:ascii="Times New Roman" w:cs="Times New Roman" w:eastAsia="Times New Roman" w:hAnsi="Times New Roman"/>
          <w:sz w:val="24"/>
          <w:szCs w:val="24"/>
          <w:rtl w:val="0"/>
        </w:rPr>
        <w:t xml:space="preserve"> values were predicted using the</w:t>
      </w:r>
      <w:r w:rsidDel="00000000" w:rsidR="00000000" w:rsidRPr="00000000">
        <w:rPr>
          <w:rFonts w:ascii="Times New Roman" w:cs="Times New Roman" w:eastAsia="Times New Roman" w:hAnsi="Times New Roman"/>
          <w:sz w:val="24"/>
          <w:szCs w:val="24"/>
          <w:rtl w:val="0"/>
        </w:rPr>
        <w:t xml:space="preserve"> empirical scoring function (ESF).</w:t>
      </w:r>
    </w:p>
    <w:tbl>
      <w:tblPr>
        <w:tblStyle w:val="Table2"/>
        <w:tblW w:w="8070.0" w:type="dxa"/>
        <w:jc w:val="left"/>
        <w:tblInd w:w="28.799999999999997" w:type="pct"/>
        <w:tblBorders>
          <w:top w:color="000000" w:space="0" w:sz="4" w:val="single"/>
          <w:left w:color="000000" w:space="0" w:sz="4" w:val="single"/>
          <w:bottom w:color="000000" w:space="0" w:sz="4" w:val="single"/>
          <w:insideH w:color="000000" w:space="0" w:sz="4" w:val="single"/>
        </w:tblBorders>
        <w:tblLayout w:type="fixed"/>
        <w:tblLook w:val="0000"/>
      </w:tblPr>
      <w:tblGrid>
        <w:gridCol w:w="390"/>
        <w:gridCol w:w="3810"/>
        <w:gridCol w:w="1710"/>
        <w:gridCol w:w="1770"/>
        <w:gridCol w:w="390"/>
        <w:tblGridChange w:id="0">
          <w:tblGrid>
            <w:gridCol w:w="390"/>
            <w:gridCol w:w="3810"/>
            <w:gridCol w:w="1710"/>
            <w:gridCol w:w="1770"/>
            <w:gridCol w:w="390"/>
          </w:tblGrid>
        </w:tblGridChange>
      </w:tblGrid>
      <w:tr>
        <w:trPr>
          <w:cantSplit w:val="0"/>
          <w:trHeight w:val="623.52" w:hRule="atLeast"/>
          <w:tblHeader w:val="0"/>
        </w:trPr>
        <w:tc>
          <w:tcPr>
            <w:tcBorders>
              <w:bottom w:color="ffffff" w:space="0" w:sz="4" w:val="single"/>
              <w:right w:color="ffffff" w:space="0" w:sz="4" w:val="single"/>
            </w:tcBorders>
            <w:tcMar>
              <w:top w:w="28.799999999999997" w:type="dxa"/>
              <w:left w:w="28.799999999999997" w:type="dxa"/>
              <w:bottom w:w="28.799999999999997" w:type="dxa"/>
              <w:right w:w="28.799999999999997" w:type="dxa"/>
            </w:tcMar>
            <w:vAlign w:val="bottom"/>
          </w:tcPr>
          <w:p w:rsidR="00000000" w:rsidDel="00000000" w:rsidP="00000000" w:rsidRDefault="00000000" w:rsidRPr="00000000" w14:paraId="0000006B">
            <w:pPr>
              <w:spacing w:after="160" w:line="256" w:lineRule="auto"/>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tcMar>
              <w:top w:w="28.799999999999997" w:type="dxa"/>
              <w:left w:w="28.799999999999997" w:type="dxa"/>
              <w:bottom w:w="28.799999999999997" w:type="dxa"/>
              <w:right w:w="28.799999999999997" w:type="dxa"/>
            </w:tcMar>
            <w:vAlign w:val="bottom"/>
          </w:tcPr>
          <w:p w:rsidR="00000000" w:rsidDel="00000000" w:rsidP="00000000" w:rsidRDefault="00000000" w:rsidRPr="00000000" w14:paraId="0000006C">
            <w:pPr>
              <w:spacing w:after="160" w:line="25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hACE2 mutation</w:t>
            </w:r>
          </w:p>
        </w:tc>
        <w:tc>
          <w:tcPr>
            <w:tcBorders>
              <w:left w:color="ffffff" w:space="0" w:sz="4" w:val="single"/>
              <w:right w:color="ffffff" w:space="0" w:sz="4" w:val="single"/>
            </w:tcBorders>
            <w:tcMar>
              <w:top w:w="28.799999999999997" w:type="dxa"/>
              <w:left w:w="28.799999999999997" w:type="dxa"/>
              <w:bottom w:w="28.799999999999997" w:type="dxa"/>
              <w:right w:w="28.799999999999997" w:type="dxa"/>
            </w:tcMar>
            <w:vAlign w:val="bottom"/>
          </w:tcPr>
          <w:p w:rsidR="00000000" w:rsidDel="00000000" w:rsidP="00000000" w:rsidRDefault="00000000" w:rsidRPr="00000000" w14:paraId="0000006D">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EC</w:t>
            </w:r>
            <w:r w:rsidDel="00000000" w:rsidR="00000000" w:rsidRPr="00000000">
              <w:rPr>
                <w:rFonts w:ascii="Times New Roman" w:cs="Times New Roman" w:eastAsia="Times New Roman" w:hAnsi="Times New Roman"/>
                <w:b w:val="1"/>
                <w:sz w:val="20"/>
                <w:szCs w:val="20"/>
                <w:vertAlign w:val="subscript"/>
                <w:rtl w:val="0"/>
              </w:rPr>
              <w:t xml:space="preserve">50</w:t>
            </w:r>
            <w:r w:rsidDel="00000000" w:rsidR="00000000" w:rsidRPr="00000000">
              <w:rPr>
                <w:rFonts w:ascii="Times New Roman" w:cs="Times New Roman" w:eastAsia="Times New Roman" w:hAnsi="Times New Roman"/>
                <w:b w:val="1"/>
                <w:sz w:val="20"/>
                <w:szCs w:val="20"/>
                <w:rtl w:val="0"/>
              </w:rPr>
              <w:t xml:space="preserve"> (nM)</w:t>
            </w:r>
            <w:r w:rsidDel="00000000" w:rsidR="00000000" w:rsidRPr="00000000">
              <w:rPr>
                <w:rtl w:val="0"/>
              </w:rPr>
            </w:r>
          </w:p>
        </w:tc>
        <w:tc>
          <w:tcPr>
            <w:tcBorders>
              <w:left w:color="ffffff" w:space="0" w:sz="4" w:val="single"/>
              <w:right w:color="ffffff" w:space="0" w:sz="4" w:val="single"/>
            </w:tcBorders>
            <w:tcMar>
              <w:top w:w="28.799999999999997" w:type="dxa"/>
              <w:left w:w="28.799999999999997" w:type="dxa"/>
              <w:bottom w:w="28.799999999999997" w:type="dxa"/>
              <w:right w:w="28.799999999999997" w:type="dxa"/>
            </w:tcMar>
            <w:vAlign w:val="bottom"/>
          </w:tcPr>
          <w:p w:rsidR="00000000" w:rsidDel="00000000" w:rsidP="00000000" w:rsidRDefault="00000000" w:rsidRPr="00000000" w14:paraId="0000006E">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Δ</w:t>
            </w:r>
            <w:r w:rsidDel="00000000" w:rsidR="00000000" w:rsidRPr="00000000">
              <w:rPr>
                <w:rFonts w:ascii="Times New Roman" w:cs="Times New Roman" w:eastAsia="Times New Roman" w:hAnsi="Times New Roman"/>
                <w:b w:val="1"/>
                <w:i w:val="1"/>
                <w:sz w:val="20"/>
                <w:szCs w:val="20"/>
                <w:rtl w:val="0"/>
              </w:rPr>
              <w:t xml:space="preserve">G</w:t>
            </w:r>
            <w:r w:rsidDel="00000000" w:rsidR="00000000" w:rsidRPr="00000000">
              <w:rPr>
                <w:rFonts w:ascii="Times New Roman" w:cs="Times New Roman" w:eastAsia="Times New Roman" w:hAnsi="Times New Roman"/>
                <w:b w:val="1"/>
                <w:sz w:val="20"/>
                <w:szCs w:val="20"/>
                <w:vertAlign w:val="subscript"/>
                <w:rtl w:val="0"/>
              </w:rPr>
              <w:t xml:space="preserve">pred</w:t>
            </w:r>
            <w:r w:rsidDel="00000000" w:rsidR="00000000" w:rsidRPr="00000000">
              <w:rPr>
                <w:rFonts w:ascii="Times New Roman" w:cs="Times New Roman" w:eastAsia="Times New Roman" w:hAnsi="Times New Roman"/>
                <w:b w:val="1"/>
                <w:sz w:val="20"/>
                <w:szCs w:val="20"/>
                <w:rtl w:val="0"/>
              </w:rPr>
              <w:t xml:space="preserve"> (kJ/mol)</w:t>
            </w:r>
            <w:r w:rsidDel="00000000" w:rsidR="00000000" w:rsidRPr="00000000">
              <w:rPr>
                <w:rtl w:val="0"/>
              </w:rPr>
            </w:r>
          </w:p>
        </w:tc>
        <w:tc>
          <w:tcPr>
            <w:tcBorders>
              <w:left w:color="ffffff" w:space="0" w:sz="4" w:val="single"/>
              <w:bottom w:color="ffffff" w:space="0" w:sz="4" w:val="single"/>
              <w:right w:color="000000" w:space="0" w:sz="4" w:val="single"/>
            </w:tcBorders>
            <w:tcMar>
              <w:top w:w="28.799999999999997" w:type="dxa"/>
              <w:left w:w="28.799999999999997" w:type="dxa"/>
              <w:bottom w:w="28.799999999999997" w:type="dxa"/>
              <w:right w:w="28.799999999999997" w:type="dxa"/>
            </w:tcMar>
            <w:vAlign w:val="bottom"/>
          </w:tcPr>
          <w:p w:rsidR="00000000" w:rsidDel="00000000" w:rsidP="00000000" w:rsidRDefault="00000000" w:rsidRPr="00000000" w14:paraId="0000006F">
            <w:pPr>
              <w:spacing w:after="160" w:line="256" w:lineRule="auto"/>
              <w:rPr>
                <w:rFonts w:ascii="Times New Roman" w:cs="Times New Roman" w:eastAsia="Times New Roman" w:hAnsi="Times New Roman"/>
                <w:b w:val="1"/>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0">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1">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w:t>
            </w:r>
          </w:p>
        </w:tc>
        <w:tc>
          <w:tcPr>
            <w:tcBorders>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2">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0.89</w:t>
            </w:r>
          </w:p>
        </w:tc>
        <w:tc>
          <w:tcPr>
            <w:tcBorders>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3">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-51.22</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4">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5">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6">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K31W</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7">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0.16</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8">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-58.01</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9">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A">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B">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N330Y</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C">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0.24</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D">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-54.08</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E">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7F">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0">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E35D</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1">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0.14</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2">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-59.43</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3">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4">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5">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K31W</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6">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0.11</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7">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-60.32</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8">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9">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A">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N330Y, E35D</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B">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0.18</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C">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-57.41</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D">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E">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8F">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N330Y, K31W</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0">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0.12</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1">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-55.91</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2">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3">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4">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N330Y, N90E</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5">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0.08</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6">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-58.77</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7">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8">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9">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N330Y, T92C</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A">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0.12</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B">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-59.61</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C">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D">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E">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N330Y, T92C, E35D</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9F">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0.18</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0">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-58.12</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1">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2">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3">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N330Y, T92S</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4">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0.14</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5">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-61.06</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6">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7">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8">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N90E</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9">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0.17</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A">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-57.35</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B">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C">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D">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T92C</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E">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0.15</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AF">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-57.20</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0">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1">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2">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T92C, E35D</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3">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0.11</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4">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-57.53</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5">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6">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7">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T92S</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8">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0.22</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9">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-55.72</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A">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B">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C">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N330Y, A386L</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D">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0.20</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E">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-62.22</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BF">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0">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1">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T92C, K31W</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2">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0.30</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3">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-57.12</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4">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5">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6">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L79R, Q24E      </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7">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2.04</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8">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-51.66</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9">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A">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B">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N330R</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C">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2.39</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D">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-52.62</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E">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CF">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0">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R393E</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1">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0.78</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2">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-56.18</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3">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4">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5">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L79Y</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6">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0.62</w:t>
            </w:r>
          </w:p>
        </w:tc>
        <w:tc>
          <w:tcPr>
            <w:tcBorders>
              <w:top w:color="ffffff" w:space="0" w:sz="4" w:val="single"/>
              <w:left w:color="ffffff" w:space="0" w:sz="4" w:val="single"/>
              <w:bottom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7">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-54.67</w:t>
            </w:r>
          </w:p>
        </w:tc>
        <w:tc>
          <w:tcPr>
            <w:tcBorders>
              <w:top w:color="ffffff" w:space="0" w:sz="4" w:val="single"/>
              <w:left w:color="ffffff" w:space="0" w:sz="4" w:val="single"/>
              <w:bottom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8">
            <w:pPr>
              <w:spacing w:after="160" w:line="256" w:lineRule="auto"/>
              <w:rPr>
                <w:rFonts w:ascii="Times New Roman" w:cs="Times New Roman" w:eastAsia="Times New Roman" w:hAnsi="Times New Roman"/>
                <w:sz w:val="20"/>
                <w:szCs w:val="20"/>
              </w:rPr>
            </w:pPr>
            <w:r w:rsidDel="00000000" w:rsidR="00000000" w:rsidRPr="00000000">
              <w:rPr>
                <w:rtl w:val="0"/>
              </w:rPr>
            </w:r>
          </w:p>
        </w:tc>
      </w:tr>
      <w:tr>
        <w:trPr>
          <w:cantSplit w:val="0"/>
          <w:trHeight w:val="371.52" w:hRule="atLeast"/>
          <w:tblHeader w:val="0"/>
        </w:trPr>
        <w:tc>
          <w:tcPr>
            <w:tcBorders>
              <w:top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9">
            <w:pPr>
              <w:spacing w:after="160" w:line="256" w:lineRule="auto"/>
              <w:rPr>
                <w:rFonts w:ascii="Times New Roman" w:cs="Times New Roman" w:eastAsia="Times New Roman" w:hAnsi="Times New Roman"/>
                <w:sz w:val="20"/>
                <w:szCs w:val="20"/>
              </w:rPr>
            </w:pPr>
            <w:r w:rsidDel="00000000" w:rsidR="00000000" w:rsidRPr="00000000">
              <w:rPr>
                <w:rtl w:val="0"/>
              </w:rPr>
            </w:r>
          </w:p>
        </w:tc>
        <w:tc>
          <w:tcPr>
            <w:tcBorders>
              <w:top w:color="ffffff" w:space="0" w:sz="4" w:val="single"/>
              <w:left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A">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T27Y, L79T, N330Y, A386L</w:t>
            </w:r>
          </w:p>
        </w:tc>
        <w:tc>
          <w:tcPr>
            <w:tcBorders>
              <w:top w:color="ffffff" w:space="0" w:sz="4" w:val="single"/>
              <w:left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B">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0.24</w:t>
            </w:r>
          </w:p>
        </w:tc>
        <w:tc>
          <w:tcPr>
            <w:tcBorders>
              <w:top w:color="ffffff" w:space="0" w:sz="4" w:val="single"/>
              <w:left w:color="ffffff" w:space="0" w:sz="4" w:val="single"/>
              <w:right w:color="ffffff"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C">
            <w:pPr>
              <w:spacing w:after="160" w:line="25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-61.50</w:t>
            </w:r>
          </w:p>
        </w:tc>
        <w:tc>
          <w:tcPr>
            <w:tcBorders>
              <w:top w:color="ffffff" w:space="0" w:sz="4" w:val="single"/>
              <w:left w:color="ffffff" w:space="0" w:sz="4" w:val="single"/>
              <w:right w:color="000000" w:space="0" w:sz="4" w:val="single"/>
            </w:tcBorders>
            <w:shd w:fill="auto" w:val="clear"/>
            <w:tcMar>
              <w:top w:w="7.199999999999999" w:type="dxa"/>
              <w:left w:w="7.199999999999999" w:type="dxa"/>
              <w:bottom w:w="7.199999999999999" w:type="dxa"/>
              <w:right w:w="7.199999999999999" w:type="dxa"/>
            </w:tcMar>
            <w:vAlign w:val="bottom"/>
          </w:tcPr>
          <w:p w:rsidR="00000000" w:rsidDel="00000000" w:rsidP="00000000" w:rsidRDefault="00000000" w:rsidRPr="00000000" w14:paraId="000000DD">
            <w:pPr>
              <w:spacing w:after="160" w:line="256" w:lineRule="auto"/>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DE">
      <w:pPr>
        <w:spacing w:after="160" w:line="256" w:lineRule="auto"/>
        <w:rPr>
          <w:rFonts w:ascii="Calibri" w:cs="Calibri" w:eastAsia="Calibri" w:hAnsi="Calibri"/>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123825</wp:posOffset>
            </wp:positionV>
            <wp:extent cx="4178351" cy="2795588"/>
            <wp:effectExtent b="0" l="0" r="0" t="0"/>
            <wp:wrapTopAndBottom distB="0" distT="0"/>
            <wp:docPr id="2" name="image2.png"/>
            <a:graphic>
              <a:graphicData uri="http://schemas.openxmlformats.org/drawingml/2006/picture">
                <pic:pic>
                  <pic:nvPicPr>
                    <pic:cNvPr id="0" name="image2.png"/>
                    <pic:cNvPicPr preferRelativeResize="0"/>
                  </pic:nvPicPr>
                  <pic:blipFill>
                    <a:blip r:embed="rId12"/>
                    <a:srcRect b="0" l="191" r="191" t="0"/>
                    <a:stretch>
                      <a:fillRect/>
                    </a:stretch>
                  </pic:blipFill>
                  <pic:spPr>
                    <a:xfrm>
                      <a:off x="0" y="0"/>
                      <a:ext cx="4178351" cy="2795588"/>
                    </a:xfrm>
                    <a:prstGeom prst="rect"/>
                    <a:ln/>
                  </pic:spPr>
                </pic:pic>
              </a:graphicData>
            </a:graphic>
          </wp:anchor>
        </w:drawing>
      </w:r>
    </w:p>
    <w:p w:rsidR="00000000" w:rsidDel="00000000" w:rsidP="00000000" w:rsidRDefault="00000000" w:rsidRPr="00000000" w14:paraId="000000DF">
      <w:pP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w:t>
      </w:r>
      <w:r w:rsidDel="00000000" w:rsidR="00000000" w:rsidRPr="00000000">
        <w:rPr>
          <w:rFonts w:ascii="Times New Roman" w:cs="Times New Roman" w:eastAsia="Times New Roman" w:hAnsi="Times New Roman"/>
          <w:b w:val="1"/>
          <w:sz w:val="24"/>
          <w:szCs w:val="24"/>
          <w:rtl w:val="0"/>
        </w:rPr>
        <w:t xml:space="preserve">S5 </w:t>
      </w:r>
      <w:r w:rsidDel="00000000" w:rsidR="00000000" w:rsidRPr="00000000">
        <w:rPr>
          <w:rFonts w:ascii="Times New Roman" w:cs="Times New Roman" w:eastAsia="Times New Roman" w:hAnsi="Times New Roman"/>
          <w:b w:val="1"/>
          <w:sz w:val="24"/>
          <w:szCs w:val="24"/>
          <w:rtl w:val="0"/>
        </w:rPr>
        <w:t xml:space="preserve">| Validation of the empirical scoring function (ESF) results using an experimental half maximal effective concentration (EC</w:t>
      </w:r>
      <w:r w:rsidDel="00000000" w:rsidR="00000000" w:rsidRPr="00000000">
        <w:rPr>
          <w:rFonts w:ascii="Times New Roman" w:cs="Times New Roman" w:eastAsia="Times New Roman" w:hAnsi="Times New Roman"/>
          <w:b w:val="1"/>
          <w:sz w:val="24"/>
          <w:szCs w:val="24"/>
          <w:vertAlign w:val="subscript"/>
          <w:rtl w:val="0"/>
        </w:rPr>
        <w:t xml:space="preserve">50</w:t>
      </w:r>
      <w:r w:rsidDel="00000000" w:rsidR="00000000" w:rsidRPr="00000000">
        <w:rPr>
          <w:rFonts w:ascii="Times New Roman" w:cs="Times New Roman" w:eastAsia="Times New Roman" w:hAnsi="Times New Roman"/>
          <w:b w:val="1"/>
          <w:sz w:val="24"/>
          <w:szCs w:val="24"/>
          <w:rtl w:val="0"/>
        </w:rPr>
        <w:t xml:space="preserve">) test set. </w:t>
      </w:r>
      <w:r w:rsidDel="00000000" w:rsidR="00000000" w:rsidRPr="00000000">
        <w:rPr>
          <w:rFonts w:ascii="Times New Roman" w:cs="Times New Roman" w:eastAsia="Times New Roman" w:hAnsi="Times New Roman"/>
          <w:sz w:val="24"/>
          <w:szCs w:val="24"/>
          <w:rtl w:val="0"/>
        </w:rPr>
        <w:t xml:space="preserve">To calculate the correlation between Gibbs free binding energies (Δ</w:t>
      </w:r>
      <w:r w:rsidDel="00000000" w:rsidR="00000000" w:rsidRPr="00000000">
        <w:rPr>
          <w:rFonts w:ascii="Times New Roman" w:cs="Times New Roman" w:eastAsia="Times New Roman" w:hAnsi="Times New Roman"/>
          <w:i w:val="1"/>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pred</w:t>
      </w:r>
      <w:r w:rsidDel="00000000" w:rsidR="00000000" w:rsidRPr="00000000">
        <w:rPr>
          <w:rFonts w:ascii="Times New Roman" w:cs="Times New Roman" w:eastAsia="Times New Roman" w:hAnsi="Times New Roman"/>
          <w:sz w:val="24"/>
          <w:szCs w:val="24"/>
          <w:rtl w:val="0"/>
        </w:rPr>
        <w:t xml:space="preserve">) and EC</w:t>
      </w:r>
      <w:r w:rsidDel="00000000" w:rsidR="00000000" w:rsidRPr="00000000">
        <w:rPr>
          <w:rFonts w:ascii="Times New Roman" w:cs="Times New Roman" w:eastAsia="Times New Roman" w:hAnsi="Times New Roman"/>
          <w:sz w:val="24"/>
          <w:szCs w:val="24"/>
          <w:vertAlign w:val="subscript"/>
          <w:rtl w:val="0"/>
        </w:rPr>
        <w:t xml:space="preserve">50</w:t>
      </w:r>
      <w:r w:rsidDel="00000000" w:rsidR="00000000" w:rsidRPr="00000000">
        <w:rPr>
          <w:rFonts w:ascii="Times New Roman" w:cs="Times New Roman" w:eastAsia="Times New Roman" w:hAnsi="Times New Roman"/>
          <w:sz w:val="24"/>
          <w:szCs w:val="24"/>
          <w:rtl w:val="0"/>
        </w:rPr>
        <w:t xml:space="preserve"> values, logarithmic EC</w:t>
      </w:r>
      <w:r w:rsidDel="00000000" w:rsidR="00000000" w:rsidRPr="00000000">
        <w:rPr>
          <w:rFonts w:ascii="Times New Roman" w:cs="Times New Roman" w:eastAsia="Times New Roman" w:hAnsi="Times New Roman"/>
          <w:sz w:val="24"/>
          <w:szCs w:val="24"/>
          <w:vertAlign w:val="subscript"/>
          <w:rtl w:val="0"/>
        </w:rPr>
        <w:t xml:space="preserve">50</w:t>
      </w:r>
      <w:r w:rsidDel="00000000" w:rsidR="00000000" w:rsidRPr="00000000">
        <w:rPr>
          <w:rFonts w:ascii="Times New Roman" w:cs="Times New Roman" w:eastAsia="Times New Roman" w:hAnsi="Times New Roman"/>
          <w:sz w:val="24"/>
          <w:szCs w:val="24"/>
          <w:rtl w:val="0"/>
        </w:rPr>
        <w:t xml:space="preserve"> values were adjusted under consideration of temperature (T) and the gas constant R.</w:t>
      </w:r>
    </w:p>
    <w:p w:rsidR="00000000" w:rsidDel="00000000" w:rsidP="00000000" w:rsidRDefault="00000000" w:rsidRPr="00000000" w14:paraId="000000E0">
      <w:pPr>
        <w:spacing w:after="160"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1">
      <w:pPr>
        <w:spacing w:after="160"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2">
      <w:pPr>
        <w:spacing w:after="160"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3">
      <w:pPr>
        <w:spacing w:after="16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967288" cy="5824319"/>
            <wp:effectExtent b="0" l="0" r="0" t="0"/>
            <wp:docPr id="1"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4967288" cy="5824319"/>
                    </a:xfrm>
                    <a:prstGeom prst="rect"/>
                    <a:ln/>
                  </pic:spPr>
                </pic:pic>
              </a:graphicData>
            </a:graphic>
          </wp:inline>
        </w:drawing>
      </w:r>
      <w:r w:rsidDel="00000000" w:rsidR="00000000" w:rsidRPr="00000000">
        <w:rPr>
          <w:rtl w:val="0"/>
        </w:rPr>
      </w:r>
    </w:p>
    <w:p w:rsidR="00000000" w:rsidDel="00000000" w:rsidP="00000000" w:rsidRDefault="00000000" w:rsidRPr="00000000" w14:paraId="000000E4">
      <w:pPr>
        <w:spacing w:after="160" w:line="360" w:lineRule="auto"/>
        <w:jc w:val="both"/>
        <w:rPr>
          <w:rFonts w:ascii="Liberation Sans" w:cs="Liberation Sans" w:eastAsia="Liberation Sans" w:hAnsi="Liberation Sans"/>
          <w:b w:val="1"/>
        </w:rPr>
      </w:pPr>
      <w:r w:rsidDel="00000000" w:rsidR="00000000" w:rsidRPr="00000000">
        <w:rPr>
          <w:rFonts w:ascii="Times New Roman" w:cs="Times New Roman" w:eastAsia="Times New Roman" w:hAnsi="Times New Roman"/>
          <w:b w:val="1"/>
          <w:sz w:val="24"/>
          <w:szCs w:val="24"/>
          <w:rtl w:val="0"/>
        </w:rPr>
        <w:t xml:space="preserve">Fig.</w:t>
      </w:r>
      <w:r w:rsidDel="00000000" w:rsidR="00000000" w:rsidRPr="00000000">
        <w:rPr>
          <w:rFonts w:ascii="Times New Roman" w:cs="Times New Roman" w:eastAsia="Times New Roman" w:hAnsi="Times New Roman"/>
          <w:b w:val="1"/>
          <w:sz w:val="24"/>
          <w:szCs w:val="24"/>
          <w:rtl w:val="0"/>
        </w:rPr>
        <w:t xml:space="preserve"> S6</w:t>
      </w:r>
      <w:r w:rsidDel="00000000" w:rsidR="00000000" w:rsidRPr="00000000">
        <w:rPr>
          <w:rFonts w:ascii="Times New Roman" w:cs="Times New Roman" w:eastAsia="Times New Roman" w:hAnsi="Times New Roman"/>
          <w:b w:val="1"/>
          <w:sz w:val="24"/>
          <w:szCs w:val="24"/>
          <w:rtl w:val="0"/>
        </w:rPr>
        <w:t xml:space="preserve"> | Preselection of hACE2 variants with Gibbs free energy predictions.</w:t>
      </w:r>
      <w:r w:rsidDel="00000000" w:rsidR="00000000" w:rsidRPr="00000000">
        <w:rPr>
          <w:rFonts w:ascii="Times New Roman" w:cs="Times New Roman" w:eastAsia="Times New Roman" w:hAnsi="Times New Roman"/>
          <w:sz w:val="24"/>
          <w:szCs w:val="24"/>
          <w:rtl w:val="0"/>
        </w:rPr>
        <w:t xml:space="preserve"> hACE2 variants selected either by visual inspection, literature research or a combination of both with the goal to enhance the binding affinity between SARS-CoV-2 RBD and hACE2. Van der Waals (vdw) and electrostatic (elec) energies from t</w:t>
      </w:r>
      <w:r w:rsidDel="00000000" w:rsidR="00000000" w:rsidRPr="00000000">
        <w:rPr>
          <w:rFonts w:ascii="Times New Roman" w:cs="Times New Roman" w:eastAsia="Times New Roman" w:hAnsi="Times New Roman"/>
          <w:sz w:val="24"/>
          <w:szCs w:val="24"/>
          <w:rtl w:val="0"/>
        </w:rPr>
        <w:t xml:space="preserve">he MD simulation</w:t>
      </w:r>
      <w:r w:rsidDel="00000000" w:rsidR="00000000" w:rsidRPr="00000000">
        <w:rPr>
          <w:rFonts w:ascii="Times New Roman" w:cs="Times New Roman" w:eastAsia="Times New Roman" w:hAnsi="Times New Roman"/>
          <w:sz w:val="24"/>
          <w:szCs w:val="24"/>
          <w:rtl w:val="0"/>
        </w:rPr>
        <w:t xml:space="preserve"> in combination with optimal fitted weights (</w:t>
      </w:r>
      <w:r w:rsidDel="00000000" w:rsidR="00000000" w:rsidRPr="00000000">
        <w:rPr>
          <w:rFonts w:ascii="Liberation Serif" w:cs="Liberation Serif" w:eastAsia="Liberation Serif" w:hAnsi="Liberation Serif"/>
          <w:sz w:val="16"/>
          <w:szCs w:val="16"/>
          <w:rtl w:val="0"/>
        </w:rPr>
        <w:t xml:space="preserve">𝜔</w:t>
      </w:r>
      <w:r w:rsidDel="00000000" w:rsidR="00000000" w:rsidRPr="00000000">
        <w:rPr>
          <w:rFonts w:ascii="Liberation Serif" w:cs="Liberation Serif" w:eastAsia="Liberation Serif" w:hAnsi="Liberation Serif"/>
          <w:sz w:val="16"/>
          <w:szCs w:val="16"/>
          <w:vertAlign w:val="superscript"/>
          <w:rtl w:val="0"/>
        </w:rPr>
        <w:t xml:space="preserve">elec</w:t>
      </w:r>
      <w:r w:rsidDel="00000000" w:rsidR="00000000" w:rsidRPr="00000000">
        <w:rPr>
          <w:rFonts w:ascii="Times New Roman" w:cs="Times New Roman" w:eastAsia="Times New Roman" w:hAnsi="Times New Roman"/>
          <w:sz w:val="24"/>
          <w:szCs w:val="24"/>
          <w:rtl w:val="0"/>
        </w:rPr>
        <w:t xml:space="preserve"> = 0.024, </w:t>
      </w:r>
      <w:r w:rsidDel="00000000" w:rsidR="00000000" w:rsidRPr="00000000">
        <w:rPr>
          <w:rFonts w:ascii="Liberation Serif" w:cs="Liberation Serif" w:eastAsia="Liberation Serif" w:hAnsi="Liberation Serif"/>
          <w:sz w:val="16"/>
          <w:szCs w:val="16"/>
          <w:rtl w:val="0"/>
        </w:rPr>
        <w:t xml:space="preserve">𝜔</w:t>
      </w:r>
      <w:r w:rsidDel="00000000" w:rsidR="00000000" w:rsidRPr="00000000">
        <w:rPr>
          <w:rFonts w:ascii="Liberation Serif" w:cs="Liberation Serif" w:eastAsia="Liberation Serif" w:hAnsi="Liberation Serif"/>
          <w:sz w:val="16"/>
          <w:szCs w:val="16"/>
          <w:vertAlign w:val="superscript"/>
          <w:rtl w:val="0"/>
        </w:rPr>
        <w:t xml:space="preserve">vdw</w:t>
      </w:r>
      <w:r w:rsidDel="00000000" w:rsidR="00000000" w:rsidRPr="00000000">
        <w:rPr>
          <w:rFonts w:ascii="Times New Roman" w:cs="Times New Roman" w:eastAsia="Times New Roman" w:hAnsi="Times New Roman"/>
          <w:sz w:val="24"/>
          <w:szCs w:val="24"/>
          <w:rtl w:val="0"/>
        </w:rPr>
        <w:t xml:space="preserve"> = 0.765) from the training set resulted in predicted Gibbs free energies (Δ</w:t>
      </w:r>
      <w:r w:rsidDel="00000000" w:rsidR="00000000" w:rsidRPr="00000000">
        <w:rPr>
          <w:rFonts w:ascii="Times New Roman" w:cs="Times New Roman" w:eastAsia="Times New Roman" w:hAnsi="Times New Roman"/>
          <w:i w:val="1"/>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pred</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E5">
      <w:pPr>
        <w:spacing w:after="160" w:line="48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6">
      <w:pPr>
        <w:spacing w:after="160" w:line="48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7">
      <w:pPr>
        <w:spacing w:after="160"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SARS-CoV-2 neutralization assay.</w:t>
      </w:r>
    </w:p>
    <w:p w:rsidR="00000000" w:rsidDel="00000000" w:rsidP="00000000" w:rsidRDefault="00000000" w:rsidRPr="00000000" w14:paraId="000000E8">
      <w:pPr>
        <w:spacing w:line="276" w:lineRule="auto"/>
        <w:rPr>
          <w:rFonts w:ascii="Liberation Sans" w:cs="Liberation Sans" w:eastAsia="Liberation Sans" w:hAnsi="Liberation Sans"/>
          <w:b w:val="1"/>
        </w:rPr>
      </w:pPr>
      <w:r w:rsidDel="00000000" w:rsidR="00000000" w:rsidRPr="00000000">
        <w:rPr>
          <w:rFonts w:ascii="Liberation Sans" w:cs="Liberation Sans" w:eastAsia="Liberation Sans" w:hAnsi="Liberation Sans"/>
          <w:b w:val="1"/>
          <w:rtl w:val="0"/>
        </w:rPr>
        <w:t xml:space="preserve">a</w:t>
      </w:r>
      <w:r w:rsidDel="00000000" w:rsidR="00000000" w:rsidRPr="00000000">
        <w:rPr>
          <w:b w:val="1"/>
          <w:rtl w:val="0"/>
        </w:rPr>
        <w:tab/>
        <w:tab/>
        <w:tab/>
      </w:r>
      <w:r w:rsidDel="00000000" w:rsidR="00000000" w:rsidRPr="00000000">
        <w:rPr>
          <w:rFonts w:ascii="Liberation Sans" w:cs="Liberation Sans" w:eastAsia="Liberation Sans" w:hAnsi="Liberation Sans"/>
          <w:b w:val="1"/>
          <w:rtl w:val="0"/>
        </w:rPr>
        <w:t xml:space="preserve">b</w:t>
      </w:r>
      <w:r w:rsidDel="00000000" w:rsidR="00000000" w:rsidRPr="00000000">
        <w:rPr>
          <w:b w:val="1"/>
          <w:rtl w:val="0"/>
        </w:rPr>
        <w:tab/>
        <w:tab/>
        <w:tab/>
        <w:tab/>
        <w:tab/>
      </w:r>
      <w:r w:rsidDel="00000000" w:rsidR="00000000" w:rsidRPr="00000000">
        <w:rPr>
          <w:rFonts w:ascii="Liberation Sans" w:cs="Liberation Sans" w:eastAsia="Liberation Sans" w:hAnsi="Liberation Sans"/>
          <w:b w:val="1"/>
          <w:rtl w:val="0"/>
        </w:rPr>
        <w:t xml:space="preserve">c</w:t>
      </w:r>
    </w:p>
    <w:p w:rsidR="00000000" w:rsidDel="00000000" w:rsidP="00000000" w:rsidRDefault="00000000" w:rsidRPr="00000000" w14:paraId="000000E9">
      <w:pPr>
        <w:spacing w:line="276" w:lineRule="auto"/>
        <w:rPr>
          <w:rFonts w:ascii="Liberation Sans" w:cs="Liberation Sans" w:eastAsia="Liberation Sans" w:hAnsi="Liberation Sans"/>
          <w:b w:val="1"/>
          <w:u w:val="single"/>
        </w:rPr>
      </w:pPr>
      <w:r w:rsidDel="00000000" w:rsidR="00000000" w:rsidRPr="00000000">
        <w:rPr>
          <w:rFonts w:ascii="Liberation Sans" w:cs="Liberation Sans" w:eastAsia="Liberation Sans" w:hAnsi="Liberation Sans"/>
          <w:b w:val="1"/>
          <w:u w:val="single"/>
          <w:rtl w:val="0"/>
        </w:rPr>
        <w:t xml:space="preserve">SARS-CoV-2 wild type</w:t>
      </w:r>
    </w:p>
    <w:p w:rsidR="00000000" w:rsidDel="00000000" w:rsidP="00000000" w:rsidRDefault="00000000" w:rsidRPr="00000000" w14:paraId="000000EA">
      <w:pPr>
        <w:spacing w:line="276" w:lineRule="auto"/>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142875</wp:posOffset>
            </wp:positionV>
            <wp:extent cx="5303520" cy="2121408"/>
            <wp:effectExtent b="0" l="0" r="0" t="0"/>
            <wp:wrapSquare wrapText="bothSides" distB="0" distT="0" distL="0" distR="0"/>
            <wp:docPr descr="wuhan_Fig_1-indiv-data-points.JPG" id="4" name="image7.jpg"/>
            <a:graphic>
              <a:graphicData uri="http://schemas.openxmlformats.org/drawingml/2006/picture">
                <pic:pic>
                  <pic:nvPicPr>
                    <pic:cNvPr descr="wuhan_Fig_1-indiv-data-points.JPG" id="0" name="image7.jpg"/>
                    <pic:cNvPicPr preferRelativeResize="0"/>
                  </pic:nvPicPr>
                  <pic:blipFill>
                    <a:blip r:embed="rId14"/>
                    <a:srcRect b="5912" l="0" r="0" t="1942"/>
                    <a:stretch>
                      <a:fillRect/>
                    </a:stretch>
                  </pic:blipFill>
                  <pic:spPr>
                    <a:xfrm>
                      <a:off x="0" y="0"/>
                      <a:ext cx="5303520" cy="2121408"/>
                    </a:xfrm>
                    <a:prstGeom prst="rect"/>
                    <a:ln/>
                  </pic:spPr>
                </pic:pic>
              </a:graphicData>
            </a:graphic>
          </wp:anchor>
        </w:drawing>
      </w:r>
    </w:p>
    <w:p w:rsidR="00000000" w:rsidDel="00000000" w:rsidP="00000000" w:rsidRDefault="00000000" w:rsidRPr="00000000" w14:paraId="000000EB">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EC">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ED">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EE">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EF">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F0">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F1">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F2">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F3">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F4">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F5">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F6">
      <w:pPr>
        <w:spacing w:line="276" w:lineRule="auto"/>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F7">
      <w:pPr>
        <w:spacing w:line="276" w:lineRule="auto"/>
        <w:rPr>
          <w:rFonts w:ascii="Liberation Sans" w:cs="Liberation Sans" w:eastAsia="Liberation Sans" w:hAnsi="Liberation Sans"/>
          <w:b w:val="1"/>
        </w:rPr>
      </w:pPr>
      <w:r w:rsidDel="00000000" w:rsidR="00000000" w:rsidRPr="00000000">
        <w:rPr>
          <w:rFonts w:ascii="Liberation Sans" w:cs="Liberation Sans" w:eastAsia="Liberation Sans" w:hAnsi="Liberation Sans"/>
          <w:b w:val="1"/>
          <w:rtl w:val="0"/>
        </w:rPr>
        <w:t xml:space="preserve">d</w:t>
      </w:r>
      <w:r w:rsidDel="00000000" w:rsidR="00000000" w:rsidRPr="00000000">
        <w:rPr>
          <w:b w:val="1"/>
          <w:rtl w:val="0"/>
        </w:rPr>
        <w:tab/>
        <w:tab/>
        <w:tab/>
      </w:r>
      <w:r w:rsidDel="00000000" w:rsidR="00000000" w:rsidRPr="00000000">
        <w:rPr>
          <w:rFonts w:ascii="Liberation Sans" w:cs="Liberation Sans" w:eastAsia="Liberation Sans" w:hAnsi="Liberation Sans"/>
          <w:b w:val="1"/>
          <w:rtl w:val="0"/>
        </w:rPr>
        <w:t xml:space="preserve">e</w:t>
      </w:r>
      <w:r w:rsidDel="00000000" w:rsidR="00000000" w:rsidRPr="00000000">
        <w:rPr>
          <w:b w:val="1"/>
          <w:rtl w:val="0"/>
        </w:rPr>
        <w:tab/>
        <w:tab/>
        <w:tab/>
        <w:tab/>
        <w:tab/>
      </w:r>
      <w:r w:rsidDel="00000000" w:rsidR="00000000" w:rsidRPr="00000000">
        <w:rPr>
          <w:rFonts w:ascii="Liberation Sans" w:cs="Liberation Sans" w:eastAsia="Liberation Sans" w:hAnsi="Liberation Sans"/>
          <w:b w:val="1"/>
          <w:rtl w:val="0"/>
        </w:rPr>
        <w:t xml:space="preserve">f</w:t>
      </w:r>
    </w:p>
    <w:p w:rsidR="00000000" w:rsidDel="00000000" w:rsidP="00000000" w:rsidRDefault="00000000" w:rsidRPr="00000000" w14:paraId="000000F8">
      <w:pPr>
        <w:spacing w:line="276" w:lineRule="auto"/>
        <w:rPr>
          <w:rFonts w:ascii="Liberation Sans" w:cs="Liberation Sans" w:eastAsia="Liberation Sans" w:hAnsi="Liberation Sans"/>
          <w:b w:val="1"/>
          <w:u w:val="single"/>
        </w:rPr>
      </w:pPr>
      <w:r w:rsidDel="00000000" w:rsidR="00000000" w:rsidRPr="00000000">
        <w:rPr>
          <w:rFonts w:ascii="Liberation Sans" w:cs="Liberation Sans" w:eastAsia="Liberation Sans" w:hAnsi="Liberation Sans"/>
          <w:b w:val="1"/>
          <w:u w:val="single"/>
          <w:rtl w:val="0"/>
        </w:rPr>
        <w:t xml:space="preserve">SARS-CoV-2 Beta</w:t>
      </w:r>
    </w:p>
    <w:p w:rsidR="00000000" w:rsidDel="00000000" w:rsidP="00000000" w:rsidRDefault="00000000" w:rsidRPr="00000000" w14:paraId="000000F9">
      <w:pPr>
        <w:spacing w:line="276" w:lineRule="auto"/>
        <w:rPr>
          <w:rFonts w:ascii="Liberation Sans" w:cs="Liberation Sans" w:eastAsia="Liberation Sans" w:hAnsi="Liberation Sans"/>
          <w:b w:val="1"/>
          <w:u w:val="single"/>
        </w:rPr>
      </w:pPr>
      <w:r w:rsidDel="00000000" w:rsidR="00000000" w:rsidRPr="00000000">
        <w:rPr>
          <w:rFonts w:ascii="Liberation Sans" w:cs="Liberation Sans" w:eastAsia="Liberation Sans" w:hAnsi="Liberation Sans"/>
          <w:b w:val="1"/>
          <w:u w:val="single"/>
        </w:rPr>
        <w:drawing>
          <wp:inline distB="114300" distT="114300" distL="114300" distR="114300">
            <wp:extent cx="5303520" cy="2142622"/>
            <wp:effectExtent b="0" l="0" r="0" t="0"/>
            <wp:docPr descr="Pumba_Fig_1-indiv-data-points.JPG" id="7" name="image8.jpg"/>
            <a:graphic>
              <a:graphicData uri="http://schemas.openxmlformats.org/drawingml/2006/picture">
                <pic:pic>
                  <pic:nvPicPr>
                    <pic:cNvPr descr="Pumba_Fig_1-indiv-data-points.JPG" id="0" name="image8.jpg"/>
                    <pic:cNvPicPr preferRelativeResize="0"/>
                  </pic:nvPicPr>
                  <pic:blipFill>
                    <a:blip r:embed="rId15"/>
                    <a:srcRect b="5698" l="0" r="0" t="1084"/>
                    <a:stretch>
                      <a:fillRect/>
                    </a:stretch>
                  </pic:blipFill>
                  <pic:spPr>
                    <a:xfrm>
                      <a:off x="0" y="0"/>
                      <a:ext cx="5303520" cy="2142622"/>
                    </a:xfrm>
                    <a:prstGeom prst="rect"/>
                    <a:ln/>
                  </pic:spPr>
                </pic:pic>
              </a:graphicData>
            </a:graphic>
          </wp:inline>
        </w:drawing>
      </w:r>
      <w:r w:rsidDel="00000000" w:rsidR="00000000" w:rsidRPr="00000000">
        <w:rPr>
          <w:rtl w:val="0"/>
        </w:rPr>
      </w:r>
    </w:p>
    <w:p w:rsidR="00000000" w:rsidDel="00000000" w:rsidP="00000000" w:rsidRDefault="00000000" w:rsidRPr="00000000" w14:paraId="000000FA">
      <w:pPr>
        <w:spacing w:after="200" w:line="360" w:lineRule="auto"/>
        <w:jc w:val="both"/>
        <w:rPr/>
      </w:pPr>
      <w:r w:rsidDel="00000000" w:rsidR="00000000" w:rsidRPr="00000000">
        <w:rPr>
          <w:rFonts w:ascii="Times New Roman" w:cs="Times New Roman" w:eastAsia="Times New Roman" w:hAnsi="Times New Roman"/>
          <w:b w:val="1"/>
          <w:sz w:val="24"/>
          <w:szCs w:val="24"/>
          <w:rtl w:val="0"/>
        </w:rPr>
        <w:t xml:space="preserve">Fig. S7</w:t>
      </w:r>
      <w:r w:rsidDel="00000000" w:rsidR="00000000" w:rsidRPr="00000000">
        <w:rPr>
          <w:rFonts w:ascii="Times New Roman" w:cs="Times New Roman" w:eastAsia="Times New Roman" w:hAnsi="Times New Roman"/>
          <w:b w:val="1"/>
          <w:sz w:val="24"/>
          <w:szCs w:val="24"/>
          <w:rtl w:val="0"/>
        </w:rPr>
        <w:t xml:space="preserve"> | Inhibiting effect of hACE2-Fc wild type (hACE2-Fc WT) and three hACE2-Fc variants on SARS-CoV-2 (wild-type and Beta variant) infection.</w:t>
      </w:r>
      <w:r w:rsidDel="00000000" w:rsidR="00000000" w:rsidRPr="00000000">
        <w:rPr>
          <w:rFonts w:ascii="Times New Roman" w:cs="Times New Roman" w:eastAsia="Times New Roman" w:hAnsi="Times New Roman"/>
          <w:sz w:val="24"/>
          <w:szCs w:val="24"/>
          <w:rtl w:val="0"/>
        </w:rPr>
        <w:t xml:space="preserve"> Each hACE2-Fc variant (25 μg/mL) was preincubated with SARS-CoV-2 (MOI: 0.0003) and then added to VeroE6 cells. Remdesivir (10 μM) treatment and infections without treatment (“Untreated”) served as controls. Supernatants (SN) were collected 48 h post-infection and RNA levels were analyzed by qRT-PCR.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SARS-CoV-2 wild-type virus inputs for two independent experimental series, which led to the viral titers shown in </w:t>
      </w:r>
      <w:r w:rsidDel="00000000" w:rsidR="00000000" w:rsidRPr="00000000">
        <w:rPr>
          <w:rFonts w:ascii="Times New Roman" w:cs="Times New Roman" w:eastAsia="Times New Roman" w:hAnsi="Times New Roman"/>
          <w:b w:val="1"/>
          <w:sz w:val="24"/>
          <w:szCs w:val="24"/>
          <w:rtl w:val="0"/>
        </w:rPr>
        <w:t xml:space="preserve">b </w:t>
      </w:r>
      <w:r w:rsidDel="00000000" w:rsidR="00000000" w:rsidRPr="00000000">
        <w:rPr>
          <w:rFonts w:ascii="Times New Roman" w:cs="Times New Roman" w:eastAsia="Times New Roman" w:hAnsi="Times New Roman"/>
          <w:sz w:val="24"/>
          <w:szCs w:val="24"/>
          <w:rtl w:val="0"/>
        </w:rPr>
        <w:t xml:space="preserve">and </w:t>
      </w:r>
      <w:r w:rsidDel="00000000" w:rsidR="00000000" w:rsidRPr="00000000">
        <w:rPr>
          <w:rFonts w:ascii="Times New Roman" w:cs="Times New Roman" w:eastAsia="Times New Roman" w:hAnsi="Times New Roman"/>
          <w:b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SARS-CoV-2 Beta virus inputs for two independent experimental series are shown in </w:t>
      </w:r>
      <w:r w:rsidDel="00000000" w:rsidR="00000000" w:rsidRPr="00000000">
        <w:rPr>
          <w:rFonts w:ascii="Times New Roman" w:cs="Times New Roman" w:eastAsia="Times New Roman" w:hAnsi="Times New Roman"/>
          <w:b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The associated SN contained viral titres illustrated in </w:t>
      </w:r>
      <w:r w:rsidDel="00000000" w:rsidR="00000000" w:rsidRPr="00000000">
        <w:rPr>
          <w:rFonts w:ascii="Times New Roman" w:cs="Times New Roman" w:eastAsia="Times New Roman" w:hAnsi="Times New Roman"/>
          <w:b w:val="1"/>
          <w:sz w:val="24"/>
          <w:szCs w:val="24"/>
          <w:rtl w:val="0"/>
        </w:rPr>
        <w:t xml:space="preserve">e</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b w:val="1"/>
          <w:sz w:val="24"/>
          <w:szCs w:val="24"/>
          <w:rtl w:val="0"/>
        </w:rPr>
        <w:t xml:space="preserve">f</w:t>
      </w:r>
      <w:r w:rsidDel="00000000" w:rsidR="00000000" w:rsidRPr="00000000">
        <w:rPr>
          <w:rFonts w:ascii="Times New Roman" w:cs="Times New Roman" w:eastAsia="Times New Roman" w:hAnsi="Times New Roman"/>
          <w:sz w:val="24"/>
          <w:szCs w:val="24"/>
          <w:rtl w:val="0"/>
        </w:rPr>
        <w:t xml:space="preserve">. qRT-PCR data are mean ± SEM of three replicates per tested condition.</w:t>
      </w:r>
      <w:r w:rsidDel="00000000" w:rsidR="00000000" w:rsidRPr="00000000">
        <w:rPr>
          <w:rtl w:val="0"/>
        </w:rPr>
      </w:r>
    </w:p>
    <w:sectPr>
      <w:footerReference r:id="rId16" w:type="default"/>
      <w:footerReference r:id="rId17" w:type="first"/>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iberation Sans"/>
  <w:font w:name="Liberation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B">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C">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28.0" w:type="dxa"/>
        <w:bottom w:w="0.0" w:type="dxa"/>
        <w:right w:w="29.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0" Type="http://schemas.openxmlformats.org/officeDocument/2006/relationships/image" Target="media/image3.png"/><Relationship Id="rId13" Type="http://schemas.openxmlformats.org/officeDocument/2006/relationships/image" Target="media/image4.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15" Type="http://schemas.openxmlformats.org/officeDocument/2006/relationships/image" Target="media/image8.jpg"/><Relationship Id="rId14" Type="http://schemas.openxmlformats.org/officeDocument/2006/relationships/image" Target="media/image7.jpg"/><Relationship Id="rId17" Type="http://schemas.openxmlformats.org/officeDocument/2006/relationships/footer" Target="footer1.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mailto:christian.gruber@innophore.com" TargetMode="External"/><Relationship Id="rId7" Type="http://schemas.openxmlformats.org/officeDocument/2006/relationships/hyperlink" Target="mailto:georg.steinkellner@innophore.com"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