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Supplemental Material:</w:t>
      </w:r>
    </w:p>
    <w:p>
      <w:pPr>
        <w:spacing w:line="360" w:lineRule="auto"/>
        <w:rPr>
          <w:rFonts w:hint="default" w:ascii="Times New Roman" w:hAnsi="Times New Roman" w:cs="Times New Roman"/>
          <w:b/>
          <w:bCs/>
          <w:color w:val="222222"/>
          <w:sz w:val="24"/>
          <w:shd w:val="clear" w:color="auto" w:fill="FFFFFF"/>
        </w:rPr>
      </w:pPr>
    </w:p>
    <w:p>
      <w:pPr>
        <w:spacing w:line="360" w:lineRule="auto"/>
        <w:jc w:val="center"/>
        <w:rPr>
          <w:rFonts w:hint="default" w:ascii="Times New Roman" w:hAnsi="Times New Roman" w:cs="Times New Roman"/>
          <w:b/>
          <w:bCs/>
          <w:color w:val="222222"/>
          <w:sz w:val="24"/>
          <w:shd w:val="clear" w:color="auto" w:fill="FFFFFF"/>
        </w:rPr>
      </w:pPr>
      <w:r>
        <w:rPr>
          <w:rFonts w:hint="default" w:ascii="Times New Roman" w:hAnsi="Times New Roman" w:cs="Times New Roman"/>
          <w:b/>
          <w:bCs/>
          <w:color w:val="222222"/>
          <w:sz w:val="24"/>
          <w:shd w:val="clear" w:color="auto" w:fill="FFFFFF"/>
        </w:rPr>
        <w:drawing>
          <wp:inline distT="0" distB="0" distL="114300" distR="114300">
            <wp:extent cx="3782695" cy="2651760"/>
            <wp:effectExtent l="0" t="0" r="12065" b="0"/>
            <wp:docPr id="1" name="图片 1" descr="Sup F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up F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82695" cy="2651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rPr>
          <w:rFonts w:hint="default" w:ascii="Times New Roman" w:hAnsi="Times New Roman" w:cs="Times New Roman"/>
          <w:color w:val="222222"/>
          <w:szCs w:val="21"/>
          <w:shd w:val="clear" w:color="auto" w:fill="FFFFFF"/>
        </w:rPr>
      </w:pPr>
      <w:r>
        <w:rPr>
          <w:rFonts w:hint="eastAsia" w:ascii="Times New Roman" w:hAnsi="Times New Roman" w:cs="Times New Roman"/>
          <w:b/>
          <w:szCs w:val="21"/>
        </w:rPr>
        <w:t>F</w:t>
      </w:r>
      <w:r>
        <w:rPr>
          <w:rFonts w:ascii="Times New Roman" w:hAnsi="Times New Roman" w:cs="Times New Roman"/>
          <w:b/>
          <w:szCs w:val="21"/>
        </w:rPr>
        <w:t>igure S1</w:t>
      </w:r>
      <w:r>
        <w:rPr>
          <w:rFonts w:hint="default" w:ascii="Times New Roman" w:hAnsi="Times New Roman" w:cs="Times New Roman"/>
          <w:b/>
          <w:bCs/>
          <w:color w:val="222222"/>
          <w:szCs w:val="21"/>
          <w:shd w:val="clear" w:color="auto" w:fill="FFFFFF"/>
        </w:rPr>
        <w:t xml:space="preserve">. Direct NK cell cytotoxicity of two deceased patients at the deterioration phase. </w:t>
      </w:r>
      <w:r>
        <w:rPr>
          <w:rFonts w:hint="default" w:ascii="Times New Roman" w:hAnsi="Times New Roman" w:cs="Times New Roman"/>
          <w:color w:val="222222"/>
          <w:szCs w:val="21"/>
          <w:shd w:val="clear" w:color="auto" w:fill="FFFFFF"/>
        </w:rPr>
        <w:t>Natural cytotoxicity is represented by the different E:T ratios of P1 and P2.</w:t>
      </w:r>
    </w:p>
    <w:p>
      <w:pPr>
        <w:rPr>
          <w:rFonts w:hint="default" w:ascii="Times New Roman" w:hAnsi="Times New Roman" w:cs="Times New Roman"/>
          <w:b/>
          <w:bCs/>
          <w:color w:val="222222"/>
          <w:sz w:val="24"/>
          <w:shd w:val="clear" w:color="auto" w:fill="FFFFFF"/>
        </w:rPr>
      </w:pPr>
    </w:p>
    <w:p>
      <w:pPr>
        <w:rPr>
          <w:rFonts w:hint="default" w:ascii="Times New Roman" w:hAnsi="Times New Roman" w:cs="Times New Roman"/>
          <w:b/>
          <w:bCs/>
          <w:color w:val="222222"/>
          <w:sz w:val="24"/>
          <w:shd w:val="clear" w:color="auto" w:fill="FFFFFF"/>
        </w:rPr>
      </w:pPr>
    </w:p>
    <w:p>
      <w:pPr>
        <w:rPr>
          <w:rFonts w:hint="default" w:ascii="Times New Roman" w:hAnsi="Times New Roman" w:cs="Times New Roman"/>
          <w:b/>
          <w:bCs/>
          <w:color w:val="222222"/>
          <w:sz w:val="24"/>
          <w:shd w:val="clear" w:color="auto" w:fill="FFFFFF"/>
        </w:rPr>
      </w:pPr>
      <w:r>
        <w:rPr>
          <w:rFonts w:hint="default" w:ascii="Times New Roman" w:hAnsi="Times New Roman" w:cs="Times New Roman"/>
          <w:b/>
          <w:bCs/>
          <w:color w:val="222222"/>
          <w:sz w:val="24"/>
          <w:shd w:val="clear" w:color="auto" w:fill="FFFFFF"/>
        </w:rPr>
        <w:drawing>
          <wp:inline distT="0" distB="0" distL="114300" distR="114300">
            <wp:extent cx="5273040" cy="3441065"/>
            <wp:effectExtent l="0" t="0" r="0" b="3175"/>
            <wp:docPr id="7" name="图片 7" descr="Supplementary Fig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Supplementary Fig2"/>
                    <pic:cNvPicPr>
                      <a:picLocks noChangeAspect="1"/>
                    </pic:cNvPicPr>
                  </pic:nvPicPr>
                  <pic:blipFill>
                    <a:blip r:embed="rId5"/>
                    <a:srcRect t="55680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3441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b/>
          <w:bCs/>
          <w:color w:val="222222"/>
          <w:szCs w:val="21"/>
          <w:shd w:val="clear" w:color="auto" w:fill="FFFFFF"/>
        </w:rPr>
        <w:t xml:space="preserve">Figure </w:t>
      </w:r>
      <w:r>
        <w:rPr>
          <w:rFonts w:hint="eastAsia" w:ascii="Times New Roman" w:hAnsi="Times New Roman" w:cs="Times New Roman"/>
          <w:b/>
          <w:bCs/>
          <w:color w:val="222222"/>
          <w:szCs w:val="21"/>
          <w:shd w:val="clear" w:color="auto" w:fill="FFFFFF"/>
          <w:lang w:val="en-US" w:eastAsia="zh-CN"/>
        </w:rPr>
        <w:t>S</w:t>
      </w:r>
      <w:r>
        <w:rPr>
          <w:rFonts w:hint="default" w:ascii="Times New Roman" w:hAnsi="Times New Roman" w:cs="Times New Roman"/>
          <w:b/>
          <w:bCs/>
          <w:color w:val="222222"/>
          <w:szCs w:val="21"/>
          <w:shd w:val="clear" w:color="auto" w:fill="FFFFFF"/>
        </w:rPr>
        <w:t>2. Comparison of the functionality and cytokines between EBV infected and noninfected cells through h</w:t>
      </w:r>
      <w:r>
        <w:rPr>
          <w:rFonts w:hint="default" w:ascii="Times New Roman" w:hAnsi="Times New Roman" w:cs="Times New Roman"/>
          <w:b/>
          <w:bCs/>
          <w:szCs w:val="21"/>
        </w:rPr>
        <w:t xml:space="preserve">igh-throughput single-cell RNA-seq. </w:t>
      </w:r>
      <w:r>
        <w:rPr>
          <w:rFonts w:hint="default" w:ascii="Times New Roman" w:hAnsi="Times New Roman" w:cs="Times New Roman"/>
          <w:szCs w:val="21"/>
        </w:rPr>
        <w:t>Expression of selected genes between EBV infected and noninfected NKT-1, NK-3, NK-7, and NKT-11 clusters.</w:t>
      </w:r>
    </w:p>
    <w:p>
      <w:pPr>
        <w:rPr>
          <w:rFonts w:hint="default" w:ascii="Times New Roman" w:hAnsi="Times New Roman" w:cs="Times New Roman"/>
          <w:b/>
          <w:bCs/>
          <w:color w:val="222222"/>
          <w:sz w:val="24"/>
          <w:shd w:val="clear" w:color="auto" w:fill="FFFFFF"/>
        </w:rPr>
      </w:pPr>
      <w:r>
        <w:rPr>
          <w:rFonts w:hint="default" w:ascii="Times New Roman" w:hAnsi="Times New Roman" w:cs="Times New Roman"/>
          <w:b/>
          <w:bCs/>
          <w:color w:val="222222"/>
          <w:sz w:val="24"/>
          <w:shd w:val="clear" w:color="auto" w:fill="FFFFFF"/>
        </w:rPr>
        <w:br w:type="page"/>
      </w:r>
    </w:p>
    <w:p>
      <w:pPr>
        <w:rPr>
          <w:rFonts w:hint="default" w:ascii="Times New Roman" w:hAnsi="Times New Roman" w:cs="Times New Roman"/>
          <w:b/>
          <w:bCs/>
          <w:color w:val="222222"/>
          <w:sz w:val="24"/>
          <w:shd w:val="clear" w:color="auto" w:fill="FFFFFF"/>
        </w:rPr>
      </w:pPr>
      <w:r>
        <w:rPr>
          <w:rFonts w:hint="default" w:ascii="Times New Roman" w:hAnsi="Times New Roman" w:cs="Times New Roman"/>
          <w:b/>
          <w:bCs/>
          <w:color w:val="222222"/>
          <w:sz w:val="24"/>
          <w:shd w:val="clear" w:color="auto" w:fill="FFFFFF"/>
        </w:rPr>
        <w:drawing>
          <wp:inline distT="0" distB="0" distL="114300" distR="114300">
            <wp:extent cx="5267960" cy="4096385"/>
            <wp:effectExtent l="0" t="0" r="5080" b="3175"/>
            <wp:docPr id="6" name="图片 6" descr="Supplementary Fig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Supplementary Fig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4096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b/>
          <w:bCs/>
          <w:szCs w:val="21"/>
        </w:rPr>
      </w:pPr>
      <w:r>
        <w:rPr>
          <w:rFonts w:hint="default" w:ascii="Times New Roman" w:hAnsi="Times New Roman" w:cs="Times New Roman"/>
          <w:b/>
          <w:bCs/>
          <w:color w:val="222222"/>
          <w:szCs w:val="21"/>
          <w:shd w:val="clear" w:color="auto" w:fill="FFFFFF"/>
        </w:rPr>
        <w:t xml:space="preserve">Figure </w:t>
      </w:r>
      <w:r>
        <w:rPr>
          <w:rFonts w:hint="eastAsia" w:ascii="Times New Roman" w:hAnsi="Times New Roman" w:cs="Times New Roman"/>
          <w:b/>
          <w:bCs/>
          <w:color w:val="222222"/>
          <w:szCs w:val="21"/>
          <w:shd w:val="clear" w:color="auto" w:fill="FFFFFF"/>
          <w:lang w:val="en-US" w:eastAsia="zh-CN"/>
        </w:rPr>
        <w:t>S</w:t>
      </w:r>
      <w:r>
        <w:rPr>
          <w:rFonts w:hint="default" w:ascii="Times New Roman" w:hAnsi="Times New Roman" w:cs="Times New Roman"/>
          <w:b/>
          <w:bCs/>
          <w:color w:val="222222"/>
          <w:szCs w:val="21"/>
          <w:shd w:val="clear" w:color="auto" w:fill="FFFFFF"/>
        </w:rPr>
        <w:t xml:space="preserve">3. </w:t>
      </w:r>
      <w:r>
        <w:rPr>
          <w:rFonts w:hint="default" w:ascii="Times New Roman" w:hAnsi="Times New Roman" w:cs="Times New Roman"/>
          <w:b/>
          <w:bCs/>
          <w:szCs w:val="21"/>
        </w:rPr>
        <w:t xml:space="preserve">Single-cell RNA-seq identifies oncogenesis of EBV-infected NK and NKT cells of EBV-HLH patients. 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A.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Cs w:val="21"/>
        </w:rPr>
        <w:t xml:space="preserve">Comparison of the enrichment of ten canonical pathways, including cell cycle, Hippo signaling, Myc signaling, Notch signaling, oxidative stress response/Nrf2, PI-3-Kinase signaling, receptor-tyrosine kinase (RTK)/RAS/MAP-Kinase signaling, TGFβ signaling, p53, and β-catenin/Wnt signaling, between EBV-infected and non-EBV-infected cells of P1 and P2. </w:t>
      </w:r>
    </w:p>
    <w:p>
      <w:pPr>
        <w:numPr>
          <w:ilvl w:val="0"/>
          <w:numId w:val="0"/>
        </w:numPr>
        <w:rPr>
          <w:rFonts w:hint="default" w:ascii="Times New Roman" w:hAnsi="Times New Roman" w:cs="Times New Roman"/>
          <w:b/>
          <w:bCs/>
          <w:color w:val="222222"/>
          <w:sz w:val="24"/>
          <w:shd w:val="clear" w:color="auto" w:fill="FFFFFF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B.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Cs w:val="21"/>
        </w:rPr>
        <w:t xml:space="preserve">Expression of selected genes representing proto-oncogenes, proliferation and EBV-viral carcinogenesis for EBV infected versus non-EBV clusters of three EBV-HLH patients. </w:t>
      </w:r>
      <w:r>
        <w:rPr>
          <w:rFonts w:hint="default" w:ascii="Times New Roman" w:hAnsi="Times New Roman" w:cs="Times New Roman"/>
          <w:color w:val="222222"/>
          <w:szCs w:val="21"/>
          <w:shd w:val="clear" w:color="auto" w:fill="FFFFFF"/>
        </w:rPr>
        <w:t>ns, not significant; *P &lt; 0.05.</w:t>
      </w:r>
      <w:r>
        <w:rPr>
          <w:rFonts w:hint="default" w:ascii="Times New Roman" w:hAnsi="Times New Roman" w:cs="Times New Roman"/>
          <w:szCs w:val="21"/>
        </w:rPr>
        <w:t xml:space="preserve">  </w:t>
      </w:r>
    </w:p>
    <w:p>
      <w:pPr>
        <w:jc w:val="center"/>
        <w:rPr>
          <w:rFonts w:hint="default" w:ascii="Times New Roman" w:hAnsi="Times New Roman" w:cs="Times New Roman"/>
          <w:b/>
          <w:bCs/>
          <w:color w:val="222222"/>
          <w:sz w:val="24"/>
          <w:shd w:val="clear" w:color="auto" w:fill="FFFFFF"/>
        </w:rPr>
      </w:pPr>
    </w:p>
    <w:p>
      <w:pPr>
        <w:jc w:val="center"/>
        <w:rPr>
          <w:rFonts w:hint="default" w:ascii="Times New Roman" w:hAnsi="Times New Roman" w:cs="Times New Roman"/>
          <w:b/>
          <w:bCs/>
          <w:color w:val="222222"/>
          <w:sz w:val="24"/>
          <w:shd w:val="clear" w:color="auto" w:fill="FFFFFF"/>
        </w:rPr>
      </w:pPr>
      <w:r>
        <w:rPr>
          <w:rFonts w:hint="default" w:ascii="Times New Roman" w:hAnsi="Times New Roman" w:cs="Times New Roman"/>
          <w:b/>
          <w:bCs/>
          <w:color w:val="222222"/>
          <w:sz w:val="24"/>
          <w:shd w:val="clear" w:color="auto" w:fill="FFFFFF"/>
        </w:rPr>
        <w:drawing>
          <wp:inline distT="0" distB="0" distL="114300" distR="114300">
            <wp:extent cx="3095625" cy="2722245"/>
            <wp:effectExtent l="0" t="0" r="13335" b="5715"/>
            <wp:docPr id="2" name="图片 2" descr="CD56 拟时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D56 拟时序"/>
                    <pic:cNvPicPr>
                      <a:picLocks noChangeAspect="1"/>
                    </pic:cNvPicPr>
                  </pic:nvPicPr>
                  <pic:blipFill>
                    <a:blip r:embed="rId7"/>
                    <a:srcRect b="6618"/>
                    <a:stretch>
                      <a:fillRect/>
                    </a:stretch>
                  </pic:blipFill>
                  <pic:spPr>
                    <a:xfrm>
                      <a:off x="0" y="0"/>
                      <a:ext cx="3095625" cy="2722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b/>
          <w:bCs/>
          <w:color w:val="222222"/>
          <w:szCs w:val="21"/>
          <w:shd w:val="clear" w:color="auto" w:fill="FFFFFF"/>
        </w:rPr>
        <w:t xml:space="preserve">Figure </w:t>
      </w:r>
      <w:r>
        <w:rPr>
          <w:rFonts w:hint="eastAsia" w:ascii="Times New Roman" w:hAnsi="Times New Roman" w:cs="Times New Roman"/>
          <w:b/>
          <w:bCs/>
          <w:color w:val="222222"/>
          <w:szCs w:val="21"/>
          <w:shd w:val="clear" w:color="auto" w:fill="FFFFFF"/>
          <w:lang w:val="en-US" w:eastAsia="zh-CN"/>
        </w:rPr>
        <w:t>S</w:t>
      </w:r>
      <w:r>
        <w:rPr>
          <w:rFonts w:hint="default" w:ascii="Times New Roman" w:hAnsi="Times New Roman" w:cs="Times New Roman"/>
          <w:b/>
          <w:bCs/>
          <w:color w:val="222222"/>
          <w:szCs w:val="21"/>
          <w:shd w:val="clear" w:color="auto" w:fill="FFFFFF"/>
        </w:rPr>
        <w:t xml:space="preserve">4. </w:t>
      </w:r>
      <w:r>
        <w:rPr>
          <w:rFonts w:hint="default" w:ascii="Times New Roman" w:hAnsi="Times New Roman" w:cs="Times New Roman"/>
          <w:b/>
          <w:bCs/>
          <w:szCs w:val="21"/>
        </w:rPr>
        <w:t xml:space="preserve">Pseudotime trajectory analysis traces the differentiation of CD56 positive cells. </w:t>
      </w:r>
      <w:r>
        <w:rPr>
          <w:rFonts w:hint="default" w:ascii="Times New Roman" w:hAnsi="Times New Roman" w:cs="Times New Roman"/>
          <w:szCs w:val="21"/>
        </w:rPr>
        <w:t xml:space="preserve">Calculated pseudotime trajectory analysis based on CD56 expression in T, NKT, and NKT cells. The </w:t>
      </w:r>
      <w:r>
        <w:rPr>
          <w:rFonts w:hint="default" w:ascii="Times New Roman" w:hAnsi="Times New Roman" w:cs="Times New Roman"/>
          <w:i/>
          <w:szCs w:val="21"/>
        </w:rPr>
        <w:t>arrow</w:t>
      </w:r>
      <w:r>
        <w:rPr>
          <w:rFonts w:hint="default" w:ascii="Times New Roman" w:hAnsi="Times New Roman" w:cs="Times New Roman"/>
          <w:szCs w:val="21"/>
        </w:rPr>
        <w:t xml:space="preserve"> is drawn according to the computed pseudotime coordinate, with lighter cells denoting earlier timepoints in the trajectory and dark cells denoting later timepoints.</w:t>
      </w:r>
    </w:p>
    <w:p>
      <w:pPr>
        <w:rPr>
          <w:rFonts w:hint="default" w:ascii="Times New Roman" w:hAnsi="Times New Roman" w:cs="Times New Roman"/>
          <w:szCs w:val="21"/>
        </w:rPr>
      </w:pPr>
      <w:bookmarkStart w:id="0" w:name="_GoBack"/>
      <w:bookmarkEnd w:id="0"/>
    </w:p>
    <w:p>
      <w:pPr>
        <w:jc w:val="center"/>
        <w:rPr>
          <w:rFonts w:hint="default" w:ascii="Times New Roman" w:hAnsi="Times New Roman" w:cs="Times New Roman"/>
          <w:b/>
          <w:bCs/>
          <w:color w:val="222222"/>
          <w:sz w:val="24"/>
          <w:shd w:val="clear" w:color="auto" w:fill="FFFFFF"/>
        </w:rPr>
      </w:pPr>
      <w:r>
        <w:rPr>
          <w:rFonts w:hint="default" w:ascii="Times New Roman" w:hAnsi="Times New Roman" w:cs="Times New Roman"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628650</wp:posOffset>
                </wp:positionH>
                <wp:positionV relativeFrom="paragraph">
                  <wp:posOffset>13335</wp:posOffset>
                </wp:positionV>
                <wp:extent cx="539115" cy="462915"/>
                <wp:effectExtent l="0" t="0" r="0" b="0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579245" y="1254125"/>
                          <a:ext cx="539115" cy="4629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32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9.5pt;margin-top:1.05pt;height:36.45pt;width:42.45pt;z-index:251659264;mso-width-relative:page;mso-height-relative:page;" filled="f" stroked="f" coordsize="21600,21600" o:gfxdata="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DqsFXvYAAAABwEAAA8AAAAAAAAAAQAgAAAA&#10;IgAAAGRycy9kb3ducmV2LnhtbFBLAQIUABQAAAAIAIdO4kCbUaNaRAIAAHEEAAAOAAAAAAAAAAEA&#10;IAAAACcBAABkcnMvZTJvRG9jLnhtbFBLBQYAAAAABgAGAFkBAADd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Arial" w:hAnsi="Arial" w:cs="Arial"/>
                          <w:b/>
                          <w:bCs/>
                          <w:sz w:val="24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4"/>
                          <w:szCs w:val="32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628650</wp:posOffset>
                </wp:positionH>
                <wp:positionV relativeFrom="paragraph">
                  <wp:posOffset>2329180</wp:posOffset>
                </wp:positionV>
                <wp:extent cx="539115" cy="462915"/>
                <wp:effectExtent l="0" t="0" r="0" b="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9115" cy="4629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sz w:val="24"/>
                                <w:szCs w:val="32"/>
                              </w:rPr>
                            </w:pPr>
                            <w:r>
                              <w:rPr>
                                <w:rFonts w:hint="eastAsia" w:ascii="Arial" w:hAnsi="Arial" w:cs="Arial"/>
                                <w:b/>
                                <w:bCs/>
                                <w:sz w:val="24"/>
                                <w:szCs w:val="32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9.5pt;margin-top:183.4pt;height:36.45pt;width:42.45pt;z-index:251660288;mso-width-relative:page;mso-height-relative:page;" filled="f" stroked="f" coordsize="21600,21600" o:gfxdata="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Arial" w:hAnsi="Arial" w:cs="Arial"/>
                          <w:b/>
                          <w:bCs/>
                          <w:sz w:val="24"/>
                          <w:szCs w:val="32"/>
                        </w:rPr>
                      </w:pPr>
                      <w:r>
                        <w:rPr>
                          <w:rFonts w:hint="eastAsia" w:ascii="Arial" w:hAnsi="Arial" w:cs="Arial"/>
                          <w:b/>
                          <w:bCs/>
                          <w:sz w:val="24"/>
                          <w:szCs w:val="32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default" w:ascii="Times New Roman" w:hAnsi="Times New Roman" w:cs="Times New Roman"/>
          <w:b/>
          <w:bCs/>
          <w:color w:val="222222"/>
          <w:sz w:val="24"/>
          <w:shd w:val="clear" w:color="auto" w:fill="FFFFFF"/>
        </w:rPr>
        <w:drawing>
          <wp:inline distT="0" distB="0" distL="114300" distR="114300">
            <wp:extent cx="3514090" cy="4883150"/>
            <wp:effectExtent l="0" t="0" r="6350" b="8890"/>
            <wp:docPr id="3" name="图片 3" descr="Supplementary Fig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Supplementary Fig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14090" cy="4883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b/>
          <w:bCs/>
          <w:color w:val="222222"/>
          <w:szCs w:val="21"/>
          <w:shd w:val="clear" w:color="auto" w:fill="FFFFFF"/>
        </w:rPr>
        <w:t xml:space="preserve">Figure </w:t>
      </w:r>
      <w:r>
        <w:rPr>
          <w:rFonts w:hint="eastAsia" w:ascii="Times New Roman" w:hAnsi="Times New Roman" w:cs="Times New Roman"/>
          <w:b/>
          <w:bCs/>
          <w:color w:val="222222"/>
          <w:szCs w:val="21"/>
          <w:shd w:val="clear" w:color="auto" w:fill="FFFFFF"/>
          <w:lang w:val="en-US" w:eastAsia="zh-CN"/>
        </w:rPr>
        <w:t>S</w:t>
      </w:r>
      <w:r>
        <w:rPr>
          <w:rFonts w:hint="default" w:ascii="Times New Roman" w:hAnsi="Times New Roman" w:cs="Times New Roman"/>
          <w:b/>
          <w:bCs/>
          <w:color w:val="222222"/>
          <w:szCs w:val="21"/>
          <w:shd w:val="clear" w:color="auto" w:fill="FFFFFF"/>
        </w:rPr>
        <w:t>5. Expression of HLA-DR in EBV</w:t>
      </w:r>
      <w:r>
        <w:rPr>
          <w:rFonts w:hint="eastAsia" w:ascii="Times New Roman" w:hAnsi="Times New Roman" w:cs="Times New Roman"/>
          <w:b/>
          <w:bCs/>
          <w:color w:val="222222"/>
          <w:szCs w:val="21"/>
          <w:shd w:val="clear" w:color="auto" w:fill="FFFFFF"/>
          <w:lang w:val="en-US" w:eastAsia="zh-CN"/>
        </w:rPr>
        <w:t>-</w:t>
      </w:r>
      <w:r>
        <w:rPr>
          <w:rFonts w:hint="default" w:ascii="Times New Roman" w:hAnsi="Times New Roman" w:cs="Times New Roman"/>
          <w:b/>
          <w:bCs/>
          <w:color w:val="222222"/>
          <w:szCs w:val="21"/>
          <w:shd w:val="clear" w:color="auto" w:fill="FFFFFF"/>
        </w:rPr>
        <w:t>infected and EBV</w:t>
      </w:r>
      <w:r>
        <w:rPr>
          <w:rFonts w:hint="eastAsia" w:ascii="Times New Roman" w:hAnsi="Times New Roman" w:cs="Times New Roman"/>
          <w:b/>
          <w:bCs/>
          <w:color w:val="222222"/>
          <w:szCs w:val="21"/>
          <w:shd w:val="clear" w:color="auto" w:fill="FFFFFF"/>
          <w:lang w:val="en-US" w:eastAsia="zh-CN"/>
        </w:rPr>
        <w:t>-</w:t>
      </w:r>
      <w:r>
        <w:rPr>
          <w:rFonts w:hint="default" w:ascii="Times New Roman" w:hAnsi="Times New Roman" w:cs="Times New Roman"/>
          <w:b/>
          <w:bCs/>
          <w:color w:val="222222"/>
          <w:szCs w:val="21"/>
          <w:shd w:val="clear" w:color="auto" w:fill="FFFFFF"/>
        </w:rPr>
        <w:t>noninfected cells by scRNA-seq. A</w:t>
      </w:r>
      <w:r>
        <w:rPr>
          <w:rFonts w:hint="eastAsia" w:ascii="Times New Roman" w:hAnsi="Times New Roman" w:cs="Times New Roman"/>
          <w:b/>
          <w:bCs/>
          <w:color w:val="222222"/>
          <w:szCs w:val="21"/>
          <w:shd w:val="clear" w:color="auto" w:fill="FFFFFF"/>
          <w:lang w:val="en-US" w:eastAsia="zh-CN"/>
        </w:rPr>
        <w:t>.</w:t>
      </w:r>
      <w:r>
        <w:rPr>
          <w:rFonts w:hint="default" w:ascii="Times New Roman" w:hAnsi="Times New Roman" w:cs="Times New Roman"/>
          <w:color w:val="222222"/>
          <w:szCs w:val="21"/>
          <w:shd w:val="clear" w:color="auto" w:fill="FFFFFF"/>
        </w:rPr>
        <w:t xml:space="preserve"> Comparison of HLA-DRA gene expression between EBV infected and non-EBV infected </w:t>
      </w:r>
      <w:r>
        <w:rPr>
          <w:rFonts w:hint="default" w:ascii="Times New Roman" w:hAnsi="Times New Roman" w:cs="Times New Roman"/>
          <w:szCs w:val="21"/>
        </w:rPr>
        <w:t xml:space="preserve">NKT-1, NK-3, NK-7, and NKT-11 clusters. </w:t>
      </w:r>
    </w:p>
    <w:p>
      <w:pPr>
        <w:widowControl/>
        <w:rPr>
          <w:rFonts w:hint="default" w:ascii="Times New Roman" w:hAnsi="Times New Roman" w:cs="Times New Roman"/>
          <w:color w:val="222222"/>
          <w:szCs w:val="21"/>
          <w:shd w:val="clear" w:color="auto" w:fill="FFFFFF"/>
        </w:rPr>
      </w:pPr>
      <w:r>
        <w:rPr>
          <w:rFonts w:hint="default" w:ascii="Times New Roman" w:hAnsi="Times New Roman" w:cs="Times New Roman"/>
          <w:b/>
          <w:bCs/>
          <w:szCs w:val="21"/>
        </w:rPr>
        <w:t>B</w:t>
      </w: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.</w:t>
      </w:r>
      <w:r>
        <w:rPr>
          <w:rFonts w:hint="default" w:ascii="Times New Roman" w:hAnsi="Times New Roman" w:cs="Times New Roman"/>
          <w:szCs w:val="21"/>
        </w:rPr>
        <w:t xml:space="preserve"> Expression of HLA-DRB1 gene in </w:t>
      </w:r>
      <w:r>
        <w:rPr>
          <w:rFonts w:hint="default" w:ascii="Times New Roman" w:hAnsi="Times New Roman" w:cs="Times New Roman"/>
          <w:color w:val="222222"/>
          <w:szCs w:val="21"/>
          <w:shd w:val="clear" w:color="auto" w:fill="FFFFFF"/>
        </w:rPr>
        <w:t xml:space="preserve">EBV infected and non-EBV infected </w:t>
      </w:r>
      <w:r>
        <w:rPr>
          <w:rFonts w:hint="default" w:ascii="Times New Roman" w:hAnsi="Times New Roman" w:cs="Times New Roman"/>
          <w:szCs w:val="21"/>
        </w:rPr>
        <w:t>NKT-1, NK-3, NK-7, and NKT-11 clusters.</w:t>
      </w:r>
      <w:r>
        <w:rPr>
          <w:rFonts w:hint="default" w:ascii="Times New Roman" w:hAnsi="Times New Roman" w:cs="Times New Roman"/>
          <w:color w:val="222222"/>
          <w:szCs w:val="21"/>
          <w:shd w:val="clear" w:color="auto" w:fill="FFFFFF"/>
        </w:rPr>
        <w:t xml:space="preserve"> ns, not significant; *P &lt; 0.05. </w:t>
      </w:r>
    </w:p>
    <w:p>
      <w:pPr>
        <w:spacing w:line="360" w:lineRule="auto"/>
        <w:jc w:val="both"/>
        <w:rPr>
          <w:rFonts w:hint="default" w:ascii="Times New Roman" w:hAnsi="Times New Roman" w:cs="Times New Roman"/>
          <w:b/>
          <w:bCs/>
          <w:color w:val="222222"/>
          <w:sz w:val="24"/>
          <w:shd w:val="clear" w:color="auto" w:fill="FFFFFF"/>
        </w:rPr>
      </w:pPr>
    </w:p>
    <w:p>
      <w:pPr>
        <w:spacing w:line="360" w:lineRule="auto"/>
        <w:rPr>
          <w:rFonts w:hint="default" w:ascii="Times New Roman" w:hAnsi="Times New Roman" w:cs="Times New Roman"/>
          <w:b/>
          <w:bCs/>
          <w:color w:val="222222"/>
          <w:sz w:val="24"/>
          <w:shd w:val="clear" w:color="auto" w:fill="FFFFFF"/>
        </w:rPr>
      </w:pPr>
    </w:p>
    <w:p>
      <w:pPr>
        <w:spacing w:line="360" w:lineRule="auto"/>
        <w:jc w:val="center"/>
        <w:rPr>
          <w:rFonts w:hint="default" w:ascii="Times New Roman" w:hAnsi="Times New Roman" w:cs="Times New Roman"/>
          <w:b/>
          <w:bCs/>
          <w:color w:val="222222"/>
          <w:sz w:val="24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hideSpellingErrors/>
  <w:hideGrammaticalError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Y1NTc3MrEwsjAwMDRV0lEKTi0uzszPAykwqgUAjKSPhSwAAAA="/>
    <w:docVar w:name="commondata" w:val="eyJoZGlkIjoiNTAxZDUzYzA4NzY0MDJiOTVkMTZhNTVlYzUxNjcyMmUifQ=="/>
  </w:docVars>
  <w:rsids>
    <w:rsidRoot w:val="35A6776D"/>
    <w:rsid w:val="00035DEE"/>
    <w:rsid w:val="0055417C"/>
    <w:rsid w:val="00826334"/>
    <w:rsid w:val="009F27BF"/>
    <w:rsid w:val="00AD119A"/>
    <w:rsid w:val="00C9669D"/>
    <w:rsid w:val="00CD3A36"/>
    <w:rsid w:val="00EF50CD"/>
    <w:rsid w:val="017C36A0"/>
    <w:rsid w:val="2F76276A"/>
    <w:rsid w:val="31EB61CD"/>
    <w:rsid w:val="35A6776D"/>
    <w:rsid w:val="4172417D"/>
    <w:rsid w:val="4E8A1042"/>
    <w:rsid w:val="50E64A98"/>
    <w:rsid w:val="5DE5460E"/>
    <w:rsid w:val="5E276B3C"/>
    <w:rsid w:val="6C8D3255"/>
    <w:rsid w:val="6F1544DD"/>
    <w:rsid w:val="71237526"/>
    <w:rsid w:val="7F4C2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rPr>
      <w:sz w:val="24"/>
    </w:rPr>
  </w:style>
  <w:style w:type="character" w:customStyle="1" w:styleId="7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9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590</Words>
  <Characters>3366</Characters>
  <Lines>28</Lines>
  <Paragraphs>7</Paragraphs>
  <TotalTime>3</TotalTime>
  <ScaleCrop>false</ScaleCrop>
  <LinksUpToDate>false</LinksUpToDate>
  <CharactersWithSpaces>3949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2022-07-29T01:46:00Z</dcterms:created>
  <dc:creator>婷婷</dc:creator>
  <cp:lastModifiedBy>婷婷</cp:lastModifiedBy>
  <dcterms:modified xsi:type="dcterms:W3CDTF">2022-08-17T01:53:43Z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C489FFC355954E51B5007225FA24016B</vt:lpwstr>
  </property>
</Properties>
</file>