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E89FFA" w14:textId="77777777" w:rsidR="00BF7749" w:rsidRDefault="00BF7749" w:rsidP="00BF7749">
      <w:pPr>
        <w:spacing w:line="480" w:lineRule="auto"/>
        <w:jc w:val="center"/>
        <w:rPr>
          <w:rFonts w:ascii="Arial" w:hAnsi="Arial" w:cs="Arial"/>
          <w:sz w:val="28"/>
          <w:szCs w:val="28"/>
        </w:rPr>
      </w:pPr>
      <w:r>
        <w:rPr>
          <w:rFonts w:ascii="Arial" w:hAnsi="Arial" w:cs="Arial"/>
          <w:sz w:val="28"/>
          <w:szCs w:val="28"/>
        </w:rPr>
        <w:t>Supplementary Data</w:t>
      </w:r>
    </w:p>
    <w:p w14:paraId="264E3CB9" w14:textId="77777777" w:rsidR="00BF7749" w:rsidRPr="00335870" w:rsidRDefault="00BF7749" w:rsidP="00BF7749">
      <w:pPr>
        <w:spacing w:line="480" w:lineRule="auto"/>
        <w:rPr>
          <w:rFonts w:ascii="Arial" w:hAnsi="Arial" w:cs="Arial"/>
          <w:sz w:val="28"/>
          <w:szCs w:val="28"/>
          <w:lang w:val="en-IE"/>
        </w:rPr>
      </w:pPr>
      <w:r>
        <w:rPr>
          <w:rFonts w:ascii="Arial" w:hAnsi="Arial" w:cs="Arial"/>
          <w:sz w:val="28"/>
          <w:szCs w:val="28"/>
        </w:rPr>
        <w:t xml:space="preserve">Genetic deletion of </w:t>
      </w:r>
      <w:r w:rsidRPr="00335870">
        <w:rPr>
          <w:rFonts w:ascii="Arial" w:hAnsi="Arial" w:cs="Arial"/>
          <w:sz w:val="28"/>
          <w:szCs w:val="28"/>
        </w:rPr>
        <w:t>microRNA-22 blunts the inflammatory transcriptional response to status epile</w:t>
      </w:r>
      <w:r>
        <w:rPr>
          <w:rFonts w:ascii="Arial" w:hAnsi="Arial" w:cs="Arial"/>
          <w:sz w:val="28"/>
          <w:szCs w:val="28"/>
        </w:rPr>
        <w:t>p</w:t>
      </w:r>
      <w:r w:rsidRPr="00335870">
        <w:rPr>
          <w:rFonts w:ascii="Arial" w:hAnsi="Arial" w:cs="Arial"/>
          <w:sz w:val="28"/>
          <w:szCs w:val="28"/>
        </w:rPr>
        <w:t>ticus and exacerbates epilepsy in mice</w:t>
      </w:r>
    </w:p>
    <w:p w14:paraId="227C4546" w14:textId="77777777" w:rsidR="00BF7749" w:rsidRPr="00335870" w:rsidRDefault="00BF7749" w:rsidP="00BF7749">
      <w:pPr>
        <w:spacing w:line="480" w:lineRule="auto"/>
        <w:jc w:val="both"/>
        <w:rPr>
          <w:rFonts w:ascii="Arial" w:hAnsi="Arial" w:cs="Arial"/>
          <w:sz w:val="24"/>
          <w:szCs w:val="24"/>
          <w:vertAlign w:val="superscript"/>
          <w:lang w:val="en-IE"/>
        </w:rPr>
      </w:pPr>
      <w:r w:rsidRPr="00335870">
        <w:rPr>
          <w:rFonts w:ascii="Arial" w:hAnsi="Arial" w:cs="Arial"/>
          <w:i/>
          <w:sz w:val="24"/>
          <w:szCs w:val="24"/>
          <w:lang w:val="en-IE"/>
        </w:rPr>
        <w:t xml:space="preserve">Authors: </w:t>
      </w:r>
      <w:r w:rsidR="00CD59C8" w:rsidRPr="00335870">
        <w:rPr>
          <w:rFonts w:ascii="Arial" w:hAnsi="Arial" w:cs="Arial"/>
          <w:sz w:val="24"/>
          <w:szCs w:val="24"/>
          <w:lang w:val="en-IE"/>
        </w:rPr>
        <w:t>Luiz F. Almeida Silva, Cristina R. Reschke, Ngoc T</w:t>
      </w:r>
      <w:r w:rsidR="00CD59C8">
        <w:rPr>
          <w:rFonts w:ascii="Arial" w:hAnsi="Arial" w:cs="Arial"/>
          <w:sz w:val="24"/>
          <w:szCs w:val="24"/>
          <w:lang w:val="en-IE"/>
        </w:rPr>
        <w:t>.</w:t>
      </w:r>
      <w:r w:rsidR="00CD59C8" w:rsidRPr="00335870">
        <w:rPr>
          <w:rFonts w:ascii="Arial" w:hAnsi="Arial" w:cs="Arial"/>
          <w:sz w:val="24"/>
          <w:szCs w:val="24"/>
          <w:lang w:val="en-IE"/>
        </w:rPr>
        <w:t xml:space="preserve"> Nguyen, Elena Langa, Amaya Sanz Rodriguez, </w:t>
      </w:r>
      <w:r w:rsidR="00CD59C8" w:rsidRPr="00B87614">
        <w:rPr>
          <w:rFonts w:ascii="Arial" w:hAnsi="Arial" w:cs="Arial"/>
          <w:bCs/>
          <w:sz w:val="24"/>
          <w:szCs w:val="24"/>
        </w:rPr>
        <w:t>Mayara L. de Freitas, Fernanda R. Temp,</w:t>
      </w:r>
      <w:r w:rsidR="00CD59C8">
        <w:rPr>
          <w:rFonts w:ascii="Arial" w:hAnsi="Arial" w:cs="Arial"/>
          <w:b/>
          <w:bCs/>
        </w:rPr>
        <w:t xml:space="preserve"> </w:t>
      </w:r>
      <w:r w:rsidR="00CD59C8">
        <w:rPr>
          <w:rFonts w:ascii="Arial" w:hAnsi="Arial" w:cs="Arial"/>
          <w:sz w:val="24"/>
          <w:szCs w:val="24"/>
          <w:lang w:val="en-IE"/>
        </w:rPr>
        <w:t xml:space="preserve">Ronan M. Conroy, Gary P. Brennan, </w:t>
      </w:r>
      <w:r w:rsidR="00CD59C8" w:rsidRPr="00335870">
        <w:rPr>
          <w:rFonts w:ascii="Arial" w:hAnsi="Arial" w:cs="Arial"/>
          <w:sz w:val="24"/>
          <w:szCs w:val="24"/>
          <w:lang w:val="en-IE"/>
        </w:rPr>
        <w:t>Tobias Engel</w:t>
      </w:r>
      <w:r w:rsidR="00CD59C8">
        <w:rPr>
          <w:rFonts w:ascii="Arial" w:hAnsi="Arial" w:cs="Arial"/>
          <w:sz w:val="24"/>
          <w:szCs w:val="24"/>
          <w:lang w:val="en-IE"/>
        </w:rPr>
        <w:t xml:space="preserve">, </w:t>
      </w:r>
      <w:r w:rsidR="00CD59C8" w:rsidRPr="00335870">
        <w:rPr>
          <w:rFonts w:ascii="Arial" w:hAnsi="Arial" w:cs="Arial"/>
          <w:sz w:val="24"/>
          <w:szCs w:val="24"/>
          <w:lang w:val="en-IE"/>
        </w:rPr>
        <w:t>and David C. Henshall</w:t>
      </w:r>
    </w:p>
    <w:p w14:paraId="147A4D86" w14:textId="77777777" w:rsidR="009745B7" w:rsidRDefault="009745B7"/>
    <w:p w14:paraId="32FCBEE9" w14:textId="77777777" w:rsidR="00BF7749" w:rsidRDefault="00BF7749">
      <w:r>
        <w:br w:type="page"/>
      </w:r>
    </w:p>
    <w:p w14:paraId="2534B116" w14:textId="3885F15E" w:rsidR="00BF7749" w:rsidRDefault="00BD6842">
      <w:r>
        <w:rPr>
          <w:noProof/>
        </w:rPr>
        <w:lastRenderedPageBreak/>
        <w:drawing>
          <wp:inline distT="0" distB="0" distL="0" distR="0" wp14:anchorId="05898203" wp14:editId="6592FE67">
            <wp:extent cx="5943600" cy="3554095"/>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 data_Fig S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554095"/>
                    </a:xfrm>
                    <a:prstGeom prst="rect">
                      <a:avLst/>
                    </a:prstGeom>
                  </pic:spPr>
                </pic:pic>
              </a:graphicData>
            </a:graphic>
          </wp:inline>
        </w:drawing>
      </w:r>
    </w:p>
    <w:p w14:paraId="717A548F" w14:textId="77777777" w:rsidR="001B48F2" w:rsidRDefault="001B48F2" w:rsidP="001B48F2">
      <w:pPr>
        <w:spacing w:line="480" w:lineRule="auto"/>
        <w:jc w:val="both"/>
        <w:rPr>
          <w:rFonts w:ascii="Arial" w:hAnsi="Arial" w:cs="Arial"/>
          <w:b/>
          <w:sz w:val="24"/>
          <w:lang w:val="en-IE"/>
        </w:rPr>
      </w:pPr>
    </w:p>
    <w:p w14:paraId="7D0ADB4C" w14:textId="519500FE" w:rsidR="001B48F2" w:rsidRDefault="001B48F2" w:rsidP="001B48F2">
      <w:pPr>
        <w:spacing w:line="480" w:lineRule="auto"/>
        <w:jc w:val="both"/>
        <w:rPr>
          <w:rFonts w:ascii="Arial" w:hAnsi="Arial" w:cs="Arial"/>
          <w:lang w:val="en-IE"/>
        </w:rPr>
      </w:pPr>
      <w:r>
        <w:rPr>
          <w:rFonts w:ascii="Arial" w:hAnsi="Arial" w:cs="Arial"/>
          <w:b/>
          <w:sz w:val="24"/>
          <w:lang w:val="en-IE"/>
        </w:rPr>
        <w:t xml:space="preserve">Supplementary Data </w:t>
      </w:r>
      <w:r w:rsidRPr="00702DE2">
        <w:rPr>
          <w:rFonts w:ascii="Arial" w:hAnsi="Arial" w:cs="Arial"/>
          <w:b/>
          <w:sz w:val="24"/>
          <w:lang w:val="en-IE"/>
        </w:rPr>
        <w:t xml:space="preserve">Figure </w:t>
      </w:r>
      <w:r>
        <w:rPr>
          <w:rFonts w:ascii="Arial" w:hAnsi="Arial" w:cs="Arial"/>
          <w:b/>
          <w:sz w:val="24"/>
          <w:lang w:val="en-IE"/>
        </w:rPr>
        <w:t>S</w:t>
      </w:r>
      <w:r w:rsidRPr="00702DE2">
        <w:rPr>
          <w:rFonts w:ascii="Arial" w:hAnsi="Arial" w:cs="Arial"/>
          <w:b/>
          <w:sz w:val="24"/>
          <w:lang w:val="en-IE"/>
        </w:rPr>
        <w:t>1</w:t>
      </w:r>
      <w:r>
        <w:rPr>
          <w:rFonts w:ascii="Arial" w:hAnsi="Arial" w:cs="Arial"/>
          <w:b/>
          <w:sz w:val="24"/>
          <w:lang w:val="en-IE"/>
        </w:rPr>
        <w:t>.</w:t>
      </w:r>
      <w:r w:rsidRPr="00702DE2">
        <w:rPr>
          <w:rFonts w:ascii="Arial" w:hAnsi="Arial" w:cs="Arial"/>
          <w:lang w:val="en-IE"/>
        </w:rPr>
        <w:t xml:space="preserve"> </w:t>
      </w:r>
      <w:r w:rsidRPr="00A75729">
        <w:rPr>
          <w:rFonts w:ascii="Arial" w:hAnsi="Arial" w:cs="Arial"/>
          <w:i/>
          <w:lang w:val="en-IE"/>
        </w:rPr>
        <w:t xml:space="preserve">miRNA expression in </w:t>
      </w:r>
      <w:r w:rsidR="005F7BF5">
        <w:rPr>
          <w:rFonts w:ascii="Arial" w:hAnsi="Arial" w:cs="Arial"/>
          <w:i/>
          <w:lang w:val="en-IE"/>
        </w:rPr>
        <w:t xml:space="preserve">the hippocampus of </w:t>
      </w:r>
      <w:r w:rsidR="00BD6842">
        <w:rPr>
          <w:rFonts w:ascii="Arial" w:hAnsi="Arial" w:cs="Arial"/>
          <w:i/>
          <w:lang w:val="en-IE"/>
        </w:rPr>
        <w:t xml:space="preserve">naïve </w:t>
      </w:r>
      <w:r w:rsidRPr="00A75729">
        <w:rPr>
          <w:rFonts w:ascii="Arial" w:hAnsi="Arial" w:cs="Arial"/>
          <w:i/>
          <w:lang w:val="en-IE"/>
        </w:rPr>
        <w:t xml:space="preserve">miR-22-deficient mice. </w:t>
      </w:r>
      <w:r w:rsidR="005025EE">
        <w:rPr>
          <w:rFonts w:ascii="Arial" w:hAnsi="Arial" w:cs="Arial"/>
          <w:lang w:val="en-IE"/>
        </w:rPr>
        <w:t xml:space="preserve">(A) </w:t>
      </w:r>
      <w:r w:rsidR="005025EE" w:rsidRPr="009143F0">
        <w:rPr>
          <w:rFonts w:ascii="Arial" w:hAnsi="Arial" w:cs="Arial"/>
          <w:lang w:val="en-IE"/>
        </w:rPr>
        <w:t xml:space="preserve">Graph </w:t>
      </w:r>
      <w:r w:rsidR="005025EE">
        <w:rPr>
          <w:rFonts w:ascii="Arial" w:hAnsi="Arial" w:cs="Arial"/>
          <w:lang w:val="en-IE"/>
        </w:rPr>
        <w:t>shows relative expression of miR-146a in three month</w:t>
      </w:r>
      <w:r w:rsidR="00197DB4">
        <w:rPr>
          <w:rFonts w:ascii="Arial" w:hAnsi="Arial" w:cs="Arial"/>
          <w:lang w:val="en-IE"/>
        </w:rPr>
        <w:t>s</w:t>
      </w:r>
      <w:r w:rsidR="005025EE">
        <w:rPr>
          <w:rFonts w:ascii="Arial" w:hAnsi="Arial" w:cs="Arial"/>
          <w:lang w:val="en-IE"/>
        </w:rPr>
        <w:t xml:space="preserve"> old miR-22 mutant mice</w:t>
      </w:r>
      <w:r w:rsidR="003050DF">
        <w:rPr>
          <w:rFonts w:ascii="Arial" w:hAnsi="Arial" w:cs="Arial"/>
          <w:lang w:val="en-IE"/>
        </w:rPr>
        <w:t xml:space="preserve"> (</w:t>
      </w:r>
      <w:r w:rsidR="003050DF" w:rsidRPr="003050DF">
        <w:rPr>
          <w:rFonts w:ascii="Arial" w:hAnsi="Arial" w:cs="Arial"/>
          <w:i/>
          <w:lang w:val="en-IE"/>
        </w:rPr>
        <w:t>n</w:t>
      </w:r>
      <w:r w:rsidR="003050DF">
        <w:rPr>
          <w:rFonts w:ascii="Arial" w:hAnsi="Arial" w:cs="Arial"/>
          <w:lang w:val="en-IE"/>
        </w:rPr>
        <w:t xml:space="preserve"> = 6/group; 3 males and 3 females)</w:t>
      </w:r>
      <w:r w:rsidR="005025EE">
        <w:rPr>
          <w:rFonts w:ascii="Arial" w:hAnsi="Arial" w:cs="Arial"/>
          <w:lang w:val="en-IE"/>
        </w:rPr>
        <w:t xml:space="preserve">. </w:t>
      </w:r>
      <w:r w:rsidR="005025EE">
        <w:rPr>
          <w:rFonts w:ascii="Arial" w:hAnsi="Arial" w:cs="Arial"/>
          <w:lang w:val="en-IE"/>
        </w:rPr>
        <w:t xml:space="preserve">(B-G). </w:t>
      </w:r>
      <w:r w:rsidRPr="009143F0">
        <w:rPr>
          <w:rFonts w:ascii="Arial" w:hAnsi="Arial" w:cs="Arial"/>
          <w:lang w:val="en-IE"/>
        </w:rPr>
        <w:t>Graph</w:t>
      </w:r>
      <w:r>
        <w:rPr>
          <w:rFonts w:ascii="Arial" w:hAnsi="Arial" w:cs="Arial"/>
          <w:lang w:val="en-IE"/>
        </w:rPr>
        <w:t>s</w:t>
      </w:r>
      <w:r w:rsidRPr="009143F0">
        <w:rPr>
          <w:rFonts w:ascii="Arial" w:hAnsi="Arial" w:cs="Arial"/>
          <w:lang w:val="en-IE"/>
        </w:rPr>
        <w:t xml:space="preserve"> </w:t>
      </w:r>
      <w:r>
        <w:rPr>
          <w:rFonts w:ascii="Arial" w:hAnsi="Arial" w:cs="Arial"/>
          <w:lang w:val="en-IE"/>
        </w:rPr>
        <w:t>show relative expression of a selection of brain cell type-enriched miRNAs in miR-22 mutant mice at nine months of age. E</w:t>
      </w:r>
      <w:r w:rsidRPr="009143F0">
        <w:rPr>
          <w:rFonts w:ascii="Arial" w:hAnsi="Arial" w:cs="Arial"/>
          <w:lang w:val="en-IE"/>
        </w:rPr>
        <w:t xml:space="preserve">xpression of neuron-enriched miRNAs </w:t>
      </w:r>
      <w:r>
        <w:rPr>
          <w:rFonts w:ascii="Arial" w:hAnsi="Arial" w:cs="Arial"/>
          <w:lang w:val="en-IE"/>
        </w:rPr>
        <w:t>(</w:t>
      </w:r>
      <w:r w:rsidRPr="009143F0">
        <w:rPr>
          <w:rFonts w:ascii="Arial" w:hAnsi="Arial" w:cs="Arial"/>
          <w:lang w:val="en-IE"/>
        </w:rPr>
        <w:t>miR-124a and -134</w:t>
      </w:r>
      <w:r>
        <w:rPr>
          <w:rFonts w:ascii="Arial" w:hAnsi="Arial" w:cs="Arial"/>
          <w:lang w:val="en-IE"/>
        </w:rPr>
        <w:t xml:space="preserve">), </w:t>
      </w:r>
      <w:r w:rsidR="00D651DB">
        <w:rPr>
          <w:rFonts w:ascii="Arial" w:hAnsi="Arial" w:cs="Arial"/>
          <w:lang w:val="en-IE"/>
        </w:rPr>
        <w:t>(</w:t>
      </w:r>
      <w:r>
        <w:rPr>
          <w:rFonts w:ascii="Arial" w:hAnsi="Arial" w:cs="Arial"/>
          <w:lang w:val="en-IE"/>
        </w:rPr>
        <w:t>microglial (miR-150, miR-342) and astrocyte</w:t>
      </w:r>
      <w:r w:rsidRPr="009143F0">
        <w:rPr>
          <w:rFonts w:ascii="Arial" w:hAnsi="Arial" w:cs="Arial"/>
          <w:lang w:val="en-IE"/>
        </w:rPr>
        <w:t xml:space="preserve"> </w:t>
      </w:r>
      <w:r>
        <w:rPr>
          <w:rFonts w:ascii="Arial" w:hAnsi="Arial" w:cs="Arial"/>
          <w:lang w:val="en-IE"/>
        </w:rPr>
        <w:t xml:space="preserve">(miR-146a, miR-29a) </w:t>
      </w:r>
      <w:r w:rsidRPr="009143F0">
        <w:rPr>
          <w:rFonts w:ascii="Arial" w:hAnsi="Arial" w:cs="Arial"/>
          <w:lang w:val="en-IE"/>
        </w:rPr>
        <w:t xml:space="preserve">were </w:t>
      </w:r>
      <w:r>
        <w:rPr>
          <w:rFonts w:ascii="Arial" w:hAnsi="Arial" w:cs="Arial"/>
          <w:lang w:val="en-IE"/>
        </w:rPr>
        <w:t>un</w:t>
      </w:r>
      <w:r w:rsidRPr="009143F0">
        <w:rPr>
          <w:rFonts w:ascii="Arial" w:hAnsi="Arial" w:cs="Arial"/>
          <w:lang w:val="en-IE"/>
        </w:rPr>
        <w:t>a</w:t>
      </w:r>
      <w:r>
        <w:rPr>
          <w:rFonts w:ascii="Arial" w:hAnsi="Arial" w:cs="Arial"/>
          <w:lang w:val="en-IE"/>
        </w:rPr>
        <w:t>ltered in</w:t>
      </w:r>
      <w:r w:rsidRPr="009143F0">
        <w:rPr>
          <w:rFonts w:ascii="Arial" w:hAnsi="Arial" w:cs="Arial"/>
          <w:lang w:val="en-IE"/>
        </w:rPr>
        <w:t xml:space="preserve"> </w:t>
      </w:r>
      <w:r>
        <w:rPr>
          <w:rFonts w:ascii="Arial" w:hAnsi="Arial" w:cs="Arial"/>
          <w:lang w:val="en-IE"/>
        </w:rPr>
        <w:t xml:space="preserve">older </w:t>
      </w:r>
      <w:r w:rsidRPr="009143F0">
        <w:rPr>
          <w:rFonts w:ascii="Arial" w:hAnsi="Arial" w:cs="Arial"/>
          <w:lang w:val="en-IE"/>
        </w:rPr>
        <w:t xml:space="preserve">miR-22 </w:t>
      </w:r>
      <w:r>
        <w:rPr>
          <w:rFonts w:ascii="Arial" w:hAnsi="Arial" w:cs="Arial"/>
          <w:lang w:val="en-IE"/>
        </w:rPr>
        <w:t>mutant mice</w:t>
      </w:r>
      <w:r w:rsidRPr="009143F0">
        <w:rPr>
          <w:rFonts w:ascii="Arial" w:hAnsi="Arial" w:cs="Arial"/>
          <w:lang w:val="en-IE"/>
        </w:rPr>
        <w:t xml:space="preserve"> (</w:t>
      </w:r>
      <w:r w:rsidRPr="00737346">
        <w:rPr>
          <w:rFonts w:ascii="Arial" w:hAnsi="Arial" w:cs="Arial"/>
          <w:i/>
          <w:lang w:val="en-IE"/>
        </w:rPr>
        <w:t>n</w:t>
      </w:r>
      <w:r>
        <w:rPr>
          <w:rFonts w:ascii="Arial" w:hAnsi="Arial" w:cs="Arial"/>
          <w:lang w:val="en-IE"/>
        </w:rPr>
        <w:t xml:space="preserve"> </w:t>
      </w:r>
      <w:r w:rsidRPr="009143F0">
        <w:rPr>
          <w:rFonts w:ascii="Arial" w:hAnsi="Arial" w:cs="Arial"/>
          <w:lang w:val="en-IE"/>
        </w:rPr>
        <w:t>=</w:t>
      </w:r>
      <w:r>
        <w:rPr>
          <w:rFonts w:ascii="Arial" w:hAnsi="Arial" w:cs="Arial"/>
          <w:lang w:val="en-IE"/>
        </w:rPr>
        <w:t xml:space="preserve"> </w:t>
      </w:r>
      <w:r w:rsidRPr="009143F0">
        <w:rPr>
          <w:rFonts w:ascii="Arial" w:hAnsi="Arial" w:cs="Arial"/>
          <w:lang w:val="en-IE"/>
        </w:rPr>
        <w:t xml:space="preserve">6/group; 3 males and 3 females). </w:t>
      </w:r>
    </w:p>
    <w:p w14:paraId="248BDB70" w14:textId="77777777" w:rsidR="00911942" w:rsidRDefault="00911942">
      <w:pPr>
        <w:rPr>
          <w:rFonts w:ascii="Arial" w:hAnsi="Arial" w:cs="Arial"/>
          <w:lang w:val="en-IE"/>
        </w:rPr>
      </w:pPr>
      <w:r>
        <w:rPr>
          <w:rFonts w:ascii="Arial" w:hAnsi="Arial" w:cs="Arial"/>
          <w:lang w:val="en-IE"/>
        </w:rPr>
        <w:br w:type="page"/>
      </w:r>
    </w:p>
    <w:p w14:paraId="246E0FA9" w14:textId="77777777" w:rsidR="00911942" w:rsidRDefault="002E0EED" w:rsidP="001B48F2">
      <w:pPr>
        <w:spacing w:line="480" w:lineRule="auto"/>
        <w:jc w:val="both"/>
        <w:rPr>
          <w:rFonts w:ascii="Arial" w:hAnsi="Arial" w:cs="Arial"/>
          <w:lang w:val="en-IE"/>
        </w:rPr>
      </w:pPr>
      <w:r>
        <w:rPr>
          <w:rFonts w:ascii="Arial" w:hAnsi="Arial" w:cs="Arial"/>
          <w:noProof/>
        </w:rPr>
        <w:lastRenderedPageBreak/>
        <w:drawing>
          <wp:inline distT="0" distB="0" distL="0" distR="0" wp14:anchorId="5847FDAF" wp14:editId="5CDC0B9F">
            <wp:extent cx="4785360" cy="153009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 data_Histology in naive miR-22 KO mice.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85360" cy="1530096"/>
                    </a:xfrm>
                    <a:prstGeom prst="rect">
                      <a:avLst/>
                    </a:prstGeom>
                  </pic:spPr>
                </pic:pic>
              </a:graphicData>
            </a:graphic>
          </wp:inline>
        </w:drawing>
      </w:r>
    </w:p>
    <w:p w14:paraId="2D5B942C" w14:textId="2EA33535" w:rsidR="002E0EED" w:rsidRDefault="00C90337" w:rsidP="001B48F2">
      <w:pPr>
        <w:spacing w:line="480" w:lineRule="auto"/>
        <w:jc w:val="both"/>
        <w:rPr>
          <w:rFonts w:ascii="Arial" w:hAnsi="Arial" w:cs="Arial"/>
          <w:lang w:val="en-IE"/>
        </w:rPr>
      </w:pPr>
      <w:r>
        <w:rPr>
          <w:rFonts w:ascii="Arial" w:hAnsi="Arial" w:cs="Arial"/>
          <w:b/>
          <w:lang w:val="en-IE"/>
        </w:rPr>
        <w:t>Supplementary Data Figure S2</w:t>
      </w:r>
      <w:r w:rsidRPr="00A75729">
        <w:rPr>
          <w:rFonts w:ascii="Arial" w:hAnsi="Arial" w:cs="Arial"/>
          <w:b/>
          <w:lang w:val="en-IE"/>
        </w:rPr>
        <w:t>.</w:t>
      </w:r>
      <w:r w:rsidRPr="00A75729">
        <w:rPr>
          <w:rFonts w:ascii="Arial" w:hAnsi="Arial" w:cs="Arial"/>
          <w:lang w:val="en-IE"/>
        </w:rPr>
        <w:t xml:space="preserve">  </w:t>
      </w:r>
      <w:r w:rsidRPr="00A75729">
        <w:rPr>
          <w:rFonts w:ascii="Arial" w:hAnsi="Arial" w:cs="Arial"/>
          <w:i/>
          <w:lang w:val="en-IE"/>
        </w:rPr>
        <w:t>Histological findings in naïve mice lacking miR-22.</w:t>
      </w:r>
      <w:r w:rsidRPr="00A75729">
        <w:rPr>
          <w:rFonts w:ascii="Arial" w:hAnsi="Arial" w:cs="Arial"/>
          <w:lang w:val="en-IE"/>
        </w:rPr>
        <w:t xml:space="preserve"> </w:t>
      </w:r>
      <w:r>
        <w:rPr>
          <w:rFonts w:ascii="Arial" w:hAnsi="Arial" w:cs="Arial"/>
          <w:lang w:val="en-IE"/>
        </w:rPr>
        <w:t xml:space="preserve">Graphs </w:t>
      </w:r>
      <w:r w:rsidRPr="00A75729">
        <w:rPr>
          <w:rFonts w:ascii="Arial" w:hAnsi="Arial" w:cs="Arial"/>
          <w:lang w:val="en-IE"/>
        </w:rPr>
        <w:t xml:space="preserve">showing </w:t>
      </w:r>
      <w:r>
        <w:rPr>
          <w:rFonts w:ascii="Arial" w:hAnsi="Arial" w:cs="Arial"/>
          <w:lang w:val="en-IE"/>
        </w:rPr>
        <w:t xml:space="preserve">counts of different cell types in the </w:t>
      </w:r>
      <w:r w:rsidRPr="00A75729">
        <w:rPr>
          <w:rFonts w:ascii="Arial" w:hAnsi="Arial" w:cs="Arial"/>
          <w:lang w:val="en-IE"/>
        </w:rPr>
        <w:t xml:space="preserve">hippocampus of </w:t>
      </w:r>
      <w:r w:rsidR="00D50EC9">
        <w:rPr>
          <w:rFonts w:ascii="Arial" w:hAnsi="Arial" w:cs="Arial"/>
          <w:lang w:val="en-IE"/>
        </w:rPr>
        <w:t>three month</w:t>
      </w:r>
      <w:r w:rsidR="00665069">
        <w:rPr>
          <w:rFonts w:ascii="Arial" w:hAnsi="Arial" w:cs="Arial"/>
          <w:lang w:val="en-IE"/>
        </w:rPr>
        <w:t>s</w:t>
      </w:r>
      <w:r w:rsidR="00D50EC9">
        <w:rPr>
          <w:rFonts w:ascii="Arial" w:hAnsi="Arial" w:cs="Arial"/>
          <w:lang w:val="en-IE"/>
        </w:rPr>
        <w:t xml:space="preserve"> old </w:t>
      </w:r>
      <w:r w:rsidRPr="00A75729">
        <w:rPr>
          <w:rFonts w:ascii="Arial" w:hAnsi="Arial" w:cs="Arial"/>
          <w:lang w:val="en-IE"/>
        </w:rPr>
        <w:t xml:space="preserve">wildtype </w:t>
      </w:r>
      <w:r>
        <w:rPr>
          <w:rFonts w:ascii="Arial" w:hAnsi="Arial" w:cs="Arial"/>
          <w:lang w:val="en-IE"/>
        </w:rPr>
        <w:t xml:space="preserve">(wt) </w:t>
      </w:r>
      <w:r w:rsidRPr="00A75729">
        <w:rPr>
          <w:rFonts w:ascii="Arial" w:hAnsi="Arial" w:cs="Arial"/>
          <w:lang w:val="en-IE"/>
        </w:rPr>
        <w:t>and miR-22-deficient mice</w:t>
      </w:r>
      <w:r w:rsidR="00737346">
        <w:rPr>
          <w:rFonts w:ascii="Arial" w:hAnsi="Arial" w:cs="Arial"/>
          <w:lang w:val="en-IE"/>
        </w:rPr>
        <w:t xml:space="preserve"> (</w:t>
      </w:r>
      <w:r w:rsidRPr="00737346">
        <w:rPr>
          <w:rFonts w:ascii="Arial" w:hAnsi="Arial" w:cs="Arial"/>
          <w:i/>
          <w:lang w:val="en-IE"/>
        </w:rPr>
        <w:t>n</w:t>
      </w:r>
      <w:r>
        <w:rPr>
          <w:rFonts w:ascii="Arial" w:hAnsi="Arial" w:cs="Arial"/>
          <w:lang w:val="en-IE"/>
        </w:rPr>
        <w:t xml:space="preserve"> = 6 per group)</w:t>
      </w:r>
      <w:r w:rsidRPr="00A75729">
        <w:rPr>
          <w:rFonts w:ascii="Arial" w:hAnsi="Arial" w:cs="Arial"/>
          <w:lang w:val="en-IE"/>
        </w:rPr>
        <w:t xml:space="preserve">. Sections were stained with markers of </w:t>
      </w:r>
      <w:r>
        <w:rPr>
          <w:rFonts w:ascii="Arial" w:hAnsi="Arial" w:cs="Arial"/>
          <w:lang w:val="en-IE"/>
        </w:rPr>
        <w:t>astrocytes (GFAP</w:t>
      </w:r>
      <w:r w:rsidRPr="00A75729">
        <w:rPr>
          <w:rFonts w:ascii="Arial" w:hAnsi="Arial" w:cs="Arial"/>
          <w:lang w:val="en-IE"/>
        </w:rPr>
        <w:t xml:space="preserve">), </w:t>
      </w:r>
      <w:r>
        <w:rPr>
          <w:rFonts w:ascii="Arial" w:hAnsi="Arial" w:cs="Arial"/>
          <w:lang w:val="en-IE"/>
        </w:rPr>
        <w:t>microglia (I</w:t>
      </w:r>
      <w:r w:rsidRPr="00A75729">
        <w:rPr>
          <w:rFonts w:ascii="Arial" w:hAnsi="Arial" w:cs="Arial"/>
          <w:lang w:val="en-IE"/>
        </w:rPr>
        <w:t xml:space="preserve">ba1) and </w:t>
      </w:r>
      <w:r>
        <w:rPr>
          <w:rFonts w:ascii="Arial" w:hAnsi="Arial" w:cs="Arial"/>
          <w:lang w:val="en-IE"/>
        </w:rPr>
        <w:t>interneurons (</w:t>
      </w:r>
      <w:r w:rsidRPr="00A75729">
        <w:rPr>
          <w:rFonts w:ascii="Arial" w:hAnsi="Arial" w:cs="Arial"/>
          <w:lang w:val="en-IE"/>
        </w:rPr>
        <w:t xml:space="preserve">parvalbumin). No differences </w:t>
      </w:r>
      <w:r w:rsidR="00197DB4">
        <w:rPr>
          <w:rFonts w:ascii="Arial" w:hAnsi="Arial" w:cs="Arial"/>
          <w:lang w:val="en-IE"/>
        </w:rPr>
        <w:t xml:space="preserve">in counts </w:t>
      </w:r>
      <w:r w:rsidRPr="00A75729">
        <w:rPr>
          <w:rFonts w:ascii="Arial" w:hAnsi="Arial" w:cs="Arial"/>
          <w:lang w:val="en-IE"/>
        </w:rPr>
        <w:t xml:space="preserve">were found for any </w:t>
      </w:r>
      <w:r>
        <w:rPr>
          <w:rFonts w:ascii="Arial" w:hAnsi="Arial" w:cs="Arial"/>
          <w:lang w:val="en-IE"/>
        </w:rPr>
        <w:t>cell type</w:t>
      </w:r>
      <w:r w:rsidRPr="00A75729">
        <w:rPr>
          <w:rFonts w:ascii="Arial" w:hAnsi="Arial" w:cs="Arial"/>
          <w:lang w:val="en-IE"/>
        </w:rPr>
        <w:t xml:space="preserve">.  </w:t>
      </w:r>
    </w:p>
    <w:p w14:paraId="2D50244B" w14:textId="7E206F92" w:rsidR="00E64644" w:rsidRDefault="00E64644">
      <w:pPr>
        <w:rPr>
          <w:rFonts w:ascii="Arial" w:hAnsi="Arial" w:cs="Arial"/>
          <w:lang w:val="en-IE"/>
        </w:rPr>
      </w:pPr>
      <w:r>
        <w:rPr>
          <w:rFonts w:ascii="Arial" w:hAnsi="Arial" w:cs="Arial"/>
          <w:lang w:val="en-IE"/>
        </w:rPr>
        <w:br w:type="page"/>
      </w:r>
      <w:r w:rsidR="00E17E18">
        <w:rPr>
          <w:rFonts w:ascii="Arial" w:hAnsi="Arial" w:cs="Arial"/>
          <w:noProof/>
        </w:rPr>
        <w:lastRenderedPageBreak/>
        <w:drawing>
          <wp:inline distT="0" distB="0" distL="0" distR="0" wp14:anchorId="3D65245B" wp14:editId="69EAD4C0">
            <wp:extent cx="5701472" cy="66389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 data_Histology in 9 mo miR-22 KO mice.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06419" cy="6644686"/>
                    </a:xfrm>
                    <a:prstGeom prst="rect">
                      <a:avLst/>
                    </a:prstGeom>
                  </pic:spPr>
                </pic:pic>
              </a:graphicData>
            </a:graphic>
          </wp:inline>
        </w:drawing>
      </w:r>
    </w:p>
    <w:p w14:paraId="768D0F95" w14:textId="261DC051" w:rsidR="00E64644" w:rsidRDefault="00E64644" w:rsidP="00E64644">
      <w:pPr>
        <w:spacing w:line="480" w:lineRule="auto"/>
        <w:jc w:val="both"/>
        <w:rPr>
          <w:rFonts w:ascii="Arial" w:hAnsi="Arial" w:cs="Arial"/>
          <w:lang w:val="en-IE"/>
        </w:rPr>
      </w:pPr>
      <w:r>
        <w:rPr>
          <w:rFonts w:ascii="Arial" w:hAnsi="Arial" w:cs="Arial"/>
          <w:b/>
          <w:lang w:val="en-IE"/>
        </w:rPr>
        <w:t>Supplementary Data Figure S3</w:t>
      </w:r>
      <w:r w:rsidRPr="00A75729">
        <w:rPr>
          <w:rFonts w:ascii="Arial" w:hAnsi="Arial" w:cs="Arial"/>
          <w:b/>
          <w:lang w:val="en-IE"/>
        </w:rPr>
        <w:t>.</w:t>
      </w:r>
      <w:r w:rsidRPr="00A75729">
        <w:rPr>
          <w:rFonts w:ascii="Arial" w:hAnsi="Arial" w:cs="Arial"/>
          <w:lang w:val="en-IE"/>
        </w:rPr>
        <w:t xml:space="preserve">  </w:t>
      </w:r>
      <w:r w:rsidRPr="00A75729">
        <w:rPr>
          <w:rFonts w:ascii="Arial" w:hAnsi="Arial" w:cs="Arial"/>
          <w:i/>
          <w:lang w:val="en-IE"/>
        </w:rPr>
        <w:t xml:space="preserve">Histological findings in </w:t>
      </w:r>
      <w:r>
        <w:rPr>
          <w:rFonts w:ascii="Arial" w:hAnsi="Arial" w:cs="Arial"/>
          <w:i/>
          <w:lang w:val="en-IE"/>
        </w:rPr>
        <w:t>nine month</w:t>
      </w:r>
      <w:r w:rsidR="00665069">
        <w:rPr>
          <w:rFonts w:ascii="Arial" w:hAnsi="Arial" w:cs="Arial"/>
          <w:i/>
          <w:lang w:val="en-IE"/>
        </w:rPr>
        <w:t>s</w:t>
      </w:r>
      <w:r>
        <w:rPr>
          <w:rFonts w:ascii="Arial" w:hAnsi="Arial" w:cs="Arial"/>
          <w:i/>
          <w:lang w:val="en-IE"/>
        </w:rPr>
        <w:t xml:space="preserve"> old </w:t>
      </w:r>
      <w:r w:rsidRPr="00A75729">
        <w:rPr>
          <w:rFonts w:ascii="Arial" w:hAnsi="Arial" w:cs="Arial"/>
          <w:i/>
          <w:lang w:val="en-IE"/>
        </w:rPr>
        <w:t>naïve mice lacking miR-22.</w:t>
      </w:r>
      <w:r w:rsidRPr="00A75729">
        <w:rPr>
          <w:rFonts w:ascii="Arial" w:hAnsi="Arial" w:cs="Arial"/>
          <w:lang w:val="en-IE"/>
        </w:rPr>
        <w:t xml:space="preserve"> Representative photomicrographs showing morphology of the hippocampus of </w:t>
      </w:r>
      <w:r>
        <w:rPr>
          <w:rFonts w:ascii="Arial" w:hAnsi="Arial" w:cs="Arial"/>
          <w:lang w:val="en-IE"/>
        </w:rPr>
        <w:t>nine month</w:t>
      </w:r>
      <w:r w:rsidR="00665069">
        <w:rPr>
          <w:rFonts w:ascii="Arial" w:hAnsi="Arial" w:cs="Arial"/>
          <w:lang w:val="en-IE"/>
        </w:rPr>
        <w:t>s</w:t>
      </w:r>
      <w:r>
        <w:rPr>
          <w:rFonts w:ascii="Arial" w:hAnsi="Arial" w:cs="Arial"/>
          <w:lang w:val="en-IE"/>
        </w:rPr>
        <w:t xml:space="preserve"> old </w:t>
      </w:r>
      <w:r w:rsidRPr="00A75729">
        <w:rPr>
          <w:rFonts w:ascii="Arial" w:hAnsi="Arial" w:cs="Arial"/>
          <w:lang w:val="en-IE"/>
        </w:rPr>
        <w:t xml:space="preserve">wildtype </w:t>
      </w:r>
      <w:r>
        <w:rPr>
          <w:rFonts w:ascii="Arial" w:hAnsi="Arial" w:cs="Arial"/>
          <w:lang w:val="en-IE"/>
        </w:rPr>
        <w:t xml:space="preserve">(wt) </w:t>
      </w:r>
      <w:r w:rsidRPr="00A75729">
        <w:rPr>
          <w:rFonts w:ascii="Arial" w:hAnsi="Arial" w:cs="Arial"/>
          <w:lang w:val="en-IE"/>
        </w:rPr>
        <w:t>and miR-22-deficient mice</w:t>
      </w:r>
      <w:r w:rsidR="00737346">
        <w:rPr>
          <w:rFonts w:ascii="Arial" w:hAnsi="Arial" w:cs="Arial"/>
          <w:lang w:val="en-IE"/>
        </w:rPr>
        <w:t xml:space="preserve"> (</w:t>
      </w:r>
      <w:r w:rsidRPr="00737346">
        <w:rPr>
          <w:rFonts w:ascii="Arial" w:hAnsi="Arial" w:cs="Arial"/>
          <w:i/>
          <w:lang w:val="en-IE"/>
        </w:rPr>
        <w:t>n</w:t>
      </w:r>
      <w:r>
        <w:rPr>
          <w:rFonts w:ascii="Arial" w:hAnsi="Arial" w:cs="Arial"/>
          <w:lang w:val="en-IE"/>
        </w:rPr>
        <w:t xml:space="preserve"> = 6 per group)</w:t>
      </w:r>
      <w:r w:rsidRPr="00A75729">
        <w:rPr>
          <w:rFonts w:ascii="Arial" w:hAnsi="Arial" w:cs="Arial"/>
          <w:lang w:val="en-IE"/>
        </w:rPr>
        <w:t xml:space="preserve">. Sections were stained with markers of nissl, </w:t>
      </w:r>
      <w:r>
        <w:rPr>
          <w:rFonts w:ascii="Arial" w:hAnsi="Arial" w:cs="Arial"/>
          <w:lang w:val="en-IE"/>
        </w:rPr>
        <w:t>N</w:t>
      </w:r>
      <w:r w:rsidRPr="00A75729">
        <w:rPr>
          <w:rFonts w:ascii="Arial" w:hAnsi="Arial" w:cs="Arial"/>
          <w:lang w:val="en-IE"/>
        </w:rPr>
        <w:t xml:space="preserve">euN (neurons), </w:t>
      </w:r>
      <w:r>
        <w:rPr>
          <w:rFonts w:ascii="Arial" w:hAnsi="Arial" w:cs="Arial"/>
          <w:lang w:val="en-IE"/>
        </w:rPr>
        <w:t>G</w:t>
      </w:r>
      <w:r w:rsidRPr="00A75729">
        <w:rPr>
          <w:rFonts w:ascii="Arial" w:hAnsi="Arial" w:cs="Arial"/>
          <w:lang w:val="en-IE"/>
        </w:rPr>
        <w:t>FAP (astrocytes), Iba1 (microglia) and parvalbumin (interneurons).</w:t>
      </w:r>
      <w:r w:rsidR="00F33611">
        <w:rPr>
          <w:rFonts w:ascii="Arial" w:hAnsi="Arial" w:cs="Arial"/>
          <w:lang w:val="en-IE"/>
        </w:rPr>
        <w:t xml:space="preserve">  Graphs (Left) depict counts of cells (n = 6 per group; no statistical differences).</w:t>
      </w:r>
    </w:p>
    <w:p w14:paraId="1C9BCC21" w14:textId="735C064F" w:rsidR="00DC0704" w:rsidRDefault="00665069">
      <w:pPr>
        <w:rPr>
          <w:rFonts w:ascii="Arial" w:hAnsi="Arial" w:cs="Arial"/>
          <w:lang w:val="en-IE"/>
        </w:rPr>
      </w:pPr>
      <w:r>
        <w:rPr>
          <w:noProof/>
          <w:sz w:val="16"/>
          <w:szCs w:val="16"/>
        </w:rPr>
        <w:lastRenderedPageBreak/>
        <w:drawing>
          <wp:inline distT="0" distB="0" distL="0" distR="0" wp14:anchorId="2C6AF9F7" wp14:editId="7D4CB9E6">
            <wp:extent cx="5525135" cy="8229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 data_Fig S4 Histology after acute SE in miR-22 KO mice.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25135" cy="8229600"/>
                    </a:xfrm>
                    <a:prstGeom prst="rect">
                      <a:avLst/>
                    </a:prstGeom>
                  </pic:spPr>
                </pic:pic>
              </a:graphicData>
            </a:graphic>
          </wp:inline>
        </w:drawing>
      </w:r>
    </w:p>
    <w:p w14:paraId="1FF2D15A" w14:textId="77777777" w:rsidR="00737346" w:rsidRDefault="00737346" w:rsidP="00DC0704">
      <w:pPr>
        <w:tabs>
          <w:tab w:val="left" w:pos="3390"/>
          <w:tab w:val="center" w:pos="4680"/>
        </w:tabs>
        <w:spacing w:line="480" w:lineRule="auto"/>
        <w:jc w:val="both"/>
        <w:rPr>
          <w:rFonts w:ascii="Arial" w:hAnsi="Arial" w:cs="Arial"/>
          <w:b/>
          <w:lang w:val="en-IE"/>
        </w:rPr>
      </w:pPr>
    </w:p>
    <w:p w14:paraId="4156287C" w14:textId="4DD1F5ED" w:rsidR="00DC0704" w:rsidRDefault="00DC0704" w:rsidP="00DC0704">
      <w:pPr>
        <w:tabs>
          <w:tab w:val="left" w:pos="3390"/>
          <w:tab w:val="center" w:pos="4680"/>
        </w:tabs>
        <w:spacing w:line="480" w:lineRule="auto"/>
        <w:jc w:val="both"/>
        <w:rPr>
          <w:rFonts w:ascii="Arial" w:hAnsi="Arial" w:cs="Arial"/>
          <w:lang w:val="en-IE"/>
        </w:rPr>
      </w:pPr>
      <w:r>
        <w:rPr>
          <w:rFonts w:ascii="Arial" w:hAnsi="Arial" w:cs="Arial"/>
          <w:b/>
          <w:lang w:val="en-IE"/>
        </w:rPr>
        <w:t>Supplementary Data Figure S4</w:t>
      </w:r>
      <w:r w:rsidR="00C126A1">
        <w:rPr>
          <w:rFonts w:ascii="Arial" w:hAnsi="Arial" w:cs="Arial"/>
          <w:b/>
          <w:lang w:val="en-IE"/>
        </w:rPr>
        <w:t xml:space="preserve"> (see above)</w:t>
      </w:r>
      <w:r>
        <w:rPr>
          <w:rFonts w:ascii="Arial" w:hAnsi="Arial" w:cs="Arial"/>
          <w:b/>
          <w:lang w:val="en-IE"/>
        </w:rPr>
        <w:t xml:space="preserve">. </w:t>
      </w:r>
      <w:r>
        <w:rPr>
          <w:rFonts w:ascii="Arial" w:hAnsi="Arial" w:cs="Arial"/>
          <w:i/>
          <w:lang w:val="en-IE"/>
        </w:rPr>
        <w:t xml:space="preserve">Acute histological </w:t>
      </w:r>
      <w:r w:rsidRPr="00A75729">
        <w:rPr>
          <w:rFonts w:ascii="Arial" w:hAnsi="Arial" w:cs="Arial"/>
          <w:i/>
          <w:lang w:val="en-IE"/>
        </w:rPr>
        <w:t>outcomes in miR-22-deficient mice</w:t>
      </w:r>
      <w:r>
        <w:rPr>
          <w:rFonts w:ascii="Arial" w:hAnsi="Arial" w:cs="Arial"/>
          <w:i/>
          <w:lang w:val="en-IE"/>
        </w:rPr>
        <w:t xml:space="preserve"> after status epilepticus</w:t>
      </w:r>
      <w:r>
        <w:rPr>
          <w:rFonts w:ascii="Arial" w:hAnsi="Arial" w:cs="Arial"/>
          <w:lang w:val="en-IE"/>
        </w:rPr>
        <w:t xml:space="preserve">. </w:t>
      </w:r>
      <w:r w:rsidR="00E91C22">
        <w:rPr>
          <w:rFonts w:ascii="Arial" w:hAnsi="Arial" w:cs="Arial"/>
          <w:lang w:val="en-IE"/>
        </w:rPr>
        <w:t xml:space="preserve">(A) </w:t>
      </w:r>
      <w:r w:rsidRPr="003475F5">
        <w:rPr>
          <w:rFonts w:ascii="Arial" w:hAnsi="Arial" w:cs="Arial"/>
          <w:lang w:val="en-IE"/>
        </w:rPr>
        <w:t>Graph</w:t>
      </w:r>
      <w:r w:rsidR="00E91C22">
        <w:rPr>
          <w:rFonts w:ascii="Arial" w:hAnsi="Arial" w:cs="Arial"/>
          <w:lang w:val="en-IE"/>
        </w:rPr>
        <w:t>s</w:t>
      </w:r>
      <w:r w:rsidRPr="003475F5">
        <w:rPr>
          <w:rFonts w:ascii="Arial" w:hAnsi="Arial" w:cs="Arial"/>
          <w:lang w:val="en-IE"/>
        </w:rPr>
        <w:t xml:space="preserve"> show</w:t>
      </w:r>
      <w:r w:rsidR="00E91C22">
        <w:rPr>
          <w:rFonts w:ascii="Arial" w:hAnsi="Arial" w:cs="Arial"/>
          <w:lang w:val="en-IE"/>
        </w:rPr>
        <w:t>s</w:t>
      </w:r>
      <w:r>
        <w:rPr>
          <w:rFonts w:ascii="Arial" w:hAnsi="Arial" w:cs="Arial"/>
          <w:lang w:val="en-IE"/>
        </w:rPr>
        <w:t xml:space="preserve"> </w:t>
      </w:r>
      <w:r w:rsidR="00E91C22">
        <w:rPr>
          <w:rFonts w:ascii="Arial" w:hAnsi="Arial" w:cs="Arial"/>
          <w:lang w:val="en-IE"/>
        </w:rPr>
        <w:t xml:space="preserve">counts of </w:t>
      </w:r>
      <w:r>
        <w:rPr>
          <w:rFonts w:ascii="Arial" w:hAnsi="Arial" w:cs="Arial"/>
          <w:lang w:val="en-IE"/>
        </w:rPr>
        <w:t>Fluorojade B</w:t>
      </w:r>
      <w:r w:rsidR="00737346">
        <w:rPr>
          <w:rFonts w:ascii="Arial" w:hAnsi="Arial" w:cs="Arial"/>
          <w:lang w:val="en-IE"/>
        </w:rPr>
        <w:t xml:space="preserve"> (FJB)</w:t>
      </w:r>
      <w:r w:rsidR="00E91C22">
        <w:rPr>
          <w:rFonts w:ascii="Arial" w:hAnsi="Arial" w:cs="Arial"/>
          <w:lang w:val="en-IE"/>
        </w:rPr>
        <w:t xml:space="preserve"> positive cells</w:t>
      </w:r>
      <w:r>
        <w:rPr>
          <w:rFonts w:ascii="Arial" w:hAnsi="Arial" w:cs="Arial"/>
          <w:lang w:val="en-IE"/>
        </w:rPr>
        <w:t xml:space="preserve">, a marker of neurodegeneration in the whole hippocampus (left) and subfields (right graphs), </w:t>
      </w:r>
      <w:r w:rsidR="00E91C22">
        <w:rPr>
          <w:rFonts w:ascii="Arial" w:hAnsi="Arial" w:cs="Arial"/>
          <w:lang w:val="en-IE"/>
        </w:rPr>
        <w:t xml:space="preserve">72 h after status epilepticus in each genotype. (B - D) Counts of (B) </w:t>
      </w:r>
      <w:r>
        <w:rPr>
          <w:rFonts w:ascii="Arial" w:hAnsi="Arial" w:cs="Arial"/>
          <w:lang w:val="en-IE"/>
        </w:rPr>
        <w:t>GFAP</w:t>
      </w:r>
      <w:r w:rsidR="00E91C22">
        <w:rPr>
          <w:rFonts w:ascii="Arial" w:hAnsi="Arial" w:cs="Arial"/>
          <w:lang w:val="en-IE"/>
        </w:rPr>
        <w:t>, (C) Iba1 and (D) parvalbumin posi</w:t>
      </w:r>
      <w:r w:rsidR="00E91C22">
        <w:rPr>
          <w:rFonts w:ascii="Arial" w:hAnsi="Arial" w:cs="Arial"/>
          <w:lang w:val="en-IE"/>
        </w:rPr>
        <w:t xml:space="preserve">tive cells in sections 72 h after status epilepticus. </w:t>
      </w:r>
      <w:r>
        <w:rPr>
          <w:rFonts w:ascii="Arial" w:hAnsi="Arial" w:cs="Arial"/>
          <w:lang w:val="en-IE"/>
        </w:rPr>
        <w:t xml:space="preserve"> </w:t>
      </w:r>
      <w:r w:rsidRPr="00737346">
        <w:rPr>
          <w:rFonts w:ascii="Arial" w:hAnsi="Arial" w:cs="Arial"/>
          <w:i/>
          <w:lang w:val="en-IE"/>
        </w:rPr>
        <w:t>n</w:t>
      </w:r>
      <w:r>
        <w:rPr>
          <w:rFonts w:ascii="Arial" w:hAnsi="Arial" w:cs="Arial"/>
          <w:lang w:val="en-IE"/>
        </w:rPr>
        <w:t xml:space="preserve"> = 7 – 10 per group. </w:t>
      </w:r>
      <w:r w:rsidR="00E91C22">
        <w:rPr>
          <w:rFonts w:ascii="Arial" w:hAnsi="Arial" w:cs="Arial"/>
          <w:lang w:val="en-IE"/>
        </w:rPr>
        <w:t>(E) Assessment of the amygdala in t</w:t>
      </w:r>
      <w:r w:rsidR="00E91C22">
        <w:rPr>
          <w:rFonts w:ascii="Arial" w:hAnsi="Arial" w:cs="Arial"/>
          <w:color w:val="201F1E"/>
          <w:bdr w:val="none" w:sz="0" w:space="0" w:color="auto" w:frame="1"/>
          <w:shd w:val="clear" w:color="auto" w:fill="FFFFFF"/>
          <w:lang w:val="en-IE"/>
        </w:rPr>
        <w:t>issue sections from each genotype after status epilepticus. Sections were stained for the neuronal marker (NeuN) and the total number of positive cells were counted within a 20X magnification field over the intraamygdala injection site (</w:t>
      </w:r>
      <w:r w:rsidR="00E91C22">
        <w:rPr>
          <w:rFonts w:ascii="Arial" w:hAnsi="Arial" w:cs="Arial"/>
          <w:i/>
          <w:iCs/>
          <w:color w:val="201F1E"/>
          <w:bdr w:val="none" w:sz="0" w:space="0" w:color="auto" w:frame="1"/>
          <w:shd w:val="clear" w:color="auto" w:fill="FFFFFF"/>
          <w:lang w:val="en-IE"/>
        </w:rPr>
        <w:t>n</w:t>
      </w:r>
      <w:r w:rsidR="00E91C22">
        <w:rPr>
          <w:rFonts w:ascii="Arial" w:hAnsi="Arial" w:cs="Arial"/>
          <w:color w:val="201F1E"/>
          <w:bdr w:val="none" w:sz="0" w:space="0" w:color="auto" w:frame="1"/>
          <w:shd w:val="clear" w:color="auto" w:fill="FFFFFF"/>
          <w:lang w:val="en-IE"/>
        </w:rPr>
        <w:t xml:space="preserve"> = 4 - 6 per group). </w:t>
      </w:r>
      <w:r w:rsidR="00457209">
        <w:rPr>
          <w:rFonts w:ascii="Arial" w:hAnsi="Arial" w:cs="Arial"/>
          <w:color w:val="201F1E"/>
          <w:bdr w:val="none" w:sz="0" w:space="0" w:color="auto" w:frame="1"/>
          <w:shd w:val="clear" w:color="auto" w:fill="FFFFFF"/>
          <w:lang w:val="en-IE"/>
        </w:rPr>
        <w:t xml:space="preserve">Bar, 75 µm. </w:t>
      </w:r>
      <w:bookmarkStart w:id="0" w:name="_GoBack"/>
      <w:bookmarkEnd w:id="0"/>
      <w:r>
        <w:rPr>
          <w:rFonts w:ascii="Arial" w:hAnsi="Arial" w:cs="Arial"/>
          <w:lang w:val="en-IE"/>
        </w:rPr>
        <w:t xml:space="preserve">There were no differences in acute neuronal loss, astrogliosis, </w:t>
      </w:r>
      <w:r w:rsidR="0081632C">
        <w:rPr>
          <w:rFonts w:ascii="Arial" w:hAnsi="Arial" w:cs="Arial"/>
          <w:lang w:val="en-IE"/>
        </w:rPr>
        <w:t xml:space="preserve">or </w:t>
      </w:r>
      <w:r>
        <w:rPr>
          <w:rFonts w:ascii="Arial" w:hAnsi="Arial" w:cs="Arial"/>
          <w:lang w:val="en-IE"/>
        </w:rPr>
        <w:t>microgliosis</w:t>
      </w:r>
      <w:r w:rsidR="00E91C22">
        <w:rPr>
          <w:rFonts w:ascii="Arial" w:hAnsi="Arial" w:cs="Arial"/>
          <w:lang w:val="en-IE"/>
        </w:rPr>
        <w:t xml:space="preserve"> or in the size of the amygdala</w:t>
      </w:r>
      <w:r>
        <w:rPr>
          <w:rFonts w:ascii="Arial" w:hAnsi="Arial" w:cs="Arial"/>
          <w:lang w:val="en-IE"/>
        </w:rPr>
        <w:t>.</w:t>
      </w:r>
      <w:r>
        <w:rPr>
          <w:rFonts w:ascii="Arial" w:hAnsi="Arial" w:cs="Arial"/>
          <w:lang w:val="en-IE"/>
        </w:rPr>
        <w:t xml:space="preserve"> </w:t>
      </w:r>
    </w:p>
    <w:p w14:paraId="215BFF21" w14:textId="043D5E82" w:rsidR="005E1462" w:rsidRDefault="005E1462">
      <w:pPr>
        <w:rPr>
          <w:rFonts w:ascii="Arial" w:hAnsi="Arial" w:cs="Arial"/>
          <w:lang w:val="en-IE"/>
        </w:rPr>
      </w:pPr>
    </w:p>
    <w:p w14:paraId="615765E9" w14:textId="77777777" w:rsidR="005E1462" w:rsidRDefault="005E1462" w:rsidP="00DC0704">
      <w:pPr>
        <w:tabs>
          <w:tab w:val="left" w:pos="3390"/>
          <w:tab w:val="center" w:pos="4680"/>
        </w:tabs>
        <w:spacing w:line="480" w:lineRule="auto"/>
        <w:jc w:val="both"/>
        <w:rPr>
          <w:rFonts w:ascii="Arial" w:hAnsi="Arial" w:cs="Arial"/>
          <w:lang w:val="en-IE"/>
        </w:rPr>
      </w:pPr>
      <w:r>
        <w:rPr>
          <w:rFonts w:ascii="Arial" w:hAnsi="Arial" w:cs="Arial"/>
          <w:noProof/>
        </w:rPr>
        <w:lastRenderedPageBreak/>
        <w:drawing>
          <wp:inline distT="0" distB="0" distL="0" distR="0" wp14:anchorId="47431519" wp14:editId="738D4B00">
            <wp:extent cx="3855720" cy="56692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 data_Histology in epileptic miR-22 KO mice.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55720" cy="5669280"/>
                    </a:xfrm>
                    <a:prstGeom prst="rect">
                      <a:avLst/>
                    </a:prstGeom>
                  </pic:spPr>
                </pic:pic>
              </a:graphicData>
            </a:graphic>
          </wp:inline>
        </w:drawing>
      </w:r>
    </w:p>
    <w:p w14:paraId="70ED7C13" w14:textId="77777777" w:rsidR="00661E85" w:rsidRPr="00A75729" w:rsidRDefault="005E1462" w:rsidP="00DA265D">
      <w:pPr>
        <w:tabs>
          <w:tab w:val="left" w:pos="3390"/>
          <w:tab w:val="center" w:pos="4680"/>
        </w:tabs>
        <w:spacing w:line="480" w:lineRule="auto"/>
        <w:jc w:val="both"/>
        <w:rPr>
          <w:rFonts w:ascii="Arial" w:hAnsi="Arial" w:cs="Arial"/>
          <w:b/>
          <w:lang w:val="en-IE"/>
        </w:rPr>
      </w:pPr>
      <w:r>
        <w:rPr>
          <w:rFonts w:ascii="Arial" w:hAnsi="Arial" w:cs="Arial"/>
          <w:b/>
          <w:lang w:val="en-IE"/>
        </w:rPr>
        <w:t>Supplementary Data F</w:t>
      </w:r>
      <w:r w:rsidRPr="00A75729">
        <w:rPr>
          <w:rFonts w:ascii="Arial" w:hAnsi="Arial" w:cs="Arial"/>
          <w:b/>
          <w:lang w:val="en-IE"/>
        </w:rPr>
        <w:t xml:space="preserve">igure </w:t>
      </w:r>
      <w:r>
        <w:rPr>
          <w:rFonts w:ascii="Arial" w:hAnsi="Arial" w:cs="Arial"/>
          <w:b/>
          <w:lang w:val="en-IE"/>
        </w:rPr>
        <w:t>S</w:t>
      </w:r>
      <w:r w:rsidRPr="00A75729">
        <w:rPr>
          <w:rFonts w:ascii="Arial" w:hAnsi="Arial" w:cs="Arial"/>
          <w:b/>
          <w:lang w:val="en-IE"/>
        </w:rPr>
        <w:t xml:space="preserve">5. </w:t>
      </w:r>
      <w:r w:rsidRPr="00A75729">
        <w:rPr>
          <w:rFonts w:ascii="Arial" w:hAnsi="Arial" w:cs="Arial"/>
          <w:i/>
          <w:lang w:val="en-IE"/>
        </w:rPr>
        <w:t>Histological findings after epilepsy monitoring in mice lacking miR-22</w:t>
      </w:r>
      <w:r>
        <w:rPr>
          <w:rFonts w:ascii="Arial" w:hAnsi="Arial" w:cs="Arial"/>
          <w:lang w:val="en-IE"/>
        </w:rPr>
        <w:t xml:space="preserve">. Graphs show counts of hippocampal tissue sections stained for markers of (Top) astrogliosis, (Middle) microgliosis and (Bottom) interneurons. Counts were similar except for Iba1 staining which was increased in the CA3 subfield. </w:t>
      </w:r>
      <w:r w:rsidRPr="00A31576">
        <w:rPr>
          <w:rFonts w:ascii="Arial" w:hAnsi="Arial" w:cs="Arial"/>
          <w:lang w:val="en-IE"/>
        </w:rPr>
        <w:t>*</w:t>
      </w:r>
      <w:r w:rsidR="00662D1C" w:rsidRPr="00662D1C">
        <w:rPr>
          <w:rFonts w:ascii="Arial" w:hAnsi="Arial" w:cs="Arial"/>
          <w:i/>
          <w:lang w:val="en-IE"/>
        </w:rPr>
        <w:t>P</w:t>
      </w:r>
      <w:r w:rsidRPr="00A31576">
        <w:rPr>
          <w:rFonts w:ascii="Arial" w:hAnsi="Arial" w:cs="Arial"/>
          <w:lang w:val="en-IE"/>
        </w:rPr>
        <w:t xml:space="preserve"> &lt; 0.05 (</w:t>
      </w:r>
      <w:r w:rsidRPr="00A31576">
        <w:rPr>
          <w:rFonts w:ascii="Arial" w:hAnsi="Arial" w:cs="Arial"/>
          <w:i/>
          <w:lang w:val="en-IE"/>
        </w:rPr>
        <w:t>n</w:t>
      </w:r>
      <w:r w:rsidRPr="00A31576">
        <w:rPr>
          <w:rFonts w:ascii="Arial" w:hAnsi="Arial" w:cs="Arial"/>
          <w:lang w:val="en-IE"/>
        </w:rPr>
        <w:t xml:space="preserve"> = 6 per group)</w:t>
      </w:r>
      <w:r w:rsidR="00DA265D">
        <w:rPr>
          <w:rFonts w:ascii="Arial" w:hAnsi="Arial" w:cs="Arial"/>
          <w:lang w:val="en-IE"/>
        </w:rPr>
        <w:t>.</w:t>
      </w:r>
    </w:p>
    <w:p w14:paraId="61BDDC56" w14:textId="77777777" w:rsidR="00E64644" w:rsidRDefault="00E64644">
      <w:pPr>
        <w:rPr>
          <w:rFonts w:ascii="Arial" w:hAnsi="Arial" w:cs="Arial"/>
          <w:lang w:val="en-IE"/>
        </w:rPr>
      </w:pPr>
    </w:p>
    <w:p w14:paraId="4BBABDC3" w14:textId="77777777" w:rsidR="00E64644" w:rsidRDefault="00E64644" w:rsidP="001B48F2">
      <w:pPr>
        <w:spacing w:line="480" w:lineRule="auto"/>
        <w:jc w:val="both"/>
        <w:rPr>
          <w:rFonts w:ascii="Arial" w:hAnsi="Arial" w:cs="Arial"/>
          <w:lang w:val="en-IE"/>
        </w:rPr>
      </w:pPr>
    </w:p>
    <w:p w14:paraId="560EB89B" w14:textId="77777777" w:rsidR="001B48F2" w:rsidRDefault="001B48F2"/>
    <w:sectPr w:rsidR="001B48F2">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CCF20F" w14:textId="77777777" w:rsidR="00791C99" w:rsidRDefault="00791C99" w:rsidP="00102E7C">
      <w:pPr>
        <w:spacing w:after="0" w:line="240" w:lineRule="auto"/>
      </w:pPr>
      <w:r>
        <w:separator/>
      </w:r>
    </w:p>
  </w:endnote>
  <w:endnote w:type="continuationSeparator" w:id="0">
    <w:p w14:paraId="44123FC2" w14:textId="77777777" w:rsidR="00791C99" w:rsidRDefault="00791C99" w:rsidP="00102E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5349637"/>
      <w:docPartObj>
        <w:docPartGallery w:val="Page Numbers (Bottom of Page)"/>
        <w:docPartUnique/>
      </w:docPartObj>
    </w:sdtPr>
    <w:sdtEndPr>
      <w:rPr>
        <w:noProof/>
      </w:rPr>
    </w:sdtEndPr>
    <w:sdtContent>
      <w:p w14:paraId="178AF4B5" w14:textId="1D2DD35B" w:rsidR="00102E7C" w:rsidRDefault="00102E7C">
        <w:pPr>
          <w:pStyle w:val="Footer"/>
          <w:jc w:val="right"/>
        </w:pPr>
        <w:r>
          <w:fldChar w:fldCharType="begin"/>
        </w:r>
        <w:r>
          <w:instrText xml:space="preserve"> PAGE   \* MERGEFORMAT </w:instrText>
        </w:r>
        <w:r>
          <w:fldChar w:fldCharType="separate"/>
        </w:r>
        <w:r w:rsidR="00457209">
          <w:rPr>
            <w:noProof/>
          </w:rPr>
          <w:t>6</w:t>
        </w:r>
        <w:r>
          <w:rPr>
            <w:noProof/>
          </w:rPr>
          <w:fldChar w:fldCharType="end"/>
        </w:r>
      </w:p>
    </w:sdtContent>
  </w:sdt>
  <w:p w14:paraId="48DA7CD9" w14:textId="77777777" w:rsidR="00102E7C" w:rsidRDefault="00102E7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BAF676" w14:textId="77777777" w:rsidR="00791C99" w:rsidRDefault="00791C99" w:rsidP="00102E7C">
      <w:pPr>
        <w:spacing w:after="0" w:line="240" w:lineRule="auto"/>
      </w:pPr>
      <w:r>
        <w:separator/>
      </w:r>
    </w:p>
  </w:footnote>
  <w:footnote w:type="continuationSeparator" w:id="0">
    <w:p w14:paraId="03E735CE" w14:textId="77777777" w:rsidR="00791C99" w:rsidRDefault="00791C99" w:rsidP="00102E7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749"/>
    <w:rsid w:val="00102E7C"/>
    <w:rsid w:val="00197DB4"/>
    <w:rsid w:val="001B48F2"/>
    <w:rsid w:val="002E0EED"/>
    <w:rsid w:val="003050DF"/>
    <w:rsid w:val="00365BDC"/>
    <w:rsid w:val="00457209"/>
    <w:rsid w:val="005025EE"/>
    <w:rsid w:val="005E1462"/>
    <w:rsid w:val="005F7BF5"/>
    <w:rsid w:val="00621BF8"/>
    <w:rsid w:val="00661E85"/>
    <w:rsid w:val="00662D1C"/>
    <w:rsid w:val="00665069"/>
    <w:rsid w:val="00737346"/>
    <w:rsid w:val="00791C99"/>
    <w:rsid w:val="007F24AD"/>
    <w:rsid w:val="0081632C"/>
    <w:rsid w:val="00911942"/>
    <w:rsid w:val="009745B7"/>
    <w:rsid w:val="009D2DE8"/>
    <w:rsid w:val="00AF38B7"/>
    <w:rsid w:val="00BD6842"/>
    <w:rsid w:val="00BF7749"/>
    <w:rsid w:val="00C126A1"/>
    <w:rsid w:val="00C90337"/>
    <w:rsid w:val="00CD59C8"/>
    <w:rsid w:val="00D50EC9"/>
    <w:rsid w:val="00D651DB"/>
    <w:rsid w:val="00DA265D"/>
    <w:rsid w:val="00DB6597"/>
    <w:rsid w:val="00DC0704"/>
    <w:rsid w:val="00E151F9"/>
    <w:rsid w:val="00E17E18"/>
    <w:rsid w:val="00E64644"/>
    <w:rsid w:val="00E91C22"/>
    <w:rsid w:val="00F33611"/>
    <w:rsid w:val="00FC0E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78700"/>
  <w15:chartTrackingRefBased/>
  <w15:docId w15:val="{05F61132-810A-4106-8B86-3B9BA90B0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77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2E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2E7C"/>
  </w:style>
  <w:style w:type="paragraph" w:styleId="Footer">
    <w:name w:val="footer"/>
    <w:basedOn w:val="Normal"/>
    <w:link w:val="FooterChar"/>
    <w:uiPriority w:val="99"/>
    <w:unhideWhenUsed/>
    <w:rsid w:val="00102E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2E7C"/>
  </w:style>
  <w:style w:type="character" w:styleId="CommentReference">
    <w:name w:val="annotation reference"/>
    <w:basedOn w:val="DefaultParagraphFont"/>
    <w:uiPriority w:val="99"/>
    <w:semiHidden/>
    <w:unhideWhenUsed/>
    <w:rsid w:val="005025EE"/>
    <w:rPr>
      <w:sz w:val="16"/>
      <w:szCs w:val="16"/>
    </w:rPr>
  </w:style>
  <w:style w:type="paragraph" w:styleId="CommentText">
    <w:name w:val="annotation text"/>
    <w:basedOn w:val="Normal"/>
    <w:link w:val="CommentTextChar"/>
    <w:uiPriority w:val="99"/>
    <w:semiHidden/>
    <w:unhideWhenUsed/>
    <w:rsid w:val="005025EE"/>
    <w:pPr>
      <w:spacing w:line="240" w:lineRule="auto"/>
    </w:pPr>
    <w:rPr>
      <w:sz w:val="20"/>
      <w:szCs w:val="20"/>
    </w:rPr>
  </w:style>
  <w:style w:type="character" w:customStyle="1" w:styleId="CommentTextChar">
    <w:name w:val="Comment Text Char"/>
    <w:basedOn w:val="DefaultParagraphFont"/>
    <w:link w:val="CommentText"/>
    <w:uiPriority w:val="99"/>
    <w:semiHidden/>
    <w:rsid w:val="005025EE"/>
    <w:rPr>
      <w:sz w:val="20"/>
      <w:szCs w:val="20"/>
    </w:rPr>
  </w:style>
  <w:style w:type="paragraph" w:styleId="CommentSubject">
    <w:name w:val="annotation subject"/>
    <w:basedOn w:val="CommentText"/>
    <w:next w:val="CommentText"/>
    <w:link w:val="CommentSubjectChar"/>
    <w:uiPriority w:val="99"/>
    <w:semiHidden/>
    <w:unhideWhenUsed/>
    <w:rsid w:val="005025EE"/>
    <w:rPr>
      <w:b/>
      <w:bCs/>
    </w:rPr>
  </w:style>
  <w:style w:type="character" w:customStyle="1" w:styleId="CommentSubjectChar">
    <w:name w:val="Comment Subject Char"/>
    <w:basedOn w:val="CommentTextChar"/>
    <w:link w:val="CommentSubject"/>
    <w:uiPriority w:val="99"/>
    <w:semiHidden/>
    <w:rsid w:val="005025EE"/>
    <w:rPr>
      <w:b/>
      <w:bCs/>
      <w:sz w:val="20"/>
      <w:szCs w:val="20"/>
    </w:rPr>
  </w:style>
  <w:style w:type="paragraph" w:styleId="BalloonText">
    <w:name w:val="Balloon Text"/>
    <w:basedOn w:val="Normal"/>
    <w:link w:val="BalloonTextChar"/>
    <w:uiPriority w:val="99"/>
    <w:semiHidden/>
    <w:unhideWhenUsed/>
    <w:rsid w:val="005025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25E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7</Pages>
  <Words>454</Words>
  <Characters>2589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RCSI</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Henshall</dc:creator>
  <cp:keywords/>
  <dc:description/>
  <cp:lastModifiedBy>David Henshall</cp:lastModifiedBy>
  <cp:revision>17</cp:revision>
  <dcterms:created xsi:type="dcterms:W3CDTF">2020-05-06T11:22:00Z</dcterms:created>
  <dcterms:modified xsi:type="dcterms:W3CDTF">2020-05-07T17:00:00Z</dcterms:modified>
</cp:coreProperties>
</file>