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B5E5BB" w14:textId="56110B88" w:rsidR="00DB58A2" w:rsidRDefault="00DB58A2" w:rsidP="00282DCE">
      <w:pPr>
        <w:pStyle w:val="Heading2"/>
      </w:pPr>
      <w:r>
        <w:t>Supplementary materials</w:t>
      </w:r>
    </w:p>
    <w:p w14:paraId="23508D05" w14:textId="35B8700C" w:rsidR="00DB58A2" w:rsidRPr="00282DCE" w:rsidRDefault="00DB58A2" w:rsidP="00282DCE">
      <w:pPr>
        <w:pStyle w:val="Heading3"/>
        <w:numPr>
          <w:ilvl w:val="0"/>
          <w:numId w:val="7"/>
        </w:numPr>
        <w:rPr>
          <w:rFonts w:asciiTheme="minorHAnsi" w:hAnsiTheme="minorHAnsi" w:cstheme="minorHAnsi"/>
          <w:b/>
          <w:bCs/>
          <w:color w:val="auto"/>
        </w:rPr>
      </w:pPr>
      <w:r w:rsidRPr="00282DCE">
        <w:rPr>
          <w:rFonts w:asciiTheme="minorHAnsi" w:hAnsiTheme="minorHAnsi" w:cstheme="minorHAnsi"/>
          <w:b/>
          <w:bCs/>
          <w:color w:val="auto"/>
        </w:rPr>
        <w:t xml:space="preserve">Mass-univariate feature-specific analyses </w:t>
      </w:r>
    </w:p>
    <w:p w14:paraId="5F0169E9" w14:textId="08ACDCE6" w:rsidR="00DB58A2" w:rsidRDefault="001E0DE1" w:rsidP="00282DCE">
      <w:r>
        <w:t>We employed m</w:t>
      </w:r>
      <w:r w:rsidR="002F2142">
        <w:t xml:space="preserve">ass-univariate analyses of the segmented EEG data </w:t>
      </w:r>
      <w:r>
        <w:t>to</w:t>
      </w:r>
      <w:r w:rsidR="002F2142">
        <w:t xml:space="preserve"> </w:t>
      </w:r>
      <w:r w:rsidR="00C0009F">
        <w:t>estimat</w:t>
      </w:r>
      <w:r>
        <w:t>e</w:t>
      </w:r>
      <w:r w:rsidR="002F2142">
        <w:t xml:space="preserve"> motion-specific neural </w:t>
      </w:r>
      <w:r w:rsidR="002F2142" w:rsidRPr="00282DCE">
        <w:t xml:space="preserve">responses </w:t>
      </w:r>
      <w:r>
        <w:t>to the two component motion signals and their average</w:t>
      </w:r>
      <w:r w:rsidRPr="00282DCE">
        <w:t xml:space="preserve"> </w:t>
      </w:r>
      <w:r w:rsidR="002F2142" w:rsidRPr="00282DCE">
        <w:t>at the level of single electrodes</w:t>
      </w:r>
      <w:r w:rsidR="002F2142">
        <w:t>. As Figure S1</w:t>
      </w:r>
      <w:r w:rsidR="00C0009F">
        <w:t xml:space="preserve"> shows</w:t>
      </w:r>
      <w:r w:rsidR="002F2142">
        <w:t xml:space="preserve">, </w:t>
      </w:r>
      <w:r w:rsidR="00584E97">
        <w:t>most</w:t>
      </w:r>
      <w:r w:rsidR="002F2142">
        <w:t xml:space="preserve"> electrodes </w:t>
      </w:r>
      <w:r w:rsidR="00584E97">
        <w:t xml:space="preserve">showed no </w:t>
      </w:r>
      <w:r w:rsidR="002F2142">
        <w:t xml:space="preserve">statistically significant sensitivity to </w:t>
      </w:r>
      <w:r w:rsidR="006F0F5B">
        <w:t>any of</w:t>
      </w:r>
      <w:r w:rsidR="002F2142">
        <w:t xml:space="preserve"> th</w:t>
      </w:r>
      <w:r w:rsidR="006F0F5B">
        <w:t>e</w:t>
      </w:r>
      <w:r w:rsidR="002F2142">
        <w:t xml:space="preserve"> analyse</w:t>
      </w:r>
      <w:r w:rsidR="00C0009F">
        <w:t>d</w:t>
      </w:r>
      <w:r w:rsidR="002F2142">
        <w:t xml:space="preserve"> angles. A </w:t>
      </w:r>
      <w:r w:rsidR="00584E97">
        <w:t xml:space="preserve">small number of </w:t>
      </w:r>
      <w:r w:rsidR="00B37FA2">
        <w:t>front</w:t>
      </w:r>
      <w:r w:rsidR="00846689">
        <w:t xml:space="preserve">al and </w:t>
      </w:r>
      <w:r w:rsidR="00584E97">
        <w:t xml:space="preserve">central </w:t>
      </w:r>
      <w:r w:rsidR="00B37FA2">
        <w:t xml:space="preserve">electrodes </w:t>
      </w:r>
      <w:r w:rsidR="00584E97">
        <w:t xml:space="preserve">were </w:t>
      </w:r>
      <w:r w:rsidR="00B37FA2">
        <w:t xml:space="preserve">sensitive to the motion </w:t>
      </w:r>
      <w:r w:rsidR="00584E97">
        <w:t xml:space="preserve">signal </w:t>
      </w:r>
      <w:r w:rsidR="00B37FA2">
        <w:t>presented in the left patch at p &lt; .05</w:t>
      </w:r>
      <w:r w:rsidR="00584E97">
        <w:t>,</w:t>
      </w:r>
      <w:r w:rsidR="00B37FA2">
        <w:t xml:space="preserve"> and no</w:t>
      </w:r>
      <w:r w:rsidR="00584E97">
        <w:t>ne was</w:t>
      </w:r>
      <w:r w:rsidR="00B37FA2">
        <w:t xml:space="preserve"> sensitive to motion</w:t>
      </w:r>
      <w:r w:rsidR="00584E97">
        <w:t xml:space="preserve"> signals in the right patch</w:t>
      </w:r>
      <w:r w:rsidR="00B37FA2">
        <w:t xml:space="preserve"> (all p &gt;&gt; .05). </w:t>
      </w:r>
      <w:r w:rsidR="00584E97">
        <w:t>O</w:t>
      </w:r>
      <w:r w:rsidR="00B37FA2">
        <w:t xml:space="preserve">ne frontal </w:t>
      </w:r>
      <w:r w:rsidR="00584E97">
        <w:t xml:space="preserve">electrode </w:t>
      </w:r>
      <w:r w:rsidR="00B37FA2">
        <w:t>and a few posterior electrodes were sensitive to the average motion</w:t>
      </w:r>
      <w:r w:rsidR="00584E97">
        <w:t xml:space="preserve"> direction</w:t>
      </w:r>
      <w:r w:rsidR="00B37FA2">
        <w:t xml:space="preserve">. Importantly, the temporal dynamics of </w:t>
      </w:r>
      <w:r w:rsidR="00584E97">
        <w:t xml:space="preserve">feature-selective neural responses were </w:t>
      </w:r>
      <w:r w:rsidR="00B37FA2">
        <w:t xml:space="preserve">dramatically different </w:t>
      </w:r>
      <w:r w:rsidR="00584E97">
        <w:t>for mass-univariate analyses and</w:t>
      </w:r>
      <w:r w:rsidR="00B37FA2">
        <w:t xml:space="preserve"> multivariate analyses</w:t>
      </w:r>
      <w:r w:rsidR="00584E97">
        <w:t xml:space="preserve">. Specifically, </w:t>
      </w:r>
      <w:r w:rsidR="00B37FA2">
        <w:t>whereas the multivariate analyses showed a sustained feature-specific response from ~200 ms</w:t>
      </w:r>
      <w:r w:rsidR="006F0F5B">
        <w:t xml:space="preserve"> (Figure 2)</w:t>
      </w:r>
      <w:r w:rsidR="00B37FA2">
        <w:t xml:space="preserve">, individual electrodes exhibited a </w:t>
      </w:r>
      <w:r w:rsidR="006F0F5B">
        <w:t xml:space="preserve">sharp </w:t>
      </w:r>
      <w:r w:rsidR="00B37FA2">
        <w:t>phasic sensitivity profile restricted to</w:t>
      </w:r>
      <w:r w:rsidR="00846689">
        <w:t xml:space="preserve"> a 10–20 ms time-window.</w:t>
      </w:r>
    </w:p>
    <w:p w14:paraId="368529EC" w14:textId="205CE559" w:rsidR="003C15D4" w:rsidRDefault="003C15D4" w:rsidP="001514B0">
      <w:pPr>
        <w:jc w:val="center"/>
      </w:pPr>
      <w:r>
        <w:rPr>
          <w:noProof/>
        </w:rPr>
        <w:drawing>
          <wp:inline distT="0" distB="0" distL="0" distR="0" wp14:anchorId="565E5F32" wp14:editId="22641B7C">
            <wp:extent cx="5868000" cy="1951200"/>
            <wp:effectExtent l="0" t="0" r="0" b="508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68000" cy="195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D74F6A" w14:textId="7F270DE1" w:rsidR="00AA6DAB" w:rsidRPr="00B12E50" w:rsidRDefault="00AA6DAB" w:rsidP="00D95D6C">
      <w:pPr>
        <w:pStyle w:val="CustomCaption"/>
      </w:pPr>
      <w:r w:rsidRPr="00D95D6C">
        <w:rPr>
          <w:i/>
          <w:iCs/>
        </w:rPr>
        <w:t xml:space="preserve">Figure </w:t>
      </w:r>
      <w:r w:rsidR="00DB58A2">
        <w:rPr>
          <w:i/>
          <w:iCs/>
        </w:rPr>
        <w:t>S1</w:t>
      </w:r>
      <w:r w:rsidRPr="00D95D6C">
        <w:rPr>
          <w:i/>
          <w:iCs/>
        </w:rPr>
        <w:t>.</w:t>
      </w:r>
      <w:r w:rsidRPr="00B12E50">
        <w:t xml:space="preserve"> </w:t>
      </w:r>
      <w:r w:rsidR="002F2142">
        <w:t>Feature</w:t>
      </w:r>
      <w:r w:rsidR="00DB58A2" w:rsidRPr="00B12E50">
        <w:t xml:space="preserve">-specific </w:t>
      </w:r>
      <w:r w:rsidR="00DB58A2">
        <w:t>m</w:t>
      </w:r>
      <w:r w:rsidR="00DB58A2" w:rsidRPr="00B12E50">
        <w:t>ass</w:t>
      </w:r>
      <w:r w:rsidR="007A1DCF" w:rsidRPr="00B12E50">
        <w:t>-univariate analyses of individual electrodes</w:t>
      </w:r>
      <w:r w:rsidR="00DB58A2" w:rsidRPr="00DB58A2">
        <w:t xml:space="preserve"> </w:t>
      </w:r>
      <w:r w:rsidR="00DB58A2" w:rsidRPr="00B12E50">
        <w:t>during 1 s epochs time-locked to the onset of coherent motion</w:t>
      </w:r>
      <w:r w:rsidR="0099532E">
        <w:t xml:space="preserve">. </w:t>
      </w:r>
      <w:r w:rsidR="007A1DCF" w:rsidRPr="00B12E50">
        <w:t xml:space="preserve"> Y-axis shows FDR-corrected p-values from one-sample t-test of the estimated </w:t>
      </w:r>
      <w:r w:rsidR="00955992" w:rsidRPr="00B12E50">
        <w:t>motion-specificity</w:t>
      </w:r>
      <w:r w:rsidR="007A1DCF" w:rsidRPr="00B12E50">
        <w:t xml:space="preserve"> against zero.</w:t>
      </w:r>
      <w:r w:rsidR="0099532E" w:rsidRPr="0099532E">
        <w:t xml:space="preserve"> </w:t>
      </w:r>
      <w:r w:rsidR="0099532E">
        <w:t>I</w:t>
      </w:r>
      <w:r w:rsidR="0099532E" w:rsidRPr="00B12E50">
        <w:t>nset panel</w:t>
      </w:r>
      <w:r w:rsidR="0099532E">
        <w:t xml:space="preserve"> shows</w:t>
      </w:r>
      <w:r w:rsidR="0099532E" w:rsidRPr="00B12E50">
        <w:t xml:space="preserve"> the electrode locations.</w:t>
      </w:r>
      <w:r w:rsidR="00272490" w:rsidRPr="00B12E50">
        <w:t xml:space="preserve"> </w:t>
      </w:r>
      <w:r w:rsidR="002F2142">
        <w:t>Gray lines show FDR-corrected p-thresholds at .01 (full line) and .05 (dotted) levels.</w:t>
      </w:r>
    </w:p>
    <w:p w14:paraId="74A98508" w14:textId="012A0769" w:rsidR="00282DCE" w:rsidRPr="006754D9" w:rsidRDefault="00584E97" w:rsidP="002A1734">
      <w:r>
        <w:t>Critically</w:t>
      </w:r>
      <w:r w:rsidR="00C0009F">
        <w:t xml:space="preserve">, the mass-univariate analyses </w:t>
      </w:r>
      <w:r>
        <w:t>demonstrate</w:t>
      </w:r>
      <w:r w:rsidR="00C0009F">
        <w:t xml:space="preserve"> that the robust motion tuning </w:t>
      </w:r>
      <w:r w:rsidR="0006404A">
        <w:t xml:space="preserve">revealed </w:t>
      </w:r>
      <w:r w:rsidR="00C0009F">
        <w:t xml:space="preserve">in the multivariate analyses </w:t>
      </w:r>
      <w:r w:rsidR="0006404A">
        <w:t xml:space="preserve">(Figure 2) </w:t>
      </w:r>
      <w:r>
        <w:t>cannot be attributed to</w:t>
      </w:r>
      <w:r w:rsidR="00C0009F">
        <w:t xml:space="preserve"> eye movements tracking the displayed motion signals. If </w:t>
      </w:r>
      <w:r w:rsidR="0006404A">
        <w:t>this had occurred</w:t>
      </w:r>
      <w:r w:rsidR="00C0009F">
        <w:t xml:space="preserve">, </w:t>
      </w:r>
      <w:r w:rsidR="0006404A">
        <w:t xml:space="preserve">we </w:t>
      </w:r>
      <w:r w:rsidR="008D4874">
        <w:t>would expect</w:t>
      </w:r>
      <w:r w:rsidR="0006404A">
        <w:t xml:space="preserve"> </w:t>
      </w:r>
      <w:r w:rsidR="00C0009F">
        <w:t>strong</w:t>
      </w:r>
      <w:r w:rsidR="0006404A">
        <w:t xml:space="preserve"> and</w:t>
      </w:r>
      <w:r w:rsidR="00C0009F">
        <w:t xml:space="preserve"> sustained sensitivity </w:t>
      </w:r>
      <w:r w:rsidR="006F0F5B">
        <w:t xml:space="preserve">to </w:t>
      </w:r>
      <w:r w:rsidR="00C0009F">
        <w:t xml:space="preserve">the </w:t>
      </w:r>
      <w:r w:rsidR="006F0F5B">
        <w:t>component</w:t>
      </w:r>
      <w:r w:rsidR="00C0009F">
        <w:t xml:space="preserve"> motion signals</w:t>
      </w:r>
      <w:r w:rsidR="0006404A">
        <w:t>, particularly in frontal electrodes</w:t>
      </w:r>
      <w:r w:rsidR="008D4874">
        <w:t>, in the mass-univariate analyses</w:t>
      </w:r>
      <w:r w:rsidR="00C0009F">
        <w:t xml:space="preserve">. </w:t>
      </w:r>
      <w:r w:rsidR="008D4874">
        <w:t xml:space="preserve">On the contrary, </w:t>
      </w:r>
      <w:r w:rsidR="00C0009F">
        <w:t xml:space="preserve">Figure S1 clearly shows this </w:t>
      </w:r>
      <w:r w:rsidR="006F0F5B">
        <w:t>was</w:t>
      </w:r>
      <w:r w:rsidR="00C0009F">
        <w:t xml:space="preserve"> </w:t>
      </w:r>
      <w:r w:rsidR="0006404A">
        <w:t xml:space="preserve">not </w:t>
      </w:r>
      <w:r w:rsidR="00C0009F">
        <w:t xml:space="preserve">the case, </w:t>
      </w:r>
      <w:r w:rsidR="00C0009F">
        <w:lastRenderedPageBreak/>
        <w:t xml:space="preserve">suggesting that </w:t>
      </w:r>
      <w:r w:rsidR="008D4874">
        <w:t>our feature-tuning</w:t>
      </w:r>
      <w:r w:rsidR="00C0009F">
        <w:t xml:space="preserve"> analyses captured the time-course of </w:t>
      </w:r>
      <w:r w:rsidR="006F0F5B">
        <w:t>neural</w:t>
      </w:r>
      <w:r w:rsidR="00282DCE">
        <w:t xml:space="preserve"> representations </w:t>
      </w:r>
      <w:r w:rsidR="008D4874">
        <w:t xml:space="preserve">of motion signals </w:t>
      </w:r>
      <w:r w:rsidR="00282DCE">
        <w:t xml:space="preserve">rather than </w:t>
      </w:r>
      <w:r w:rsidR="008D4874">
        <w:t xml:space="preserve">motoric </w:t>
      </w:r>
      <w:r w:rsidR="00282DCE">
        <w:t>artefacts due to eye movements.</w:t>
      </w:r>
    </w:p>
    <w:p w14:paraId="398291B4" w14:textId="2D9F46EE" w:rsidR="003359F2" w:rsidRDefault="006754D9" w:rsidP="002A1734">
      <w:r w:rsidRPr="006754D9">
        <w:rPr>
          <w:u w:val="single"/>
        </w:rPr>
        <w:t>Methods.</w:t>
      </w:r>
      <w:r>
        <w:t xml:space="preserve"> </w:t>
      </w:r>
      <w:r w:rsidR="00282DCE">
        <w:t>Similar to our previously published work</w:t>
      </w:r>
      <w:r w:rsidR="006D6000" w:rsidRPr="006D6000">
        <w:rPr>
          <w:vertAlign w:val="superscript"/>
        </w:rPr>
        <w:t>3</w:t>
      </w:r>
      <w:r w:rsidR="006D4483">
        <w:t>,</w:t>
      </w:r>
      <w:r>
        <w:t xml:space="preserve"> </w:t>
      </w:r>
      <w:r w:rsidR="00282DCE">
        <w:t>t</w:t>
      </w:r>
      <w:r w:rsidR="00536B60">
        <w:t xml:space="preserve">he univariate analyses modelled (Eq. </w:t>
      </w:r>
      <w:r w:rsidR="00DB58A2">
        <w:t>SE1</w:t>
      </w:r>
      <w:r w:rsidR="00536B60">
        <w:t>) the voltage (</w:t>
      </w:r>
      <w:r w:rsidR="00536B60" w:rsidRPr="00282DCE">
        <w:rPr>
          <w:i/>
          <w:iCs/>
        </w:rPr>
        <w:t>V</w:t>
      </w:r>
      <w:r w:rsidR="00536B60">
        <w:t>) for each time sample (</w:t>
      </w:r>
      <w:r w:rsidR="00536B60" w:rsidRPr="00282DCE">
        <w:rPr>
          <w:i/>
          <w:iCs/>
        </w:rPr>
        <w:t>t</w:t>
      </w:r>
      <w:r w:rsidR="00536B60">
        <w:t>) and each electrode (</w:t>
      </w:r>
      <w:r w:rsidR="00536B60" w:rsidRPr="00C5045B">
        <w:rPr>
          <w:i/>
          <w:iCs/>
        </w:rPr>
        <w:t>e</w:t>
      </w:r>
      <w:r w:rsidR="00536B60">
        <w:t>) as a function of the motion direction (</w:t>
      </w:r>
      <w:r w:rsidR="00536B60" w:rsidRPr="00282DCE">
        <w:rPr>
          <w:i/>
          <w:iCs/>
        </w:rPr>
        <w:sym w:font="Symbol" w:char="F071"/>
      </w:r>
      <w:r w:rsidR="00536B60">
        <w:t xml:space="preserve">) presented on the left side, the right </w:t>
      </w:r>
      <w:r w:rsidR="008D4874">
        <w:t xml:space="preserve">side, </w:t>
      </w:r>
      <w:r w:rsidR="006F56F0">
        <w:t>and</w:t>
      </w:r>
      <w:r w:rsidR="00536B60">
        <w:t xml:space="preserve"> the average of the left and right</w:t>
      </w:r>
      <w:r w:rsidR="008D4874">
        <w:t xml:space="preserve"> sides</w:t>
      </w:r>
      <w:r w:rsidR="00536B60">
        <w:t>.</w:t>
      </w:r>
      <w:r w:rsidR="00CF5163">
        <w:t xml:space="preserve"> </w:t>
      </w:r>
      <w:r w:rsidR="00FC2EDB">
        <w:t>T</w:t>
      </w:r>
      <w:r w:rsidR="00CF5163">
        <w:t xml:space="preserve">he cosine and sine transforms of the motion direction were used to linearise predictor variables. The average neural response to motion </w:t>
      </w:r>
      <w:r w:rsidR="00FC2EDB">
        <w:t>signals</w:t>
      </w:r>
      <w:r w:rsidR="00CF5163">
        <w:t xml:space="preserve"> was modelled as the intercept term.</w:t>
      </w:r>
    </w:p>
    <w:p w14:paraId="0CD9DDF9" w14:textId="34195A61" w:rsidR="00CF5163" w:rsidRPr="00CF5163" w:rsidRDefault="00CF5163" w:rsidP="002A1734">
      <w:pPr>
        <w:rPr>
          <w:rFonts w:eastAsiaTheme="minorEastAsia"/>
        </w:rPr>
      </w:pPr>
      <m:oMathPara>
        <m:oMathParaPr>
          <m:jc m:val="left"/>
        </m:oMathParaPr>
        <m:oMath>
          <m:r>
            <m:rPr>
              <m:sty m:val="p"/>
            </m:rPr>
            <w:rPr>
              <w:rFonts w:ascii="Cambria Math" w:hAnsi="Cambria Math"/>
            </w:rPr>
            <m:t xml:space="preserve">(SE1) </m:t>
          </m:r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w:rPr>
                  <w:rFonts w:ascii="Cambria Math" w:hAnsi="Cambria Math"/>
                </w:rPr>
                <m:t>V</m:t>
              </m:r>
            </m:e>
            <m:sub>
              <m:r>
                <w:rPr>
                  <w:rFonts w:ascii="Cambria Math" w:hAnsi="Cambria Math"/>
                </w:rPr>
                <m:t>t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,</m:t>
              </m:r>
              <m:r>
                <w:rPr>
                  <w:rFonts w:ascii="Cambria Math" w:hAnsi="Cambria Math"/>
                </w:rPr>
                <m:t>e</m:t>
              </m:r>
            </m:sub>
          </m:sSub>
          <m:r>
            <m:rPr>
              <m:sty m:val="p"/>
            </m:rPr>
            <w:rPr>
              <w:rFonts w:ascii="Cambria Math" w:hAnsi="Cambria Math"/>
            </w:rPr>
            <m:t>=</m:t>
          </m:r>
          <m:r>
            <w:rPr>
              <w:rFonts w:ascii="Cambria Math" w:hAnsi="Cambria Math"/>
            </w:rPr>
            <m:t>Intercept</m:t>
          </m:r>
          <m:r>
            <m:rPr>
              <m:sty m:val="p"/>
            </m:rPr>
            <w:rPr>
              <w:rFonts w:ascii="Cambria Math" w:hAnsi="Cambria Math"/>
            </w:rPr>
            <m:t>+</m:t>
          </m:r>
          <m:func>
            <m:funcPr>
              <m:ctrlPr>
                <w:rPr>
                  <w:rFonts w:ascii="Cambria Math" w:hAnsi="Cambria Math"/>
                </w:rPr>
              </m:ctrlPr>
            </m:funcPr>
            <m:fName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β</m:t>
                  </m:r>
                </m:e>
                <m:sub>
                  <m:r>
                    <w:rPr>
                      <w:rFonts w:ascii="Cambria Math" w:hAnsi="Cambria Math"/>
                    </w:rPr>
                    <m:t>cos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/>
                </w:rPr>
                <m:t>cos</m:t>
              </m:r>
            </m:fName>
            <m:e>
              <m:d>
                <m:dPr>
                  <m:ctrlPr>
                    <w:rPr>
                      <w:rFonts w:ascii="Cambria Math" w:hAnsi="Cambria Math"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θ</m:t>
                  </m:r>
                </m:e>
              </m:d>
            </m:e>
          </m:func>
          <m:r>
            <m:rPr>
              <m:sty m:val="p"/>
            </m:rPr>
            <w:rPr>
              <w:rFonts w:ascii="Cambria Math" w:hAnsi="Cambria Math"/>
            </w:rPr>
            <m:t>+</m:t>
          </m:r>
          <m:func>
            <m:funcPr>
              <m:ctrlPr>
                <w:rPr>
                  <w:rFonts w:ascii="Cambria Math" w:hAnsi="Cambria Math"/>
                </w:rPr>
              </m:ctrlPr>
            </m:funcPr>
            <m:fName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β</m:t>
                  </m:r>
                </m:e>
                <m:sub>
                  <m:r>
                    <w:rPr>
                      <w:rFonts w:ascii="Cambria Math" w:hAnsi="Cambria Math"/>
                    </w:rPr>
                    <m:t>sin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/>
                </w:rPr>
                <m:t>sin</m:t>
              </m:r>
            </m:fName>
            <m:e>
              <m:d>
                <m:dPr>
                  <m:ctrlPr>
                    <w:rPr>
                      <w:rFonts w:ascii="Cambria Math" w:hAnsi="Cambria Math"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θ</m:t>
                  </m:r>
                </m:e>
              </m:d>
            </m:e>
          </m:func>
        </m:oMath>
      </m:oMathPara>
    </w:p>
    <w:p w14:paraId="467D277A" w14:textId="4BACFF6C" w:rsidR="00CF5163" w:rsidRPr="00CF5163" w:rsidRDefault="00CF5163" w:rsidP="002A1734">
      <w:pPr>
        <w:rPr>
          <w:rFonts w:eastAsiaTheme="minorEastAsia"/>
        </w:rPr>
      </w:pPr>
      <m:oMathPara>
        <m:oMathParaPr>
          <m:jc m:val="left"/>
        </m:oMathParaPr>
        <m:oMath>
          <m:r>
            <m:rPr>
              <m:sty m:val="p"/>
            </m:rPr>
            <w:rPr>
              <w:rFonts w:ascii="Cambria Math" w:hAnsi="Cambria Math"/>
            </w:rPr>
            <m:t xml:space="preserve">(SE2) </m:t>
          </m:r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w:rPr>
                  <w:rFonts w:ascii="Cambria Math" w:hAnsi="Cambria Math"/>
                </w:rPr>
                <m:t>s</m:t>
              </m:r>
            </m:e>
            <m:sub>
              <m:r>
                <w:rPr>
                  <w:rFonts w:ascii="Cambria Math" w:hAnsi="Cambria Math"/>
                </w:rPr>
                <m:t>t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,</m:t>
              </m:r>
              <m:r>
                <w:rPr>
                  <w:rFonts w:ascii="Cambria Math" w:hAnsi="Cambria Math"/>
                </w:rPr>
                <m:t>e</m:t>
              </m:r>
            </m:sub>
          </m:sSub>
          <m:r>
            <m:rPr>
              <m:sty m:val="p"/>
            </m:rPr>
            <w:rPr>
              <w:rFonts w:ascii="Cambria Math" w:hAnsi="Cambria Math"/>
            </w:rPr>
            <m:t>=</m:t>
          </m:r>
          <m:rad>
            <m:radPr>
              <m:degHide m:val="1"/>
              <m:ctrlPr>
                <w:rPr>
                  <w:rFonts w:ascii="Cambria Math" w:hAnsi="Cambria Math"/>
                </w:rPr>
              </m:ctrlPr>
            </m:radPr>
            <m:deg/>
            <m:e>
              <m:sSubSup>
                <m:sSubSupPr>
                  <m:ctrlPr>
                    <w:rPr>
                      <w:rFonts w:ascii="Cambria Math" w:hAnsi="Cambria Math"/>
                    </w:rPr>
                  </m:ctrlPr>
                </m:sSubSupPr>
                <m:e>
                  <m:r>
                    <w:rPr>
                      <w:rFonts w:ascii="Cambria Math" w:hAnsi="Cambria Math"/>
                    </w:rPr>
                    <m:t>β</m:t>
                  </m:r>
                </m:e>
                <m:sub>
                  <m:r>
                    <w:rPr>
                      <w:rFonts w:ascii="Cambria Math" w:hAnsi="Cambria Math"/>
                    </w:rPr>
                    <m:t>cos</m:t>
                  </m:r>
                </m:sub>
                <m:sup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2</m:t>
                  </m:r>
                </m:sup>
              </m:sSubSup>
              <m:r>
                <m:rPr>
                  <m:sty m:val="p"/>
                </m:rPr>
                <w:rPr>
                  <w:rFonts w:ascii="Cambria Math" w:hAnsi="Cambria Math"/>
                </w:rPr>
                <m:t>+</m:t>
              </m:r>
              <m:sSubSup>
                <m:sSubSupPr>
                  <m:ctrlPr>
                    <w:rPr>
                      <w:rFonts w:ascii="Cambria Math" w:hAnsi="Cambria Math"/>
                    </w:rPr>
                  </m:ctrlPr>
                </m:sSubSupPr>
                <m:e>
                  <m:r>
                    <w:rPr>
                      <w:rFonts w:ascii="Cambria Math" w:hAnsi="Cambria Math"/>
                    </w:rPr>
                    <m:t>β</m:t>
                  </m:r>
                </m:e>
                <m:sub>
                  <m:r>
                    <w:rPr>
                      <w:rFonts w:ascii="Cambria Math" w:hAnsi="Cambria Math"/>
                    </w:rPr>
                    <m:t>sin</m:t>
                  </m:r>
                </m:sub>
                <m:sup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2</m:t>
                  </m:r>
                </m:sup>
              </m:sSubSup>
            </m:e>
          </m:rad>
        </m:oMath>
      </m:oMathPara>
    </w:p>
    <w:p w14:paraId="15F1312D" w14:textId="4E8B05EE" w:rsidR="00A95052" w:rsidRPr="00860E07" w:rsidRDefault="00CF5163" w:rsidP="006754D9">
      <w:r>
        <w:t>The univariate analyses yielded two parameters (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β</m:t>
            </m:r>
          </m:e>
          <m:sub>
            <m:r>
              <w:rPr>
                <w:rFonts w:ascii="Cambria Math" w:hAnsi="Cambria Math"/>
              </w:rPr>
              <m:t>cos</m:t>
            </m:r>
          </m:sub>
        </m:sSub>
      </m:oMath>
      <w:r>
        <w:rPr>
          <w:rFonts w:eastAsiaTheme="minorEastAsia"/>
        </w:rPr>
        <w:t>,</w:t>
      </w:r>
      <w:r w:rsidRPr="00CF5163">
        <w:rPr>
          <w:rFonts w:ascii="Cambria Math" w:hAnsi="Cambria Math"/>
        </w:rPr>
        <w:t xml:space="preserve">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β</m:t>
            </m:r>
          </m:e>
          <m:sub>
            <m:r>
              <w:rPr>
                <w:rFonts w:ascii="Cambria Math" w:hAnsi="Cambria Math"/>
              </w:rPr>
              <m:t>sin</m:t>
            </m:r>
          </m:sub>
        </m:sSub>
      </m:oMath>
      <w:r>
        <w:t xml:space="preserve">) per time sample per electrode. The </w:t>
      </w:r>
      <w:r w:rsidR="001963B0">
        <w:t xml:space="preserve">aggregate </w:t>
      </w:r>
      <w:r>
        <w:t>electrode sensitivity</w:t>
      </w:r>
      <w:r w:rsidR="001963B0">
        <w:t xml:space="preserve"> (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s</m:t>
            </m:r>
          </m:e>
          <m:sub>
            <m:r>
              <w:rPr>
                <w:rFonts w:ascii="Cambria Math" w:hAnsi="Cambria Math"/>
              </w:rPr>
              <m:t>t,e</m:t>
            </m:r>
          </m:sub>
        </m:sSub>
      </m:oMath>
      <w:r w:rsidR="001963B0">
        <w:t>)</w:t>
      </w:r>
      <w:r>
        <w:t xml:space="preserve"> to different motion directions was computed</w:t>
      </w:r>
      <w:r w:rsidR="001963B0">
        <w:t xml:space="preserve"> (Eq. </w:t>
      </w:r>
      <w:r w:rsidR="006F0F5B">
        <w:t>SE</w:t>
      </w:r>
      <w:r w:rsidR="00DB58A2">
        <w:t>2</w:t>
      </w:r>
      <w:r w:rsidR="001963B0">
        <w:t xml:space="preserve">) </w:t>
      </w:r>
      <w:r>
        <w:t xml:space="preserve">as the </w:t>
      </w:r>
      <w:r w:rsidR="001963B0">
        <w:t xml:space="preserve">length of </w:t>
      </w:r>
      <w:r w:rsidR="00643E07">
        <w:t xml:space="preserve">the </w:t>
      </w:r>
      <m:oMath>
        <m:acc>
          <m:accPr>
            <m:chr m:val="⃗"/>
            <m:ctrlPr>
              <w:rPr>
                <w:rFonts w:ascii="Cambria Math" w:hAnsi="Cambria Math"/>
                <w:i/>
              </w:rPr>
            </m:ctrlPr>
          </m:accPr>
          <m:e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β</m:t>
                </m:r>
              </m:e>
              <m:sub>
                <m:r>
                  <w:rPr>
                    <w:rFonts w:ascii="Cambria Math" w:hAnsi="Cambria Math"/>
                  </w:rPr>
                  <m:t>cos</m:t>
                </m:r>
              </m:sub>
            </m:sSub>
            <m:r>
              <m:rPr>
                <m:sty m:val="p"/>
              </m:rPr>
              <w:rPr>
                <w:rFonts w:ascii="Cambria Math" w:eastAsiaTheme="minorEastAsia" w:hAnsi="Cambria Math"/>
              </w:rPr>
              <m:t>,</m:t>
            </m:r>
            <m:r>
              <m:rPr>
                <m:sty m:val="p"/>
              </m:rPr>
              <w:rPr>
                <w:rFonts w:ascii="Cambria Math" w:hAnsi="Cambria Math"/>
              </w:rPr>
              <m:t xml:space="preserve"> </m:t>
            </m:r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β</m:t>
                </m:r>
              </m:e>
              <m:sub>
                <m:r>
                  <w:rPr>
                    <w:rFonts w:ascii="Cambria Math" w:hAnsi="Cambria Math"/>
                  </w:rPr>
                  <m:t>sin</m:t>
                </m:r>
              </m:sub>
            </m:sSub>
            <m:r>
              <m:rPr>
                <m:sty m:val="p"/>
              </m:rPr>
              <w:rPr>
                <w:rFonts w:ascii="Cambria Math" w:hAnsi="Cambria Math"/>
              </w:rPr>
              <m:t xml:space="preserve"> </m:t>
            </m:r>
          </m:e>
        </m:acc>
      </m:oMath>
      <w:r w:rsidR="00FC2EDB">
        <w:rPr>
          <w:rFonts w:eastAsiaTheme="minorEastAsia"/>
        </w:rPr>
        <w:t xml:space="preserve"> vector</w:t>
      </w:r>
      <w:r w:rsidR="001963B0">
        <w:t xml:space="preserve">. To estimate the empirical null distributions of the univariate electrode sensitivity, the regression analyses were repeated 10,000 times with randomly sampled motion directions as predictors. </w:t>
      </w:r>
      <w:r w:rsidR="006F0F5B">
        <w:t>The empirical null distribution</w:t>
      </w:r>
      <w:r w:rsidR="006754D9">
        <w:t xml:space="preserve"> was</w:t>
      </w:r>
      <w:r w:rsidR="001963B0">
        <w:t xml:space="preserve"> used to quantify the percentile of </w:t>
      </w:r>
      <w:r w:rsidR="005F7C8F">
        <w:t>observed</w:t>
      </w:r>
      <w:r w:rsidR="001963B0">
        <w:t xml:space="preserve"> electrode sensitivity</w:t>
      </w:r>
      <w:r w:rsidR="006754D9">
        <w:t>. That percentile</w:t>
      </w:r>
      <w:r w:rsidR="001963B0">
        <w:t xml:space="preserve"> was then transformed to a z-score using an inverse of cumulative normal distribution. The statistical significance of the z-scores per participant, time sample and electrode was tested using </w:t>
      </w:r>
      <w:r w:rsidR="00BA560C">
        <w:t xml:space="preserve">a </w:t>
      </w:r>
      <w:r w:rsidR="001963B0">
        <w:t>one-sample t-test against zero</w:t>
      </w:r>
      <w:r w:rsidR="00BA560C">
        <w:t>,</w:t>
      </w:r>
      <w:r w:rsidR="001963B0">
        <w:t xml:space="preserve"> </w:t>
      </w:r>
      <w:r w:rsidR="00C2010B">
        <w:t>with</w:t>
      </w:r>
      <w:r w:rsidR="001963B0">
        <w:t xml:space="preserve"> false-discovery rate correction across time samples and electrodes.</w:t>
      </w:r>
    </w:p>
    <w:sectPr w:rsidR="00A95052" w:rsidRPr="00860E07" w:rsidSect="00782DBC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DE6BBC"/>
    <w:multiLevelType w:val="hybridMultilevel"/>
    <w:tmpl w:val="68281DEE"/>
    <w:lvl w:ilvl="0" w:tplc="53565D5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C9403E"/>
    <w:multiLevelType w:val="hybridMultilevel"/>
    <w:tmpl w:val="E69689D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FD054C5"/>
    <w:multiLevelType w:val="hybridMultilevel"/>
    <w:tmpl w:val="DC6EF142"/>
    <w:lvl w:ilvl="0" w:tplc="A7700B4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4365424E"/>
    <w:multiLevelType w:val="hybridMultilevel"/>
    <w:tmpl w:val="D374841E"/>
    <w:lvl w:ilvl="0" w:tplc="BF664C7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45767989"/>
    <w:multiLevelType w:val="hybridMultilevel"/>
    <w:tmpl w:val="A1386EC4"/>
    <w:lvl w:ilvl="0" w:tplc="4BE866A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518659BC"/>
    <w:multiLevelType w:val="hybridMultilevel"/>
    <w:tmpl w:val="831E854E"/>
    <w:lvl w:ilvl="0" w:tplc="F30A5334">
      <w:start w:val="5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D80082B"/>
    <w:multiLevelType w:val="hybridMultilevel"/>
    <w:tmpl w:val="95242B8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72227946">
    <w:abstractNumId w:val="5"/>
  </w:num>
  <w:num w:numId="2" w16cid:durableId="443811771">
    <w:abstractNumId w:val="2"/>
  </w:num>
  <w:num w:numId="3" w16cid:durableId="1580140494">
    <w:abstractNumId w:val="6"/>
  </w:num>
  <w:num w:numId="4" w16cid:durableId="174200272">
    <w:abstractNumId w:val="1"/>
  </w:num>
  <w:num w:numId="5" w16cid:durableId="200476696">
    <w:abstractNumId w:val="0"/>
  </w:num>
  <w:num w:numId="6" w16cid:durableId="662665373">
    <w:abstractNumId w:val="3"/>
  </w:num>
  <w:num w:numId="7" w16cid:durableId="74187256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6C1C"/>
    <w:rsid w:val="000028EA"/>
    <w:rsid w:val="00010AED"/>
    <w:rsid w:val="00015CC5"/>
    <w:rsid w:val="00016B7B"/>
    <w:rsid w:val="00017123"/>
    <w:rsid w:val="00030527"/>
    <w:rsid w:val="00031530"/>
    <w:rsid w:val="00035620"/>
    <w:rsid w:val="00036550"/>
    <w:rsid w:val="00036F97"/>
    <w:rsid w:val="00041841"/>
    <w:rsid w:val="000516AA"/>
    <w:rsid w:val="00051E7C"/>
    <w:rsid w:val="00052F97"/>
    <w:rsid w:val="00057E28"/>
    <w:rsid w:val="00057F65"/>
    <w:rsid w:val="0006404A"/>
    <w:rsid w:val="0006427C"/>
    <w:rsid w:val="000661D2"/>
    <w:rsid w:val="00066B30"/>
    <w:rsid w:val="0006769C"/>
    <w:rsid w:val="00077495"/>
    <w:rsid w:val="00086AA1"/>
    <w:rsid w:val="000874CD"/>
    <w:rsid w:val="00090D22"/>
    <w:rsid w:val="00092C5F"/>
    <w:rsid w:val="000A325A"/>
    <w:rsid w:val="000A4244"/>
    <w:rsid w:val="000B2744"/>
    <w:rsid w:val="000B53B7"/>
    <w:rsid w:val="000C1B89"/>
    <w:rsid w:val="000C2FA3"/>
    <w:rsid w:val="000C4F47"/>
    <w:rsid w:val="000C4F66"/>
    <w:rsid w:val="000C6E84"/>
    <w:rsid w:val="000D45A9"/>
    <w:rsid w:val="000E51B1"/>
    <w:rsid w:val="000E5609"/>
    <w:rsid w:val="000E7EBA"/>
    <w:rsid w:val="000F4F7F"/>
    <w:rsid w:val="001004A7"/>
    <w:rsid w:val="00100EEF"/>
    <w:rsid w:val="00102B5C"/>
    <w:rsid w:val="001065BF"/>
    <w:rsid w:val="00110FA1"/>
    <w:rsid w:val="00111171"/>
    <w:rsid w:val="00114CE9"/>
    <w:rsid w:val="001271E7"/>
    <w:rsid w:val="001276FB"/>
    <w:rsid w:val="00131066"/>
    <w:rsid w:val="0013714C"/>
    <w:rsid w:val="00137BDF"/>
    <w:rsid w:val="001408A4"/>
    <w:rsid w:val="00141D5D"/>
    <w:rsid w:val="00145153"/>
    <w:rsid w:val="001454C3"/>
    <w:rsid w:val="00147D3E"/>
    <w:rsid w:val="001514B0"/>
    <w:rsid w:val="00151611"/>
    <w:rsid w:val="001523D5"/>
    <w:rsid w:val="0015364D"/>
    <w:rsid w:val="001549E7"/>
    <w:rsid w:val="001668A2"/>
    <w:rsid w:val="00184387"/>
    <w:rsid w:val="001963B0"/>
    <w:rsid w:val="001A052C"/>
    <w:rsid w:val="001A3177"/>
    <w:rsid w:val="001B175C"/>
    <w:rsid w:val="001B19F3"/>
    <w:rsid w:val="001B3F24"/>
    <w:rsid w:val="001B4028"/>
    <w:rsid w:val="001B5BAD"/>
    <w:rsid w:val="001B7244"/>
    <w:rsid w:val="001B7D3E"/>
    <w:rsid w:val="001C344F"/>
    <w:rsid w:val="001C3E72"/>
    <w:rsid w:val="001C48B8"/>
    <w:rsid w:val="001C619D"/>
    <w:rsid w:val="001C70CC"/>
    <w:rsid w:val="001D5DE7"/>
    <w:rsid w:val="001D6432"/>
    <w:rsid w:val="001D6A1B"/>
    <w:rsid w:val="001E0DE1"/>
    <w:rsid w:val="001F2B39"/>
    <w:rsid w:val="001F4A2D"/>
    <w:rsid w:val="00200CB4"/>
    <w:rsid w:val="002011B4"/>
    <w:rsid w:val="00201CAD"/>
    <w:rsid w:val="00203F57"/>
    <w:rsid w:val="00210EC1"/>
    <w:rsid w:val="002118CD"/>
    <w:rsid w:val="00211C68"/>
    <w:rsid w:val="00212E4A"/>
    <w:rsid w:val="00213A83"/>
    <w:rsid w:val="002145E6"/>
    <w:rsid w:val="002149BE"/>
    <w:rsid w:val="00217966"/>
    <w:rsid w:val="00221167"/>
    <w:rsid w:val="00227AE5"/>
    <w:rsid w:val="00231131"/>
    <w:rsid w:val="00234114"/>
    <w:rsid w:val="002378DB"/>
    <w:rsid w:val="00237923"/>
    <w:rsid w:val="00240231"/>
    <w:rsid w:val="00250C43"/>
    <w:rsid w:val="00257CD9"/>
    <w:rsid w:val="002629AB"/>
    <w:rsid w:val="0026348D"/>
    <w:rsid w:val="00264359"/>
    <w:rsid w:val="00264946"/>
    <w:rsid w:val="00265C79"/>
    <w:rsid w:val="00272490"/>
    <w:rsid w:val="002744C7"/>
    <w:rsid w:val="00275586"/>
    <w:rsid w:val="00276552"/>
    <w:rsid w:val="00282DCE"/>
    <w:rsid w:val="00285AB2"/>
    <w:rsid w:val="0029124B"/>
    <w:rsid w:val="00291C34"/>
    <w:rsid w:val="00291C85"/>
    <w:rsid w:val="00292037"/>
    <w:rsid w:val="0029279A"/>
    <w:rsid w:val="002937A5"/>
    <w:rsid w:val="00296454"/>
    <w:rsid w:val="002A0052"/>
    <w:rsid w:val="002A1734"/>
    <w:rsid w:val="002A269D"/>
    <w:rsid w:val="002A789E"/>
    <w:rsid w:val="002B29FA"/>
    <w:rsid w:val="002B57A3"/>
    <w:rsid w:val="002B6B0F"/>
    <w:rsid w:val="002B7910"/>
    <w:rsid w:val="002C3DDB"/>
    <w:rsid w:val="002C761B"/>
    <w:rsid w:val="002C76A1"/>
    <w:rsid w:val="002D7279"/>
    <w:rsid w:val="002E054D"/>
    <w:rsid w:val="002E3449"/>
    <w:rsid w:val="002E376E"/>
    <w:rsid w:val="002F2142"/>
    <w:rsid w:val="002F75E5"/>
    <w:rsid w:val="00302BBA"/>
    <w:rsid w:val="0031464D"/>
    <w:rsid w:val="0031628E"/>
    <w:rsid w:val="003172BA"/>
    <w:rsid w:val="00317BA4"/>
    <w:rsid w:val="003359F2"/>
    <w:rsid w:val="003373C8"/>
    <w:rsid w:val="00346E0C"/>
    <w:rsid w:val="00355757"/>
    <w:rsid w:val="00367E1F"/>
    <w:rsid w:val="00371F2A"/>
    <w:rsid w:val="00372C6F"/>
    <w:rsid w:val="0037506A"/>
    <w:rsid w:val="00394ED4"/>
    <w:rsid w:val="003A3323"/>
    <w:rsid w:val="003A3E45"/>
    <w:rsid w:val="003A4579"/>
    <w:rsid w:val="003A7E60"/>
    <w:rsid w:val="003B33DC"/>
    <w:rsid w:val="003B5C10"/>
    <w:rsid w:val="003B5C3E"/>
    <w:rsid w:val="003B6FF1"/>
    <w:rsid w:val="003C15D4"/>
    <w:rsid w:val="003C1DA7"/>
    <w:rsid w:val="003C5C74"/>
    <w:rsid w:val="003D0797"/>
    <w:rsid w:val="003D2794"/>
    <w:rsid w:val="003D2E62"/>
    <w:rsid w:val="003D6B0F"/>
    <w:rsid w:val="003E2054"/>
    <w:rsid w:val="003E20DB"/>
    <w:rsid w:val="003E5EBA"/>
    <w:rsid w:val="003F0A0D"/>
    <w:rsid w:val="0040099A"/>
    <w:rsid w:val="0040221F"/>
    <w:rsid w:val="00403F2A"/>
    <w:rsid w:val="00404E5C"/>
    <w:rsid w:val="004057A2"/>
    <w:rsid w:val="0040645C"/>
    <w:rsid w:val="00411E49"/>
    <w:rsid w:val="004153B8"/>
    <w:rsid w:val="004167F8"/>
    <w:rsid w:val="00416A0F"/>
    <w:rsid w:val="00416C6D"/>
    <w:rsid w:val="004233DD"/>
    <w:rsid w:val="00425458"/>
    <w:rsid w:val="00426508"/>
    <w:rsid w:val="00427DCA"/>
    <w:rsid w:val="00434B51"/>
    <w:rsid w:val="0043596B"/>
    <w:rsid w:val="00437DC8"/>
    <w:rsid w:val="00450120"/>
    <w:rsid w:val="00450EC5"/>
    <w:rsid w:val="00450EC8"/>
    <w:rsid w:val="004559BE"/>
    <w:rsid w:val="0046481B"/>
    <w:rsid w:val="00473080"/>
    <w:rsid w:val="00474E30"/>
    <w:rsid w:val="00475A47"/>
    <w:rsid w:val="00480175"/>
    <w:rsid w:val="00485107"/>
    <w:rsid w:val="004938ED"/>
    <w:rsid w:val="00494243"/>
    <w:rsid w:val="004945F0"/>
    <w:rsid w:val="004A1A7B"/>
    <w:rsid w:val="004A354C"/>
    <w:rsid w:val="004A71C0"/>
    <w:rsid w:val="004B1A67"/>
    <w:rsid w:val="004B521A"/>
    <w:rsid w:val="004B7636"/>
    <w:rsid w:val="004C7EF2"/>
    <w:rsid w:val="004D0D62"/>
    <w:rsid w:val="004D5899"/>
    <w:rsid w:val="004E7E45"/>
    <w:rsid w:val="004F0A92"/>
    <w:rsid w:val="004F0F7B"/>
    <w:rsid w:val="004F1FEC"/>
    <w:rsid w:val="00504117"/>
    <w:rsid w:val="00504CDC"/>
    <w:rsid w:val="00520E24"/>
    <w:rsid w:val="00531B07"/>
    <w:rsid w:val="00532EEB"/>
    <w:rsid w:val="005341C6"/>
    <w:rsid w:val="00536B60"/>
    <w:rsid w:val="00536FEF"/>
    <w:rsid w:val="00543FDD"/>
    <w:rsid w:val="0054600A"/>
    <w:rsid w:val="00546958"/>
    <w:rsid w:val="0056410F"/>
    <w:rsid w:val="005645FE"/>
    <w:rsid w:val="0056506A"/>
    <w:rsid w:val="005711E0"/>
    <w:rsid w:val="00571E40"/>
    <w:rsid w:val="00572AA0"/>
    <w:rsid w:val="00577183"/>
    <w:rsid w:val="005775BA"/>
    <w:rsid w:val="005776E5"/>
    <w:rsid w:val="00580201"/>
    <w:rsid w:val="00580F92"/>
    <w:rsid w:val="00584E97"/>
    <w:rsid w:val="00585ED3"/>
    <w:rsid w:val="005901F7"/>
    <w:rsid w:val="00591117"/>
    <w:rsid w:val="0059260D"/>
    <w:rsid w:val="00595CAB"/>
    <w:rsid w:val="00596C1E"/>
    <w:rsid w:val="005A5B7C"/>
    <w:rsid w:val="005B3082"/>
    <w:rsid w:val="005B6AB2"/>
    <w:rsid w:val="005B6CA0"/>
    <w:rsid w:val="005B6F04"/>
    <w:rsid w:val="005B7565"/>
    <w:rsid w:val="005C769B"/>
    <w:rsid w:val="005C7B23"/>
    <w:rsid w:val="005D0B6E"/>
    <w:rsid w:val="005D1C1B"/>
    <w:rsid w:val="005D2E5A"/>
    <w:rsid w:val="005D3C22"/>
    <w:rsid w:val="005D7366"/>
    <w:rsid w:val="005E2596"/>
    <w:rsid w:val="005E647D"/>
    <w:rsid w:val="005F0821"/>
    <w:rsid w:val="005F1782"/>
    <w:rsid w:val="005F2F0F"/>
    <w:rsid w:val="005F654A"/>
    <w:rsid w:val="005F7C8F"/>
    <w:rsid w:val="006007F8"/>
    <w:rsid w:val="00602AAB"/>
    <w:rsid w:val="00603022"/>
    <w:rsid w:val="0061129A"/>
    <w:rsid w:val="00614FEE"/>
    <w:rsid w:val="0061742D"/>
    <w:rsid w:val="0062539E"/>
    <w:rsid w:val="00627CF2"/>
    <w:rsid w:val="00631504"/>
    <w:rsid w:val="00632863"/>
    <w:rsid w:val="00633982"/>
    <w:rsid w:val="00635113"/>
    <w:rsid w:val="0063753E"/>
    <w:rsid w:val="00642B6A"/>
    <w:rsid w:val="00643E07"/>
    <w:rsid w:val="00647975"/>
    <w:rsid w:val="00652864"/>
    <w:rsid w:val="00654944"/>
    <w:rsid w:val="006554AE"/>
    <w:rsid w:val="0066059B"/>
    <w:rsid w:val="00661FDD"/>
    <w:rsid w:val="006717EF"/>
    <w:rsid w:val="006730C3"/>
    <w:rsid w:val="006735CE"/>
    <w:rsid w:val="006754D9"/>
    <w:rsid w:val="00677C1F"/>
    <w:rsid w:val="00682884"/>
    <w:rsid w:val="006856AA"/>
    <w:rsid w:val="00692D6E"/>
    <w:rsid w:val="00694C26"/>
    <w:rsid w:val="00695768"/>
    <w:rsid w:val="006A3E65"/>
    <w:rsid w:val="006A4709"/>
    <w:rsid w:val="006A703A"/>
    <w:rsid w:val="006B0D28"/>
    <w:rsid w:val="006B120D"/>
    <w:rsid w:val="006B30FC"/>
    <w:rsid w:val="006B3567"/>
    <w:rsid w:val="006C5D46"/>
    <w:rsid w:val="006D0533"/>
    <w:rsid w:val="006D4483"/>
    <w:rsid w:val="006D6000"/>
    <w:rsid w:val="006F0F5B"/>
    <w:rsid w:val="006F2724"/>
    <w:rsid w:val="006F56F0"/>
    <w:rsid w:val="00712955"/>
    <w:rsid w:val="00722755"/>
    <w:rsid w:val="00724696"/>
    <w:rsid w:val="0072741E"/>
    <w:rsid w:val="00730A75"/>
    <w:rsid w:val="00732D36"/>
    <w:rsid w:val="0073399A"/>
    <w:rsid w:val="007358D4"/>
    <w:rsid w:val="00744398"/>
    <w:rsid w:val="007472B4"/>
    <w:rsid w:val="0075187A"/>
    <w:rsid w:val="007548F8"/>
    <w:rsid w:val="0076790D"/>
    <w:rsid w:val="00767E36"/>
    <w:rsid w:val="00771F2E"/>
    <w:rsid w:val="007723A8"/>
    <w:rsid w:val="00777D93"/>
    <w:rsid w:val="00781368"/>
    <w:rsid w:val="007817AC"/>
    <w:rsid w:val="00782DBC"/>
    <w:rsid w:val="007A1DCF"/>
    <w:rsid w:val="007A530A"/>
    <w:rsid w:val="007A597E"/>
    <w:rsid w:val="007A7EEE"/>
    <w:rsid w:val="007B1462"/>
    <w:rsid w:val="007B4450"/>
    <w:rsid w:val="007B5652"/>
    <w:rsid w:val="007C3821"/>
    <w:rsid w:val="007D029E"/>
    <w:rsid w:val="007D0F12"/>
    <w:rsid w:val="007E23D2"/>
    <w:rsid w:val="007E2ECC"/>
    <w:rsid w:val="007F3E41"/>
    <w:rsid w:val="007F4E8A"/>
    <w:rsid w:val="0080146E"/>
    <w:rsid w:val="00802239"/>
    <w:rsid w:val="008035B4"/>
    <w:rsid w:val="008070F5"/>
    <w:rsid w:val="008104CE"/>
    <w:rsid w:val="0081072F"/>
    <w:rsid w:val="008152D1"/>
    <w:rsid w:val="00816FA1"/>
    <w:rsid w:val="00830C4E"/>
    <w:rsid w:val="008315AC"/>
    <w:rsid w:val="0083193F"/>
    <w:rsid w:val="00835993"/>
    <w:rsid w:val="008365E0"/>
    <w:rsid w:val="008427C6"/>
    <w:rsid w:val="00846689"/>
    <w:rsid w:val="0085023E"/>
    <w:rsid w:val="008542EE"/>
    <w:rsid w:val="00855DB7"/>
    <w:rsid w:val="00855F6D"/>
    <w:rsid w:val="00860E07"/>
    <w:rsid w:val="00863170"/>
    <w:rsid w:val="00867BAB"/>
    <w:rsid w:val="008710C4"/>
    <w:rsid w:val="008734B4"/>
    <w:rsid w:val="00876B8E"/>
    <w:rsid w:val="00881060"/>
    <w:rsid w:val="008840AF"/>
    <w:rsid w:val="00891355"/>
    <w:rsid w:val="00891443"/>
    <w:rsid w:val="008924A6"/>
    <w:rsid w:val="00892664"/>
    <w:rsid w:val="00892F99"/>
    <w:rsid w:val="008953B4"/>
    <w:rsid w:val="00897945"/>
    <w:rsid w:val="008A02B0"/>
    <w:rsid w:val="008A0E09"/>
    <w:rsid w:val="008A4891"/>
    <w:rsid w:val="008A6E82"/>
    <w:rsid w:val="008B0784"/>
    <w:rsid w:val="008B4D95"/>
    <w:rsid w:val="008B70E4"/>
    <w:rsid w:val="008C057A"/>
    <w:rsid w:val="008C0C8E"/>
    <w:rsid w:val="008C16D3"/>
    <w:rsid w:val="008D3934"/>
    <w:rsid w:val="008D4874"/>
    <w:rsid w:val="008D5930"/>
    <w:rsid w:val="008E1C6B"/>
    <w:rsid w:val="008F40D7"/>
    <w:rsid w:val="0090008C"/>
    <w:rsid w:val="009063EB"/>
    <w:rsid w:val="00907108"/>
    <w:rsid w:val="009147F2"/>
    <w:rsid w:val="009153FD"/>
    <w:rsid w:val="00917A32"/>
    <w:rsid w:val="0092383D"/>
    <w:rsid w:val="009242A5"/>
    <w:rsid w:val="009265D9"/>
    <w:rsid w:val="009271DC"/>
    <w:rsid w:val="00943BAC"/>
    <w:rsid w:val="009446D1"/>
    <w:rsid w:val="0095134E"/>
    <w:rsid w:val="00952422"/>
    <w:rsid w:val="00955992"/>
    <w:rsid w:val="00956746"/>
    <w:rsid w:val="009603C8"/>
    <w:rsid w:val="009609E2"/>
    <w:rsid w:val="009628DD"/>
    <w:rsid w:val="00963ACD"/>
    <w:rsid w:val="00964B06"/>
    <w:rsid w:val="0097298E"/>
    <w:rsid w:val="009823A8"/>
    <w:rsid w:val="00983F11"/>
    <w:rsid w:val="00985611"/>
    <w:rsid w:val="00986C1C"/>
    <w:rsid w:val="0099532E"/>
    <w:rsid w:val="00997525"/>
    <w:rsid w:val="009A1309"/>
    <w:rsid w:val="009B5448"/>
    <w:rsid w:val="009B59FA"/>
    <w:rsid w:val="009C5DD7"/>
    <w:rsid w:val="009C623F"/>
    <w:rsid w:val="009C753E"/>
    <w:rsid w:val="009D51CE"/>
    <w:rsid w:val="009D53AB"/>
    <w:rsid w:val="009D6220"/>
    <w:rsid w:val="009D680D"/>
    <w:rsid w:val="009E0865"/>
    <w:rsid w:val="009E5DB8"/>
    <w:rsid w:val="009E7BC4"/>
    <w:rsid w:val="009E7CA0"/>
    <w:rsid w:val="009F32BF"/>
    <w:rsid w:val="009F399F"/>
    <w:rsid w:val="009F6103"/>
    <w:rsid w:val="00A04E4C"/>
    <w:rsid w:val="00A122C5"/>
    <w:rsid w:val="00A22201"/>
    <w:rsid w:val="00A22F65"/>
    <w:rsid w:val="00A24663"/>
    <w:rsid w:val="00A24711"/>
    <w:rsid w:val="00A458CD"/>
    <w:rsid w:val="00A470B1"/>
    <w:rsid w:val="00A51E33"/>
    <w:rsid w:val="00A65BA1"/>
    <w:rsid w:val="00A65C60"/>
    <w:rsid w:val="00A675A2"/>
    <w:rsid w:val="00A7596F"/>
    <w:rsid w:val="00A7634C"/>
    <w:rsid w:val="00A77CB5"/>
    <w:rsid w:val="00A80570"/>
    <w:rsid w:val="00A85905"/>
    <w:rsid w:val="00A911F3"/>
    <w:rsid w:val="00A95052"/>
    <w:rsid w:val="00A9667D"/>
    <w:rsid w:val="00A96807"/>
    <w:rsid w:val="00A97997"/>
    <w:rsid w:val="00A97E54"/>
    <w:rsid w:val="00AA020E"/>
    <w:rsid w:val="00AA06AD"/>
    <w:rsid w:val="00AA3B2C"/>
    <w:rsid w:val="00AA6DAB"/>
    <w:rsid w:val="00AA7BD4"/>
    <w:rsid w:val="00AB1B6F"/>
    <w:rsid w:val="00AB3652"/>
    <w:rsid w:val="00AB53DA"/>
    <w:rsid w:val="00AB7D36"/>
    <w:rsid w:val="00AC26D5"/>
    <w:rsid w:val="00AC640D"/>
    <w:rsid w:val="00AD3052"/>
    <w:rsid w:val="00AE0D00"/>
    <w:rsid w:val="00AE1243"/>
    <w:rsid w:val="00AE4356"/>
    <w:rsid w:val="00AE43FC"/>
    <w:rsid w:val="00AE4B55"/>
    <w:rsid w:val="00AE53DD"/>
    <w:rsid w:val="00AF223C"/>
    <w:rsid w:val="00AF296D"/>
    <w:rsid w:val="00B004ED"/>
    <w:rsid w:val="00B03B35"/>
    <w:rsid w:val="00B073D9"/>
    <w:rsid w:val="00B101CB"/>
    <w:rsid w:val="00B11612"/>
    <w:rsid w:val="00B12E50"/>
    <w:rsid w:val="00B13F04"/>
    <w:rsid w:val="00B142BF"/>
    <w:rsid w:val="00B204ED"/>
    <w:rsid w:val="00B21C42"/>
    <w:rsid w:val="00B22BFE"/>
    <w:rsid w:val="00B37E04"/>
    <w:rsid w:val="00B37FA2"/>
    <w:rsid w:val="00B37FD9"/>
    <w:rsid w:val="00B41D4C"/>
    <w:rsid w:val="00B467F1"/>
    <w:rsid w:val="00B50D11"/>
    <w:rsid w:val="00B51BBC"/>
    <w:rsid w:val="00B54B0B"/>
    <w:rsid w:val="00B64D1C"/>
    <w:rsid w:val="00B6538B"/>
    <w:rsid w:val="00B6766D"/>
    <w:rsid w:val="00B72EB9"/>
    <w:rsid w:val="00B738F7"/>
    <w:rsid w:val="00B73F34"/>
    <w:rsid w:val="00B778B4"/>
    <w:rsid w:val="00B816D7"/>
    <w:rsid w:val="00B8320A"/>
    <w:rsid w:val="00B838CD"/>
    <w:rsid w:val="00B83F8F"/>
    <w:rsid w:val="00B85525"/>
    <w:rsid w:val="00B857F3"/>
    <w:rsid w:val="00B85EDA"/>
    <w:rsid w:val="00B90DD8"/>
    <w:rsid w:val="00B93720"/>
    <w:rsid w:val="00B942AB"/>
    <w:rsid w:val="00B94A2C"/>
    <w:rsid w:val="00BA1369"/>
    <w:rsid w:val="00BA21AF"/>
    <w:rsid w:val="00BA26E7"/>
    <w:rsid w:val="00BA560C"/>
    <w:rsid w:val="00BB5EE7"/>
    <w:rsid w:val="00BC2AF5"/>
    <w:rsid w:val="00BC5EDA"/>
    <w:rsid w:val="00BE117C"/>
    <w:rsid w:val="00BE2E88"/>
    <w:rsid w:val="00BE382B"/>
    <w:rsid w:val="00BE3E07"/>
    <w:rsid w:val="00BF07C3"/>
    <w:rsid w:val="00C00060"/>
    <w:rsid w:val="00C0009F"/>
    <w:rsid w:val="00C01632"/>
    <w:rsid w:val="00C01D73"/>
    <w:rsid w:val="00C02A17"/>
    <w:rsid w:val="00C11C1B"/>
    <w:rsid w:val="00C12E39"/>
    <w:rsid w:val="00C17082"/>
    <w:rsid w:val="00C2010B"/>
    <w:rsid w:val="00C21B2C"/>
    <w:rsid w:val="00C232F4"/>
    <w:rsid w:val="00C23E2B"/>
    <w:rsid w:val="00C27179"/>
    <w:rsid w:val="00C2741A"/>
    <w:rsid w:val="00C274CC"/>
    <w:rsid w:val="00C30C24"/>
    <w:rsid w:val="00C31424"/>
    <w:rsid w:val="00C31EAC"/>
    <w:rsid w:val="00C341E8"/>
    <w:rsid w:val="00C35D4F"/>
    <w:rsid w:val="00C369E7"/>
    <w:rsid w:val="00C37606"/>
    <w:rsid w:val="00C37698"/>
    <w:rsid w:val="00C40CB1"/>
    <w:rsid w:val="00C45936"/>
    <w:rsid w:val="00C4789A"/>
    <w:rsid w:val="00C5045B"/>
    <w:rsid w:val="00C504A5"/>
    <w:rsid w:val="00C56C85"/>
    <w:rsid w:val="00C615DE"/>
    <w:rsid w:val="00C67F39"/>
    <w:rsid w:val="00C72585"/>
    <w:rsid w:val="00C86066"/>
    <w:rsid w:val="00C86FC5"/>
    <w:rsid w:val="00C92043"/>
    <w:rsid w:val="00C94A1A"/>
    <w:rsid w:val="00C94B19"/>
    <w:rsid w:val="00CA580A"/>
    <w:rsid w:val="00CA67C2"/>
    <w:rsid w:val="00CA6A23"/>
    <w:rsid w:val="00CB09DD"/>
    <w:rsid w:val="00CB12BB"/>
    <w:rsid w:val="00CB4262"/>
    <w:rsid w:val="00CC452D"/>
    <w:rsid w:val="00CD3010"/>
    <w:rsid w:val="00CD6A96"/>
    <w:rsid w:val="00CE0DBD"/>
    <w:rsid w:val="00CE0E26"/>
    <w:rsid w:val="00CE3A78"/>
    <w:rsid w:val="00CE4AFE"/>
    <w:rsid w:val="00CF1496"/>
    <w:rsid w:val="00CF5163"/>
    <w:rsid w:val="00CF5A16"/>
    <w:rsid w:val="00D06161"/>
    <w:rsid w:val="00D125C2"/>
    <w:rsid w:val="00D20772"/>
    <w:rsid w:val="00D242A8"/>
    <w:rsid w:val="00D248EA"/>
    <w:rsid w:val="00D260D8"/>
    <w:rsid w:val="00D2642E"/>
    <w:rsid w:val="00D3532C"/>
    <w:rsid w:val="00D36A68"/>
    <w:rsid w:val="00D37AAF"/>
    <w:rsid w:val="00D4090E"/>
    <w:rsid w:val="00D40A5C"/>
    <w:rsid w:val="00D40B78"/>
    <w:rsid w:val="00D41D21"/>
    <w:rsid w:val="00D43FD6"/>
    <w:rsid w:val="00D44823"/>
    <w:rsid w:val="00D47BD0"/>
    <w:rsid w:val="00D50EDC"/>
    <w:rsid w:val="00D52611"/>
    <w:rsid w:val="00D5603D"/>
    <w:rsid w:val="00D63BE9"/>
    <w:rsid w:val="00D66DFC"/>
    <w:rsid w:val="00D76FCB"/>
    <w:rsid w:val="00D8194E"/>
    <w:rsid w:val="00D83213"/>
    <w:rsid w:val="00D871DA"/>
    <w:rsid w:val="00D92F7C"/>
    <w:rsid w:val="00D94E8F"/>
    <w:rsid w:val="00D95D6C"/>
    <w:rsid w:val="00DA1AE4"/>
    <w:rsid w:val="00DA1E86"/>
    <w:rsid w:val="00DA644C"/>
    <w:rsid w:val="00DB1F4D"/>
    <w:rsid w:val="00DB452B"/>
    <w:rsid w:val="00DB58A2"/>
    <w:rsid w:val="00DC0C0D"/>
    <w:rsid w:val="00DC4F91"/>
    <w:rsid w:val="00DC5425"/>
    <w:rsid w:val="00DC565E"/>
    <w:rsid w:val="00DC6C98"/>
    <w:rsid w:val="00DC7575"/>
    <w:rsid w:val="00DD1A90"/>
    <w:rsid w:val="00DD3927"/>
    <w:rsid w:val="00DE32BC"/>
    <w:rsid w:val="00DE4C23"/>
    <w:rsid w:val="00DE6343"/>
    <w:rsid w:val="00DE6A6E"/>
    <w:rsid w:val="00DE7D1B"/>
    <w:rsid w:val="00DF00D2"/>
    <w:rsid w:val="00DF15F8"/>
    <w:rsid w:val="00DF491D"/>
    <w:rsid w:val="00DF58FD"/>
    <w:rsid w:val="00DF7E14"/>
    <w:rsid w:val="00E010A5"/>
    <w:rsid w:val="00E01E7E"/>
    <w:rsid w:val="00E10520"/>
    <w:rsid w:val="00E11ED3"/>
    <w:rsid w:val="00E1497A"/>
    <w:rsid w:val="00E21F93"/>
    <w:rsid w:val="00E22682"/>
    <w:rsid w:val="00E25FF4"/>
    <w:rsid w:val="00E34796"/>
    <w:rsid w:val="00E43D55"/>
    <w:rsid w:val="00E43D85"/>
    <w:rsid w:val="00E45C5D"/>
    <w:rsid w:val="00E46592"/>
    <w:rsid w:val="00E52BF1"/>
    <w:rsid w:val="00E53513"/>
    <w:rsid w:val="00E609AA"/>
    <w:rsid w:val="00E621DE"/>
    <w:rsid w:val="00E629C9"/>
    <w:rsid w:val="00E711E5"/>
    <w:rsid w:val="00E7746E"/>
    <w:rsid w:val="00E8053C"/>
    <w:rsid w:val="00E807B9"/>
    <w:rsid w:val="00E80C56"/>
    <w:rsid w:val="00E81066"/>
    <w:rsid w:val="00E827B0"/>
    <w:rsid w:val="00E8309B"/>
    <w:rsid w:val="00E8393B"/>
    <w:rsid w:val="00E85178"/>
    <w:rsid w:val="00E85193"/>
    <w:rsid w:val="00E85C70"/>
    <w:rsid w:val="00E871AD"/>
    <w:rsid w:val="00E93DA5"/>
    <w:rsid w:val="00E94BEC"/>
    <w:rsid w:val="00EA0043"/>
    <w:rsid w:val="00EA186D"/>
    <w:rsid w:val="00EA21DC"/>
    <w:rsid w:val="00EA2D54"/>
    <w:rsid w:val="00EA5C41"/>
    <w:rsid w:val="00EA7DC5"/>
    <w:rsid w:val="00EB1922"/>
    <w:rsid w:val="00EB4F9E"/>
    <w:rsid w:val="00EB7B79"/>
    <w:rsid w:val="00EC0AE3"/>
    <w:rsid w:val="00EC1833"/>
    <w:rsid w:val="00EC2154"/>
    <w:rsid w:val="00EC2EAB"/>
    <w:rsid w:val="00EC35D2"/>
    <w:rsid w:val="00EC58F3"/>
    <w:rsid w:val="00EC6E7E"/>
    <w:rsid w:val="00ED28F4"/>
    <w:rsid w:val="00EE626A"/>
    <w:rsid w:val="00EF0215"/>
    <w:rsid w:val="00EF4058"/>
    <w:rsid w:val="00F00AC8"/>
    <w:rsid w:val="00F01391"/>
    <w:rsid w:val="00F16A53"/>
    <w:rsid w:val="00F20ADA"/>
    <w:rsid w:val="00F22BAA"/>
    <w:rsid w:val="00F235AC"/>
    <w:rsid w:val="00F44AAE"/>
    <w:rsid w:val="00F44D21"/>
    <w:rsid w:val="00F4650A"/>
    <w:rsid w:val="00F535A5"/>
    <w:rsid w:val="00F544B4"/>
    <w:rsid w:val="00F560F7"/>
    <w:rsid w:val="00F61B8A"/>
    <w:rsid w:val="00F61D14"/>
    <w:rsid w:val="00F63CFC"/>
    <w:rsid w:val="00F64AEC"/>
    <w:rsid w:val="00F73A8A"/>
    <w:rsid w:val="00F73E19"/>
    <w:rsid w:val="00F74D0B"/>
    <w:rsid w:val="00F8123A"/>
    <w:rsid w:val="00F83C0C"/>
    <w:rsid w:val="00F930FC"/>
    <w:rsid w:val="00F9375F"/>
    <w:rsid w:val="00F93A39"/>
    <w:rsid w:val="00FA21A8"/>
    <w:rsid w:val="00FA29A1"/>
    <w:rsid w:val="00FB0435"/>
    <w:rsid w:val="00FB1738"/>
    <w:rsid w:val="00FB1B82"/>
    <w:rsid w:val="00FB29F8"/>
    <w:rsid w:val="00FB5DAB"/>
    <w:rsid w:val="00FB7D41"/>
    <w:rsid w:val="00FC1E71"/>
    <w:rsid w:val="00FC2EDB"/>
    <w:rsid w:val="00FC3D75"/>
    <w:rsid w:val="00FC613D"/>
    <w:rsid w:val="00FC7FAB"/>
    <w:rsid w:val="00FD4773"/>
    <w:rsid w:val="00FE39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E8CB04"/>
  <w14:defaultImageDpi w14:val="32767"/>
  <w15:chartTrackingRefBased/>
  <w15:docId w15:val="{967B2A89-7F9C-8F4E-A6E8-61740D6C50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2A1734"/>
    <w:pPr>
      <w:spacing w:before="120" w:after="120" w:line="360" w:lineRule="auto"/>
    </w:pPr>
    <w:rPr>
      <w:lang w:val="en-AU"/>
    </w:rPr>
  </w:style>
  <w:style w:type="paragraph" w:styleId="Heading1">
    <w:name w:val="heading 1"/>
    <w:basedOn w:val="Normal"/>
    <w:next w:val="Normal"/>
    <w:link w:val="Heading1Char"/>
    <w:uiPriority w:val="9"/>
    <w:qFormat/>
    <w:rsid w:val="009603C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5187A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2F2142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75187A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CommentReference">
    <w:name w:val="annotation reference"/>
    <w:basedOn w:val="DefaultParagraphFont"/>
    <w:uiPriority w:val="99"/>
    <w:semiHidden/>
    <w:unhideWhenUsed/>
    <w:rsid w:val="00892F9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892F99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892F99"/>
    <w:rPr>
      <w:sz w:val="20"/>
      <w:szCs w:val="20"/>
      <w:lang w:val="en-AU"/>
    </w:rPr>
  </w:style>
  <w:style w:type="paragraph" w:styleId="Caption">
    <w:name w:val="caption"/>
    <w:basedOn w:val="Normal"/>
    <w:next w:val="Normal"/>
    <w:uiPriority w:val="35"/>
    <w:unhideWhenUsed/>
    <w:qFormat/>
    <w:rsid w:val="00892F99"/>
    <w:pPr>
      <w:spacing w:after="200"/>
    </w:pPr>
    <w:rPr>
      <w:rFonts w:ascii="Times New Roman" w:hAnsi="Times New Roman"/>
      <w:i/>
      <w:iCs/>
      <w:color w:val="000000" w:themeColor="text1"/>
      <w:szCs w:val="18"/>
    </w:rPr>
  </w:style>
  <w:style w:type="character" w:styleId="PlaceholderText">
    <w:name w:val="Placeholder Text"/>
    <w:basedOn w:val="DefaultParagraphFont"/>
    <w:uiPriority w:val="99"/>
    <w:semiHidden/>
    <w:rsid w:val="00CF5163"/>
    <w:rPr>
      <w:color w:val="808080"/>
    </w:rPr>
  </w:style>
  <w:style w:type="paragraph" w:customStyle="1" w:styleId="CustomCaption">
    <w:name w:val="Custom Caption"/>
    <w:basedOn w:val="Normal"/>
    <w:next w:val="Normal"/>
    <w:qFormat/>
    <w:rsid w:val="00B12E50"/>
    <w:rPr>
      <w:sz w:val="20"/>
      <w:szCs w:val="20"/>
    </w:rPr>
  </w:style>
  <w:style w:type="paragraph" w:styleId="Revision">
    <w:name w:val="Revision"/>
    <w:hidden/>
    <w:uiPriority w:val="99"/>
    <w:semiHidden/>
    <w:rsid w:val="008924A6"/>
    <w:rPr>
      <w:lang w:val="en-AU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02B5C"/>
    <w:pPr>
      <w:spacing w:line="240" w:lineRule="auto"/>
    </w:pPr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02B5C"/>
    <w:rPr>
      <w:b/>
      <w:bCs/>
      <w:sz w:val="20"/>
      <w:szCs w:val="20"/>
      <w:lang w:val="en-AU"/>
    </w:rPr>
  </w:style>
  <w:style w:type="paragraph" w:styleId="ListParagraph">
    <w:name w:val="List Paragraph"/>
    <w:basedOn w:val="Normal"/>
    <w:uiPriority w:val="34"/>
    <w:qFormat/>
    <w:rsid w:val="001549E7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9603C8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AU"/>
    </w:rPr>
  </w:style>
  <w:style w:type="character" w:customStyle="1" w:styleId="Heading3Char">
    <w:name w:val="Heading 3 Char"/>
    <w:basedOn w:val="DefaultParagraphFont"/>
    <w:link w:val="Heading3"/>
    <w:uiPriority w:val="9"/>
    <w:rsid w:val="002F2142"/>
    <w:rPr>
      <w:rFonts w:asciiTheme="majorHAnsi" w:eastAsiaTheme="majorEastAsia" w:hAnsiTheme="majorHAnsi" w:cstheme="majorBidi"/>
      <w:color w:val="1F3763" w:themeColor="accent1" w:themeShade="7F"/>
      <w:lang w:val="en-AU"/>
    </w:rPr>
  </w:style>
  <w:style w:type="paragraph" w:styleId="Bibliography">
    <w:name w:val="Bibliography"/>
    <w:basedOn w:val="Normal"/>
    <w:next w:val="Normal"/>
    <w:uiPriority w:val="37"/>
    <w:unhideWhenUsed/>
    <w:rsid w:val="00282DCE"/>
    <w:pPr>
      <w:tabs>
        <w:tab w:val="left" w:pos="260"/>
      </w:tabs>
      <w:spacing w:after="240" w:line="240" w:lineRule="auto"/>
      <w:ind w:left="264" w:hanging="264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5E0648DF-AEAB-1247-9295-926E0B16D5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525</Words>
  <Characters>2997</Characters>
  <Application>Microsoft Office Word</Application>
  <DocSecurity>0</DocSecurity>
  <Lines>24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Dragan Rangelov</dc:creator>
  <cp:keywords/>
  <dc:description/>
  <cp:lastModifiedBy>Dragan Rangelov</cp:lastModifiedBy>
  <cp:revision>6</cp:revision>
  <dcterms:created xsi:type="dcterms:W3CDTF">2022-08-14T21:48:00Z</dcterms:created>
  <dcterms:modified xsi:type="dcterms:W3CDTF">2022-08-14T22:19:00Z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0f488380-630a-4f55-a077-a19445e3f360_Enabled">
    <vt:lpwstr>true</vt:lpwstr>
  </property>
  <property fmtid="{D5CDD505-2E9C-101B-9397-08002B2CF9AE}" pid="3" name="MSIP_Label_0f488380-630a-4f55-a077-a19445e3f360_SetDate">
    <vt:lpwstr>2021-09-27T23:30:52Z</vt:lpwstr>
  </property>
  <property fmtid="{D5CDD505-2E9C-101B-9397-08002B2CF9AE}" pid="4" name="MSIP_Label_0f488380-630a-4f55-a077-a19445e3f360_Method">
    <vt:lpwstr>Standard</vt:lpwstr>
  </property>
  <property fmtid="{D5CDD505-2E9C-101B-9397-08002B2CF9AE}" pid="5" name="MSIP_Label_0f488380-630a-4f55-a077-a19445e3f360_Name">
    <vt:lpwstr>OFFICIAL - INTERNAL</vt:lpwstr>
  </property>
  <property fmtid="{D5CDD505-2E9C-101B-9397-08002B2CF9AE}" pid="6" name="MSIP_Label_0f488380-630a-4f55-a077-a19445e3f360_SiteId">
    <vt:lpwstr>b6e377cf-9db3-46cb-91a2-fad9605bb15c</vt:lpwstr>
  </property>
  <property fmtid="{D5CDD505-2E9C-101B-9397-08002B2CF9AE}" pid="7" name="MSIP_Label_0f488380-630a-4f55-a077-a19445e3f360_ActionId">
    <vt:lpwstr>27b17bda-06b8-479b-b862-2c7ce8dbc474</vt:lpwstr>
  </property>
  <property fmtid="{D5CDD505-2E9C-101B-9397-08002B2CF9AE}" pid="8" name="MSIP_Label_0f488380-630a-4f55-a077-a19445e3f360_ContentBits">
    <vt:lpwstr>0</vt:lpwstr>
  </property>
  <property fmtid="{D5CDD505-2E9C-101B-9397-08002B2CF9AE}" pid="9" name="ZOTERO_PREF_1">
    <vt:lpwstr>&lt;data data-version="3" zotero-version="6.0.11"&gt;&lt;session id="zEQxNukb"/&gt;&lt;style id="http://www.zotero.org/styles/current-biology" hasBibliography="1" bibliographyStyleHasBeenSet="1"/&gt;&lt;prefs&gt;&lt;pref name="fieldType" value="Field"/&gt;&lt;pref name="delayCitationUpda</vt:lpwstr>
  </property>
  <property fmtid="{D5CDD505-2E9C-101B-9397-08002B2CF9AE}" pid="10" name="ZOTERO_PREF_2">
    <vt:lpwstr>tes" value="true"/&gt;&lt;/prefs&gt;&lt;/data&gt;</vt:lpwstr>
  </property>
</Properties>
</file>