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FCC6A" w14:textId="77777777" w:rsidR="001B2730" w:rsidRPr="008D4F5A" w:rsidRDefault="001B2730" w:rsidP="001B2730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sz w:val="28"/>
          <w:szCs w:val="28"/>
        </w:rPr>
      </w:pPr>
      <w:r w:rsidRPr="008D4F5A">
        <w:rPr>
          <w:rFonts w:ascii="Arial" w:hAnsi="Arial" w:cs="Arial"/>
          <w:b/>
          <w:bCs/>
          <w:sz w:val="28"/>
          <w:szCs w:val="28"/>
        </w:rPr>
        <w:t>Identification of differentially expressed proteins in the serum for systemic juvenile idiopathic arthritis using next-generation proteomics</w:t>
      </w:r>
    </w:p>
    <w:p w14:paraId="4021FB1D" w14:textId="77777777" w:rsidR="001B2730" w:rsidRPr="008D4F5A" w:rsidRDefault="001B2730" w:rsidP="001B2730">
      <w:pPr>
        <w:widowControl/>
        <w:shd w:val="clear" w:color="auto" w:fill="FFFFFF"/>
        <w:spacing w:line="276" w:lineRule="auto"/>
        <w:contextualSpacing/>
        <w:textAlignment w:val="baseline"/>
        <w:rPr>
          <w:rFonts w:ascii="Arial" w:eastAsia="ＭＳ Ｐゴシック" w:hAnsi="Arial" w:cs="Arial"/>
          <w:b/>
          <w:bCs/>
          <w:kern w:val="0"/>
          <w:sz w:val="24"/>
          <w:szCs w:val="24"/>
        </w:rPr>
      </w:pPr>
    </w:p>
    <w:p w14:paraId="72AB6412" w14:textId="77777777" w:rsidR="001B2730" w:rsidRPr="008D4F5A" w:rsidRDefault="001B2730" w:rsidP="001B2730">
      <w:pPr>
        <w:widowControl/>
        <w:shd w:val="clear" w:color="auto" w:fill="FFFFFF"/>
        <w:spacing w:line="276" w:lineRule="auto"/>
        <w:contextualSpacing/>
        <w:textAlignment w:val="baseline"/>
        <w:rPr>
          <w:rFonts w:ascii="Arial" w:eastAsia="ＭＳ Ｐゴシック" w:hAnsi="Arial" w:cs="Arial"/>
          <w:b/>
          <w:bCs/>
          <w:kern w:val="0"/>
          <w:sz w:val="24"/>
          <w:szCs w:val="24"/>
        </w:rPr>
      </w:pPr>
      <w:r w:rsidRPr="008D4F5A">
        <w:rPr>
          <w:rFonts w:ascii="Arial" w:eastAsia="ＭＳ Ｐゴシック" w:hAnsi="Arial" w:cs="Arial"/>
          <w:b/>
          <w:bCs/>
          <w:kern w:val="0"/>
          <w:sz w:val="24"/>
          <w:szCs w:val="24"/>
        </w:rPr>
        <w:t>Authors</w:t>
      </w:r>
    </w:p>
    <w:p w14:paraId="342AECE4" w14:textId="77777777" w:rsidR="001B2730" w:rsidRPr="008D4F5A" w:rsidRDefault="001B2730" w:rsidP="001B2730">
      <w:pPr>
        <w:widowControl/>
        <w:shd w:val="clear" w:color="auto" w:fill="FFFFFF"/>
        <w:spacing w:line="276" w:lineRule="auto"/>
        <w:contextualSpacing/>
        <w:textAlignment w:val="baseline"/>
        <w:rPr>
          <w:rFonts w:ascii="Arial" w:eastAsia="ＭＳ Ｐゴシック" w:hAnsi="Arial" w:cs="Arial"/>
          <w:b/>
          <w:bCs/>
          <w:kern w:val="0"/>
          <w:sz w:val="24"/>
          <w:szCs w:val="24"/>
        </w:rPr>
      </w:pPr>
      <w:r w:rsidRPr="008D4F5A">
        <w:rPr>
          <w:rFonts w:ascii="Arial" w:eastAsia="ＭＳ Ｐゴシック" w:hAnsi="Arial" w:cs="Arial"/>
          <w:kern w:val="0"/>
          <w:sz w:val="24"/>
          <w:szCs w:val="24"/>
        </w:rPr>
        <w:t>Hironori Sato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vertAlign w:val="superscript"/>
        </w:rPr>
        <w:t>1</w:t>
      </w:r>
      <w:r w:rsidRPr="008D4F5A">
        <w:rPr>
          <w:rFonts w:ascii="Arial" w:eastAsia="ＭＳ Ｐゴシック" w:hAnsi="Arial" w:cs="Arial"/>
          <w:kern w:val="0"/>
          <w:sz w:val="24"/>
          <w:szCs w:val="24"/>
          <w:vertAlign w:val="superscript"/>
        </w:rPr>
        <w:t>,</w:t>
      </w:r>
      <w:proofErr w:type="gramStart"/>
      <w:r w:rsidRPr="008D4F5A">
        <w:rPr>
          <w:rFonts w:ascii="Arial" w:eastAsia="ＭＳ Ｐゴシック" w:hAnsi="Arial" w:cs="Arial"/>
          <w:kern w:val="0"/>
          <w:sz w:val="24"/>
          <w:szCs w:val="24"/>
          <w:vertAlign w:val="superscript"/>
        </w:rPr>
        <w:t>2</w:t>
      </w:r>
      <w:r w:rsidRPr="008D4F5A">
        <w:rPr>
          <w:rFonts w:ascii="Arial" w:eastAsia="ＭＳ Ｐゴシック" w:hAnsi="Arial" w:cs="Arial"/>
          <w:kern w:val="0"/>
          <w:sz w:val="24"/>
          <w:szCs w:val="24"/>
        </w:rPr>
        <w:t xml:space="preserve"> ,</w:t>
      </w:r>
      <w:proofErr w:type="gramEnd"/>
      <w:r w:rsidRPr="008D4F5A">
        <w:rPr>
          <w:rFonts w:ascii="Arial" w:eastAsia="ＭＳ Ｐゴシック" w:hAnsi="Arial" w:cs="Arial"/>
          <w:kern w:val="0"/>
          <w:sz w:val="24"/>
          <w:szCs w:val="24"/>
        </w:rPr>
        <w:t xml:space="preserve"> </w:t>
      </w:r>
      <w:proofErr w:type="spellStart"/>
      <w:r w:rsidRPr="008D4F5A">
        <w:rPr>
          <w:rFonts w:ascii="Arial" w:eastAsia="ＭＳ Ｐゴシック" w:hAnsi="Arial" w:cs="Arial"/>
          <w:kern w:val="0"/>
          <w:sz w:val="24"/>
          <w:szCs w:val="24"/>
        </w:rPr>
        <w:t>Yuzaburo</w:t>
      </w:r>
      <w:proofErr w:type="spellEnd"/>
      <w:r w:rsidRPr="008D4F5A">
        <w:rPr>
          <w:rFonts w:ascii="Arial" w:eastAsia="ＭＳ Ｐゴシック" w:hAnsi="Arial" w:cs="Arial"/>
          <w:kern w:val="0"/>
          <w:sz w:val="24"/>
          <w:szCs w:val="24"/>
        </w:rPr>
        <w:t xml:space="preserve"> Inoue</w:t>
      </w:r>
      <w:r w:rsidRPr="008D4F5A">
        <w:rPr>
          <w:rFonts w:ascii="Arial" w:eastAsia="ＭＳ Ｐゴシック" w:hAnsi="Arial" w:cs="Arial"/>
          <w:kern w:val="0"/>
          <w:sz w:val="24"/>
          <w:szCs w:val="24"/>
          <w:vertAlign w:val="superscript"/>
        </w:rPr>
        <w:t>3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vertAlign w:val="superscript"/>
        </w:rPr>
        <w:t>*</w:t>
      </w:r>
      <w:r w:rsidRPr="008D4F5A">
        <w:rPr>
          <w:rFonts w:ascii="Arial" w:eastAsia="ＭＳ Ｐゴシック" w:hAnsi="Arial" w:cs="Arial"/>
          <w:kern w:val="0"/>
          <w:sz w:val="24"/>
          <w:szCs w:val="24"/>
        </w:rPr>
        <w:t xml:space="preserve">, 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Yusuke Kawashima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1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, Daisuke Nakajima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1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, Ren Nakamura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1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Daigo</w:t>
      </w:r>
      <w:proofErr w:type="spellEnd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Kato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, 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K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anako Mitsunaga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, 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T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akeshi Yamamoto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3,4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,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kiko Yamaide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Minako</w:t>
      </w:r>
      <w:proofErr w:type="spellEnd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Tomiita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5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, 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kira Hoshioka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,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Osamu Ohara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1</w:t>
      </w:r>
      <w:r w:rsidRPr="008D4F5A">
        <w:rPr>
          <w:rFonts w:ascii="Arial" w:eastAsia="ＭＳ Ｐゴシック" w:hAnsi="Arial" w:cs="Arial" w:hint="eastAsia"/>
          <w:kern w:val="0"/>
          <w:sz w:val="24"/>
          <w:szCs w:val="24"/>
          <w:bdr w:val="none" w:sz="0" w:space="0" w:color="auto" w:frame="1"/>
        </w:rPr>
        <w:t>,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Naoki Shimojo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6</w:t>
      </w:r>
    </w:p>
    <w:p w14:paraId="6DCEC576" w14:textId="77777777" w:rsidR="001B2730" w:rsidRPr="008D4F5A" w:rsidRDefault="001B2730" w:rsidP="001B2730">
      <w:pPr>
        <w:spacing w:line="276" w:lineRule="auto"/>
        <w:contextualSpacing/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</w:pPr>
    </w:p>
    <w:p w14:paraId="307A2984" w14:textId="77777777" w:rsidR="001B2730" w:rsidRPr="008D4F5A" w:rsidRDefault="001B2730" w:rsidP="001B2730">
      <w:pPr>
        <w:widowControl/>
        <w:spacing w:line="276" w:lineRule="auto"/>
        <w:contextualSpacing/>
        <w:textAlignment w:val="baseline"/>
        <w:rPr>
          <w:rFonts w:ascii="Arial" w:hAnsi="Arial" w:cs="Arial"/>
          <w:sz w:val="24"/>
          <w:szCs w:val="24"/>
        </w:rPr>
      </w:pP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1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Department of Applied Genomics, </w:t>
      </w:r>
      <w:proofErr w:type="spellStart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Kazusa</w:t>
      </w:r>
      <w:proofErr w:type="spellEnd"/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 xml:space="preserve"> DNA Research Institute</w:t>
      </w:r>
      <w:r w:rsidRPr="008D4F5A">
        <w:rPr>
          <w:rFonts w:ascii="Arial" w:hAnsi="Arial" w:cs="Arial"/>
          <w:sz w:val="24"/>
          <w:szCs w:val="24"/>
        </w:rPr>
        <w:t>, Kisarazu, Japan</w:t>
      </w:r>
    </w:p>
    <w:p w14:paraId="59978B49" w14:textId="77777777" w:rsidR="001B2730" w:rsidRPr="008D4F5A" w:rsidRDefault="001B2730" w:rsidP="001B2730">
      <w:pPr>
        <w:widowControl/>
        <w:spacing w:line="276" w:lineRule="auto"/>
        <w:contextualSpacing/>
        <w:textAlignment w:val="baseline"/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</w:pP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2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Department of Pediatrics, Graduate School of Medicine, Chiba University, Chiba, Japan</w:t>
      </w:r>
    </w:p>
    <w:p w14:paraId="25C763A9" w14:textId="77777777" w:rsidR="001B2730" w:rsidRPr="008D4F5A" w:rsidRDefault="001B2730" w:rsidP="001B2730">
      <w:pPr>
        <w:spacing w:line="276" w:lineRule="auto"/>
        <w:contextualSpacing/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</w:pP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  <w:vertAlign w:val="superscript"/>
        </w:rPr>
        <w:t>3</w:t>
      </w:r>
      <w:r w:rsidRPr="008D4F5A"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  <w:t>Department of Allergy and Rheumatology, Chiba Children's Hospital, Chiba, Japan</w:t>
      </w:r>
    </w:p>
    <w:p w14:paraId="6D4712B3" w14:textId="77777777" w:rsidR="001B2730" w:rsidRPr="008D4F5A" w:rsidRDefault="001B2730" w:rsidP="001B2730">
      <w:pPr>
        <w:widowControl/>
        <w:shd w:val="clear" w:color="auto" w:fill="FFFFFF"/>
        <w:jc w:val="left"/>
        <w:rPr>
          <w:rFonts w:ascii="Arial" w:eastAsia="ＭＳ Ｐゴシック" w:hAnsi="Arial" w:cs="Arial"/>
          <w:color w:val="000000"/>
          <w:kern w:val="0"/>
          <w:sz w:val="24"/>
          <w:szCs w:val="24"/>
        </w:rPr>
      </w:pPr>
      <w:r w:rsidRPr="008D4F5A">
        <w:rPr>
          <w:rFonts w:ascii="Arial" w:eastAsia="ＭＳ Ｐゴシック" w:hAnsi="Arial" w:cs="Arial"/>
          <w:color w:val="000000"/>
          <w:kern w:val="0"/>
          <w:sz w:val="24"/>
          <w:szCs w:val="24"/>
          <w:vertAlign w:val="superscript"/>
        </w:rPr>
        <w:t>4</w:t>
      </w:r>
      <w:r w:rsidRPr="008D4F5A">
        <w:rPr>
          <w:rFonts w:ascii="Arial" w:eastAsia="ＭＳ Ｐゴシック" w:hAnsi="Arial" w:cs="Arial"/>
          <w:color w:val="000000"/>
          <w:kern w:val="0"/>
          <w:sz w:val="24"/>
          <w:szCs w:val="24"/>
        </w:rPr>
        <w:t>Benaroya Research Institute at Virginia Mason, Seattle, USA</w:t>
      </w:r>
    </w:p>
    <w:p w14:paraId="5AA541BB" w14:textId="77777777" w:rsidR="001B2730" w:rsidRPr="008D4F5A" w:rsidRDefault="001B2730" w:rsidP="001B2730">
      <w:pPr>
        <w:widowControl/>
        <w:spacing w:line="276" w:lineRule="auto"/>
        <w:contextualSpacing/>
        <w:textAlignment w:val="baseline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  <w:vertAlign w:val="superscript"/>
        </w:rPr>
        <w:t>5</w:t>
      </w:r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Department of Pediatrics, </w:t>
      </w:r>
      <w:proofErr w:type="spellStart"/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</w:rPr>
        <w:t>Shimoshizu</w:t>
      </w:r>
      <w:proofErr w:type="spellEnd"/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National Hospital, </w:t>
      </w:r>
      <w:proofErr w:type="spellStart"/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</w:rPr>
        <w:t>Yotsukaido</w:t>
      </w:r>
      <w:proofErr w:type="spellEnd"/>
      <w:r w:rsidRPr="008D4F5A">
        <w:rPr>
          <w:rFonts w:ascii="Arial" w:hAnsi="Arial" w:cs="Arial"/>
          <w:color w:val="212121"/>
          <w:sz w:val="24"/>
          <w:szCs w:val="24"/>
          <w:shd w:val="clear" w:color="auto" w:fill="FFFFFF"/>
        </w:rPr>
        <w:t>, Japan.</w:t>
      </w:r>
    </w:p>
    <w:p w14:paraId="10D78192" w14:textId="77777777" w:rsidR="001B2730" w:rsidRPr="008D4F5A" w:rsidRDefault="001B2730" w:rsidP="001B2730">
      <w:pPr>
        <w:widowControl/>
        <w:spacing w:line="276" w:lineRule="auto"/>
        <w:contextualSpacing/>
        <w:textAlignment w:val="baseline"/>
        <w:rPr>
          <w:rFonts w:ascii="Arial" w:eastAsia="ＭＳ Ｐゴシック" w:hAnsi="Arial" w:cs="Arial"/>
          <w:kern w:val="0"/>
          <w:sz w:val="24"/>
          <w:szCs w:val="24"/>
          <w:bdr w:val="none" w:sz="0" w:space="0" w:color="auto" w:frame="1"/>
        </w:rPr>
      </w:pPr>
      <w:r w:rsidRPr="008D4F5A">
        <w:rPr>
          <w:rFonts w:ascii="Arial" w:hAnsi="Arial" w:cs="Arial"/>
          <w:kern w:val="0"/>
          <w:sz w:val="24"/>
          <w:szCs w:val="24"/>
          <w:vertAlign w:val="superscript"/>
        </w:rPr>
        <w:t>6</w:t>
      </w:r>
      <w:r w:rsidRPr="008D4F5A">
        <w:rPr>
          <w:rFonts w:ascii="Arial" w:hAnsi="Arial" w:cs="Arial"/>
          <w:kern w:val="0"/>
          <w:sz w:val="24"/>
          <w:szCs w:val="24"/>
        </w:rPr>
        <w:t>Center for Preventive Medical Sciences, Chiba University, Chiba, Japan</w:t>
      </w:r>
    </w:p>
    <w:p w14:paraId="78442DA3" w14:textId="77777777" w:rsidR="001B2730" w:rsidRPr="001B2730" w:rsidRDefault="001B2730" w:rsidP="001B2730">
      <w:pPr>
        <w:autoSpaceDE w:val="0"/>
        <w:autoSpaceDN w:val="0"/>
        <w:adjustRightInd w:val="0"/>
        <w:spacing w:line="276" w:lineRule="auto"/>
        <w:contextualSpacing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5798F72D" w14:textId="77777777" w:rsidR="001B2730" w:rsidRDefault="001B2730" w:rsidP="005B0BE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574E5495" w14:textId="77777777" w:rsidR="001B2730" w:rsidRDefault="001B2730" w:rsidP="005B0BE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08E847FC" w14:textId="224F4D1F" w:rsidR="005B0BED" w:rsidRPr="00EA1CE9" w:rsidRDefault="005B0BED" w:rsidP="005B0BED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EA1CE9">
        <w:rPr>
          <w:rFonts w:ascii="Arial" w:hAnsi="Arial" w:cs="Arial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2616DE5B" wp14:editId="2BF02BD5">
            <wp:extent cx="4992370" cy="3824577"/>
            <wp:effectExtent l="0" t="0" r="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7" t="3142" r="5173" b="2406"/>
                    <a:stretch/>
                  </pic:blipFill>
                  <pic:spPr bwMode="auto">
                    <a:xfrm>
                      <a:off x="0" y="0"/>
                      <a:ext cx="4993406" cy="3825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FBFEFF" w14:textId="77777777" w:rsidR="005B0BED" w:rsidRPr="00EA1CE9" w:rsidRDefault="005B0BED" w:rsidP="00121D9E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</w:rPr>
      </w:pPr>
    </w:p>
    <w:p w14:paraId="12DB77B4" w14:textId="68329A1D" w:rsidR="005B0BED" w:rsidRPr="00EA1CE9" w:rsidRDefault="00121D9E" w:rsidP="00121D9E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  <w:u w:color="FF0000"/>
        </w:rPr>
      </w:pPr>
      <w:r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>Supplement</w:t>
      </w:r>
      <w:r w:rsidR="003907B0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>al</w:t>
      </w:r>
      <w:r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 figure</w:t>
      </w:r>
      <w:r w:rsidRPr="00EA1CE9">
        <w:rPr>
          <w:rFonts w:ascii="Arial" w:hAnsi="Arial" w:cs="Arial"/>
          <w:b/>
          <w:bCs/>
          <w:sz w:val="24"/>
          <w:szCs w:val="24"/>
          <w:u w:color="FF0000"/>
        </w:rPr>
        <w:t xml:space="preserve"> </w:t>
      </w:r>
      <w:r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1. </w:t>
      </w:r>
      <w:r w:rsidR="005B0BED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Correlation between </w:t>
      </w:r>
      <w:r w:rsidR="000D080B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the </w:t>
      </w:r>
      <w:r w:rsidR="005B0BED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quantitative values of </w:t>
      </w:r>
      <w:r w:rsidR="000D080B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the </w:t>
      </w:r>
      <w:r w:rsidR="005B0BED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MS analysis and </w:t>
      </w:r>
      <w:r w:rsidR="000D080B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the </w:t>
      </w:r>
      <w:r w:rsidR="005B0BED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laboratory data for each biomarker </w:t>
      </w:r>
    </w:p>
    <w:p w14:paraId="2A7E802E" w14:textId="11808CBD" w:rsidR="005B0BED" w:rsidRPr="00EA1CE9" w:rsidRDefault="005B0BED" w:rsidP="005B0BED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kern w:val="0"/>
          <w:sz w:val="24"/>
          <w:szCs w:val="24"/>
          <w:u w:color="FF0000"/>
        </w:rPr>
      </w:pP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The horizontal axis 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shows 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the quantitative values of 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the 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>MS analysis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>.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 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>T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he vertical axis 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shows 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the </w:t>
      </w:r>
      <w:r w:rsidR="00B15251" w:rsidRPr="00EA1CE9">
        <w:rPr>
          <w:rFonts w:ascii="Arial" w:hAnsi="Arial" w:cs="Arial" w:hint="eastAsia"/>
          <w:kern w:val="0"/>
          <w:sz w:val="24"/>
          <w:szCs w:val="24"/>
          <w:u w:color="FF0000"/>
        </w:rPr>
        <w:t>l</w:t>
      </w:r>
      <w:r w:rsidR="00B15251" w:rsidRPr="00EA1CE9">
        <w:rPr>
          <w:rFonts w:ascii="Arial" w:hAnsi="Arial" w:cs="Arial"/>
          <w:kern w:val="0"/>
          <w:sz w:val="24"/>
          <w:szCs w:val="24"/>
          <w:u w:color="FF0000"/>
        </w:rPr>
        <w:t>aboratory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 xml:space="preserve"> data. 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br/>
        <w:t>R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  <w:vertAlign w:val="superscript"/>
        </w:rPr>
        <w:t>2</w:t>
      </w:r>
      <w:r w:rsidR="000D080B" w:rsidRPr="00EA1CE9">
        <w:rPr>
          <w:rFonts w:ascii="Arial" w:hAnsi="Arial" w:cs="Arial"/>
          <w:kern w:val="0"/>
          <w:sz w:val="24"/>
          <w:szCs w:val="24"/>
          <w:u w:color="FF0000"/>
        </w:rPr>
        <w:t>, D</w:t>
      </w:r>
      <w:r w:rsidRPr="00EA1CE9">
        <w:rPr>
          <w:rFonts w:ascii="Arial" w:hAnsi="Arial" w:cs="Arial"/>
          <w:kern w:val="0"/>
          <w:sz w:val="24"/>
          <w:szCs w:val="24"/>
          <w:u w:color="FF0000"/>
        </w:rPr>
        <w:t>ecision coefficient.</w:t>
      </w:r>
    </w:p>
    <w:p w14:paraId="1F99CCD0" w14:textId="3FB5B5DC" w:rsidR="005B0BED" w:rsidRPr="00EA1CE9" w:rsidRDefault="005B0BED" w:rsidP="00121D9E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</w:rPr>
      </w:pPr>
      <w:r w:rsidRPr="00EA1CE9">
        <w:rPr>
          <w:rFonts w:ascii="Arial" w:hAnsi="Arial" w:cs="Arial"/>
          <w:b/>
          <w:bCs/>
          <w:kern w:val="0"/>
          <w:sz w:val="24"/>
          <w:szCs w:val="24"/>
        </w:rPr>
        <w:br w:type="page"/>
      </w:r>
    </w:p>
    <w:p w14:paraId="390E8EA4" w14:textId="279E0F59" w:rsidR="005B0BED" w:rsidRPr="00EA1CE9" w:rsidRDefault="005B0BED" w:rsidP="00121D9E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</w:rPr>
      </w:pPr>
      <w:r w:rsidRPr="00EA1CE9">
        <w:rPr>
          <w:rFonts w:ascii="Arial" w:hAnsi="Arial" w:cs="Arial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75BF9276" wp14:editId="2DC1C512">
            <wp:extent cx="5400040" cy="2790907"/>
            <wp:effectExtent l="0" t="0" r="0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7"/>
                    <a:stretch/>
                  </pic:blipFill>
                  <pic:spPr bwMode="auto">
                    <a:xfrm>
                      <a:off x="0" y="0"/>
                      <a:ext cx="5400040" cy="2790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93291" w14:textId="13329A83" w:rsidR="00272B36" w:rsidRPr="00EA1CE9" w:rsidRDefault="00272B36" w:rsidP="00272B36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</w:rPr>
      </w:pPr>
      <w:r w:rsidRPr="00EA1CE9">
        <w:rPr>
          <w:rFonts w:ascii="Arial" w:hAnsi="Arial" w:cs="Arial"/>
          <w:b/>
          <w:bCs/>
          <w:kern w:val="0"/>
          <w:sz w:val="24"/>
          <w:szCs w:val="24"/>
        </w:rPr>
        <w:t>Supplement</w:t>
      </w:r>
      <w:r w:rsidR="003907B0" w:rsidRPr="00EA1CE9">
        <w:rPr>
          <w:rFonts w:ascii="Arial" w:hAnsi="Arial" w:cs="Arial"/>
          <w:b/>
          <w:bCs/>
          <w:kern w:val="0"/>
          <w:sz w:val="24"/>
          <w:szCs w:val="24"/>
        </w:rPr>
        <w:t>al</w:t>
      </w:r>
      <w:r w:rsidRPr="00EA1CE9">
        <w:rPr>
          <w:rFonts w:ascii="Arial" w:hAnsi="Arial" w:cs="Arial"/>
          <w:b/>
          <w:bCs/>
          <w:kern w:val="0"/>
          <w:sz w:val="24"/>
          <w:szCs w:val="24"/>
        </w:rPr>
        <w:t xml:space="preserve"> figure 2. A gene ontology (GO) analysis for biological processes. </w:t>
      </w:r>
    </w:p>
    <w:p w14:paraId="04252A48" w14:textId="2D27C479" w:rsidR="00272B36" w:rsidRPr="00EA1CE9" w:rsidRDefault="00272B36" w:rsidP="00272B36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sz w:val="24"/>
          <w:szCs w:val="24"/>
        </w:rPr>
      </w:pPr>
      <w:r w:rsidRPr="00EA1CE9">
        <w:rPr>
          <w:rFonts w:ascii="Arial" w:hAnsi="Arial" w:cs="Arial"/>
          <w:sz w:val="24"/>
          <w:szCs w:val="24"/>
        </w:rPr>
        <w:t>Functional annotation of URPs. Mainly representative GO terms related to immunity were extracted.</w:t>
      </w:r>
    </w:p>
    <w:p w14:paraId="75C8D315" w14:textId="29D1CA29" w:rsidR="00121D9E" w:rsidRPr="00EA1CE9" w:rsidRDefault="00FE6A6D">
      <w:r w:rsidRPr="00EA1CE9">
        <w:br w:type="page"/>
      </w:r>
    </w:p>
    <w:p w14:paraId="614C92E3" w14:textId="51ABEBC0" w:rsidR="00FE6A6D" w:rsidRPr="00EA1CE9" w:rsidRDefault="00FE6A6D"/>
    <w:tbl>
      <w:tblPr>
        <w:tblW w:w="9785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6"/>
        <w:gridCol w:w="1008"/>
        <w:gridCol w:w="2317"/>
        <w:gridCol w:w="741"/>
        <w:gridCol w:w="960"/>
        <w:gridCol w:w="688"/>
        <w:gridCol w:w="741"/>
        <w:gridCol w:w="1028"/>
        <w:gridCol w:w="661"/>
        <w:gridCol w:w="785"/>
      </w:tblGrid>
      <w:tr w:rsidR="003577C5" w:rsidRPr="00EA1CE9" w14:paraId="3836CC6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7614" w14:textId="77777777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Uniprot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Ac.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A486" w14:textId="77777777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788E" w14:textId="77777777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Protein name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34D8" w14:textId="4F6136F5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Peptide Count</w:t>
            </w:r>
          </w:p>
        </w:tc>
        <w:tc>
          <w:tcPr>
            <w:tcW w:w="238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C460" w14:textId="77777777" w:rsidR="003577C5" w:rsidRPr="00EA1CE9" w:rsidRDefault="003577C5" w:rsidP="003577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A1CE9">
              <w:rPr>
                <w:rFonts w:ascii="Arial" w:hAnsi="Arial" w:cs="Arial"/>
                <w:sz w:val="18"/>
                <w:szCs w:val="18"/>
              </w:rPr>
              <w:t>Average quantitative value</w:t>
            </w:r>
          </w:p>
          <w:p w14:paraId="64C7B393" w14:textId="26AD9C53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hAnsi="Arial" w:cs="Arial" w:hint="eastAsia"/>
                <w:sz w:val="18"/>
                <w:szCs w:val="18"/>
              </w:rPr>
              <w:t>(L</w:t>
            </w:r>
            <w:r w:rsidRPr="00EA1CE9">
              <w:rPr>
                <w:rFonts w:ascii="Arial" w:hAnsi="Arial" w:cs="Arial"/>
                <w:sz w:val="18"/>
                <w:szCs w:val="18"/>
              </w:rPr>
              <w:t>og</w:t>
            </w:r>
            <w:r w:rsidRPr="00EA1CE9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EA1CE9">
              <w:rPr>
                <w:rFonts w:ascii="Arial" w:hAnsi="Arial" w:cs="Arial"/>
                <w:sz w:val="18"/>
                <w:szCs w:val="18"/>
              </w:rPr>
              <w:t xml:space="preserve"> transformed)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02B1" w14:textId="479152EF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Analysis-1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AEF5" w14:textId="4E3845C8" w:rsidR="003577C5" w:rsidRPr="00EA1CE9" w:rsidRDefault="003577C5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 w:hint="eastAsia"/>
                <w:color w:val="000000"/>
                <w:kern w:val="0"/>
                <w:sz w:val="16"/>
                <w:szCs w:val="16"/>
              </w:rPr>
              <w:t>A</w:t>
            </w: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nalysis-2</w:t>
            </w:r>
          </w:p>
        </w:tc>
      </w:tr>
      <w:tr w:rsidR="00CC452B" w:rsidRPr="00EA1CE9" w14:paraId="4780058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BD492" w14:textId="5AFDE54D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6C060" w14:textId="3D32A558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F0CD3" w14:textId="2B9CE60F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8020E" w14:textId="00392714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37EC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MAS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32C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active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FBB7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inactive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7458A" w14:textId="46BC928C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DF80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MAS</w:t>
            </w:r>
          </w:p>
          <w:p w14:paraId="7133B2F8" w14:textId="67D75BE9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/active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3210E" w14:textId="4DC29066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Active</w:t>
            </w:r>
          </w:p>
          <w:p w14:paraId="6765CD40" w14:textId="1084B151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/inactive</w:t>
            </w:r>
          </w:p>
        </w:tc>
      </w:tr>
      <w:tr w:rsidR="00CC452B" w:rsidRPr="00EA1CE9" w14:paraId="3163E7DD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56B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P0DJI9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B7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SAA2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7043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Serum amyloid A-2 protein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380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4D0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28.253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B43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24.631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CED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19.130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E9A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741.9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1D9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12.3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D77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45.3</w:t>
            </w:r>
          </w:p>
        </w:tc>
      </w:tr>
      <w:tr w:rsidR="00CC452B" w:rsidRPr="00EA1CE9" w14:paraId="1CE8C74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CCA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P02741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BB1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CRP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69CE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C-reactive protein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392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51B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32.219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080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30.311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0A1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24.509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503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480.9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9CA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851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55.8</w:t>
            </w:r>
          </w:p>
        </w:tc>
      </w:tr>
      <w:tr w:rsidR="00CC452B" w:rsidRPr="00EA1CE9" w14:paraId="260C229E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166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P02792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543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FTL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A430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Ferritin light chain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DE1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F40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28.351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5CD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25.467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F1E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21.029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104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110.9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043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365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21.7</w:t>
            </w:r>
          </w:p>
        </w:tc>
      </w:tr>
      <w:tr w:rsidR="00CC452B" w:rsidRPr="00EA1CE9" w14:paraId="4F0FC6F2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CE0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P0DJI8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D3F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SAA1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8AC3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Serum amyloid A-1 protein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5E0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5E6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32.008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6FA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29.856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8E1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26.374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178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89.8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0DC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924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11.2</w:t>
            </w:r>
          </w:p>
        </w:tc>
      </w:tr>
      <w:tr w:rsidR="00CC452B" w:rsidRPr="00EA1CE9" w14:paraId="7BD68B6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163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P02794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2AA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FTH1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2D1A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Ferritin heavy chain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55E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299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25.157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13B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21.612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447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17.774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AC7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82.8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7C8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DCC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14.3</w:t>
            </w:r>
          </w:p>
        </w:tc>
      </w:tr>
      <w:tr w:rsidR="00CC452B" w:rsidRPr="00EA1CE9" w14:paraId="2CFE8297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9E4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P28838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EC5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LAP3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BA60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Cytosol aminopeptidase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CA8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668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28.697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E9F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26.627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922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22.069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D1C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52.8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E4C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02B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23.6</w:t>
            </w:r>
          </w:p>
        </w:tc>
      </w:tr>
      <w:tr w:rsidR="00CC452B" w:rsidRPr="00EA1CE9" w14:paraId="1F0CCA3E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B48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P07900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229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HSP90AA1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02D9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Heat shock protein HSP 90-alpha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A32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D9D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27.226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1D8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25.459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6B8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21.793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0FA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6C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58C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12.7</w:t>
            </w:r>
          </w:p>
        </w:tc>
      </w:tr>
      <w:tr w:rsidR="00CC452B" w:rsidRPr="00EA1CE9" w14:paraId="03B1A7CD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761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Q9BR76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AB8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CORO1B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F2A0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Coronin-1B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DC8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057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21.288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2DF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20.345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B80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16.868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714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D27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24B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11.1</w:t>
            </w:r>
          </w:p>
        </w:tc>
      </w:tr>
      <w:tr w:rsidR="00CC452B" w:rsidRPr="00EA1CE9" w14:paraId="49CFAB79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07D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Q96KP4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941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CNDP2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6AC2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Cytosolic non-specific dipeptidase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DF8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E87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26.478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A2B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24.297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B6E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20.956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778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DF7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A4C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10.1</w:t>
            </w:r>
          </w:p>
        </w:tc>
      </w:tr>
      <w:tr w:rsidR="00CC452B" w:rsidRPr="00EA1CE9" w14:paraId="668C2CF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2A9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P15104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5A7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GLUL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79F9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Glutamine synthetase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C61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B92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23.635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C6C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20.633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DA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18.567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262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F27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B2B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4.2</w:t>
            </w:r>
          </w:p>
        </w:tc>
      </w:tr>
      <w:tr w:rsidR="00CC452B" w:rsidRPr="00EA1CE9" w14:paraId="722D9CB8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7C9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P28065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6E4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PSMB9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3C97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beta type-9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4FD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4DA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25.272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177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23.776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571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214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F69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8E6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12.5</w:t>
            </w:r>
          </w:p>
        </w:tc>
      </w:tr>
      <w:tr w:rsidR="00CC452B" w:rsidRPr="00EA1CE9" w14:paraId="097DDA71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2B7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P62805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42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H4C1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B39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Histone H4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A89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9B4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28.063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8D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24.125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40C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21.846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9B9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910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709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4.9</w:t>
            </w:r>
          </w:p>
        </w:tc>
      </w:tr>
      <w:tr w:rsidR="00CC452B" w:rsidRPr="00EA1CE9" w14:paraId="6C96CBB7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E10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P40306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1B1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PSMB10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299D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beta type-10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A08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7F5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25.328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D33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24.082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13A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20.223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3D9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A5F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AB5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14.5</w:t>
            </w:r>
          </w:p>
        </w:tc>
      </w:tr>
      <w:tr w:rsidR="00CC452B" w:rsidRPr="00EA1CE9" w14:paraId="499D648F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196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P09601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49E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HMOX1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FEE7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Heme oxygenase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E12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889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24.595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5F1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24.858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41A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20.698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972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C9A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888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17.9</w:t>
            </w:r>
          </w:p>
        </w:tc>
      </w:tr>
      <w:tr w:rsidR="00CC452B" w:rsidRPr="00EA1CE9" w14:paraId="6E831261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AB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Q9BXD5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4A1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NPL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58DC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N-acetylneuraminate lyase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7C5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FAE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23.986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603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22.908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9C4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19.667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630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B45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4A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9.5</w:t>
            </w:r>
          </w:p>
        </w:tc>
      </w:tr>
      <w:tr w:rsidR="00CC452B" w:rsidRPr="00EA1CE9" w14:paraId="3607589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FA9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O60814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52B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H2BC12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C9C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Histone H2B type 1-K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666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D6D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24.484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6E5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20.562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D11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18.176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845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234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FF4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5.2</w:t>
            </w:r>
          </w:p>
        </w:tc>
      </w:tr>
      <w:tr w:rsidR="00CC452B" w:rsidRPr="00EA1CE9" w14:paraId="1EC66E55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F7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P19971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C26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TYMP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763C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Thymidine phosphorylase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5E1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8B7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26.827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6E4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25.616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855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22.092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FAC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94E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88B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11.5</w:t>
            </w:r>
          </w:p>
        </w:tc>
      </w:tr>
      <w:tr w:rsidR="00CC452B" w:rsidRPr="00EA1CE9" w14:paraId="3ECE0C4A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7FE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Q13011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B6A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ECH1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260A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Delta(3,5)-</w:t>
            </w:r>
            <w:proofErr w:type="gram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Delta(</w:t>
            </w:r>
            <w:proofErr w:type="gram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2,4)-dienoyl-CoA isomerase, mitochondrial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1C9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7E2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22.572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8C3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18.763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AD6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17.310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8A8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358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901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2.7</w:t>
            </w:r>
          </w:p>
        </w:tc>
      </w:tr>
      <w:tr w:rsidR="00CC452B" w:rsidRPr="00EA1CE9" w14:paraId="0D055A59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3A7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P52790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C66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HK3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71CE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Hexokinase-3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931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EF6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25.455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48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24.307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149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20.829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FD8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11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568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11.1</w:t>
            </w:r>
          </w:p>
        </w:tc>
      </w:tr>
      <w:tr w:rsidR="00CC452B" w:rsidRPr="00EA1CE9" w14:paraId="092AD735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C6C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P46926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72F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GNPDA1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3970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Glucosamine-6-phosphate isomerase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BF9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FFF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24.929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260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22.856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153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780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D7F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C9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6.7</w:t>
            </w:r>
          </w:p>
        </w:tc>
      </w:tr>
      <w:tr w:rsidR="00CC452B" w:rsidRPr="00EA1CE9" w14:paraId="639B51FE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B5C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P23381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EBC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WARS1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223D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Tryptophan--tRNA ligase, cytoplasmic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2F5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E67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28.200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46D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27.038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162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23.725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954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02B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D1B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9.9</w:t>
            </w:r>
          </w:p>
        </w:tc>
      </w:tr>
      <w:tr w:rsidR="00CC452B" w:rsidRPr="00EA1CE9" w14:paraId="78CF701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73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P48163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D3C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ME1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5DE1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NADP-dependent malic enzyme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775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BD1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24.621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D51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24.173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4E7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20.782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CC4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9D5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D4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10.5</w:t>
            </w:r>
          </w:p>
        </w:tc>
      </w:tr>
      <w:tr w:rsidR="00CC452B" w:rsidRPr="00EA1CE9" w14:paraId="695977DF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AA8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lastRenderedPageBreak/>
              <w:t>P28062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CF0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PSMB8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C173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beta type-8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9D9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015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26.299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765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24.912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A3E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21.562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BD4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9AF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D79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10.2</w:t>
            </w:r>
          </w:p>
        </w:tc>
      </w:tr>
      <w:tr w:rsidR="00CC452B" w:rsidRPr="00EA1CE9" w14:paraId="27A2E042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92C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Q9Y2J2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DF2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EPB41L3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875F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Band 4.1-like protein 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3E1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690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20.126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F58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19.361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260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16.172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25B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019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680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9.1</w:t>
            </w:r>
          </w:p>
        </w:tc>
      </w:tr>
      <w:tr w:rsidR="00CC452B" w:rsidRPr="00EA1CE9" w14:paraId="6E62F216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FB0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Q13637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E89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RAB32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55B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Ras-related protein Rab-32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621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C6E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21.625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79F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21.840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B23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18.057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5AA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5F2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95D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13.8</w:t>
            </w:r>
          </w:p>
        </w:tc>
      </w:tr>
      <w:tr w:rsidR="00CC452B" w:rsidRPr="00EA1CE9" w14:paraId="62D5BA59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15A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P46940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746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IQGAP1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469F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Ras GTPase-activating-like protein IQGAP1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049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AA1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23.912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EAC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22.545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7CC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19.583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FB6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0D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AB6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7.8</w:t>
            </w:r>
          </w:p>
        </w:tc>
      </w:tr>
      <w:tr w:rsidR="00CC452B" w:rsidRPr="00EA1CE9" w14:paraId="578E8D69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C9D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Q9UJ70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167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NAGK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AE4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N-acetyl-D-glucosamine kinase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6F4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287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24.543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4A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23.803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C36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20.442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D7C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F8E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990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10.3</w:t>
            </w:r>
          </w:p>
        </w:tc>
      </w:tr>
      <w:tr w:rsidR="00CC452B" w:rsidRPr="00EA1CE9" w14:paraId="5029EC3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CB0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Q9NZL9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121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MAT2B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308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Methionine </w:t>
            </w: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adenosyltransferase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2 subunit </w:t>
            </w:r>
            <w:proofErr w:type="gram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beta</w:t>
            </w:r>
            <w:proofErr w:type="gramEnd"/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17E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CA4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23.912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36A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22.662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1F2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19.553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FDB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12.0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906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60C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8.6</w:t>
            </w:r>
          </w:p>
        </w:tc>
      </w:tr>
      <w:tr w:rsidR="00CC452B" w:rsidRPr="00EA1CE9" w14:paraId="00C7E43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9A1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Q9UMX0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DAC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UBQLN1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617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Ubiquilin-1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C58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D0D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18.008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707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16.346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AE2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14.875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588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E42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783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2.8</w:t>
            </w:r>
          </w:p>
        </w:tc>
      </w:tr>
      <w:tr w:rsidR="00CC452B" w:rsidRPr="00EA1CE9" w14:paraId="55C169B2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2E1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P13639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007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EEF2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4227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Elongation factor 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436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B4F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26.141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EBB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24.454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4A0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21.852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303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0FE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23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6.1</w:t>
            </w:r>
          </w:p>
        </w:tc>
      </w:tr>
      <w:tr w:rsidR="00CC452B" w:rsidRPr="00EA1CE9" w14:paraId="63BA437D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AE4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P38646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A0C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HSPA9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C02F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Stress-70 protein, mitochondrial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C4B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32E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22.045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08B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F7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17.361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1DF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81F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D16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6.9</w:t>
            </w:r>
          </w:p>
        </w:tc>
      </w:tr>
      <w:tr w:rsidR="00CC452B" w:rsidRPr="00EA1CE9" w14:paraId="069B2825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F6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P29692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92D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EEF1D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33F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Elongation factor 1-delta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6A4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4D7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21.648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2F1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19.924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3D1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17.304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C79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9C7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2D7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6.2</w:t>
            </w:r>
          </w:p>
        </w:tc>
      </w:tr>
      <w:tr w:rsidR="00CC452B" w:rsidRPr="00EA1CE9" w14:paraId="6C219DF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B4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P49903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161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SEPHS1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F4A1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Selenide, water </w:t>
            </w: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dikinase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58F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F70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20.469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404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18.471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A5E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16.183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8A8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EBB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2F7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4.9</w:t>
            </w:r>
          </w:p>
        </w:tc>
      </w:tr>
      <w:tr w:rsidR="00CC452B" w:rsidRPr="00EA1CE9" w14:paraId="3AC0804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A2A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Q01105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3C2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SET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78F2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Protein SET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3A4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78D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20.316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32D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17.653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2E4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16.097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5C2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FFC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726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2.9</w:t>
            </w:r>
          </w:p>
        </w:tc>
      </w:tr>
      <w:tr w:rsidR="00CC452B" w:rsidRPr="00EA1CE9" w14:paraId="123AE358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5AD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P26641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BA8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EEF1G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76A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Elongation factor 1-gamma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712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D04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22.917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5D6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21.248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27C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18.849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60A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B7B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95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5.3</w:t>
            </w:r>
          </w:p>
        </w:tc>
      </w:tr>
      <w:tr w:rsidR="00CC452B" w:rsidRPr="00EA1CE9" w14:paraId="713CDB3D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618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P05109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ACC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S100A8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0613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Protein S100-A8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399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F6B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29.851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F3A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29.881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0CB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26.684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1F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7C9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33E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9.2</w:t>
            </w:r>
          </w:p>
        </w:tc>
      </w:tr>
      <w:tr w:rsidR="00CC452B" w:rsidRPr="00EA1CE9" w14:paraId="1DA0B126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A77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Q12906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BD0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ILF3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454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Interleukin enhancer-binding factor 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24B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93C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24.691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642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23.618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DF0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20.676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D5F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81A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9EB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7.7</w:t>
            </w:r>
          </w:p>
        </w:tc>
      </w:tr>
      <w:tr w:rsidR="00CC452B" w:rsidRPr="00EA1CE9" w14:paraId="7DD3F387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B54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P51148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40A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RAB5C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3B0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Ras-related protein Rab-5C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7A3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55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21.154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F79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20.108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C9F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17.175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5F6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C0B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259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7.6</w:t>
            </w:r>
          </w:p>
        </w:tc>
      </w:tr>
      <w:tr w:rsidR="00CC452B" w:rsidRPr="00EA1CE9" w14:paraId="4A115B9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89B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Q06520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EFB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SULT2A1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904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Bile salt sulfotransferase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2D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B22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19.132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5B7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15.383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453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14.824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FAF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A11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7EA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CC452B" w:rsidRPr="00EA1CE9" w14:paraId="29A57DE7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425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O95393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04A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BMP10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463A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Bone morphogenetic protein 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443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204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25.366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973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20.423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C98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20.309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5B3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540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30.7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69F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CC452B" w:rsidRPr="00EA1CE9" w14:paraId="65C8EBF2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D7D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Q9NZL4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338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HSPBP1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063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Hsp70-binding protein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BE2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66B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20.125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48E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16.940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F95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15.672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668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46C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EBD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</w:tr>
      <w:tr w:rsidR="00CC452B" w:rsidRPr="00EA1CE9" w14:paraId="05B21B2A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8B2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Q9NUV9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B0F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GIMAP4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686B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GTPase IMAP family member 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561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5DB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19.937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24C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18.340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A97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15.624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6AF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323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6A2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6.6</w:t>
            </w:r>
          </w:p>
        </w:tc>
      </w:tr>
      <w:tr w:rsidR="00CC452B" w:rsidRPr="00EA1CE9" w14:paraId="77B23165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D36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P06702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ED2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S100A9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512D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Protein S100-A9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D93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58F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27.979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EB5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27.952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67F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24.771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004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1DA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6D5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9.1</w:t>
            </w:r>
          </w:p>
        </w:tc>
      </w:tr>
      <w:tr w:rsidR="00CC452B" w:rsidRPr="00EA1CE9" w14:paraId="6FB496C4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DAE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P17612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1A2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PRKACA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0729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cAMP-dependent protein kinase catalytic subunit alpha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0C8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E19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17.492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9D4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17.626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23E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15.127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30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B02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818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5.7</w:t>
            </w:r>
          </w:p>
        </w:tc>
      </w:tr>
      <w:tr w:rsidR="00CC452B" w:rsidRPr="00EA1CE9" w14:paraId="45DD44E0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DA0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P30050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566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RPL12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4E4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60S ribosomal protein L12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174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8A7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18.738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BDA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16.760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E39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14.776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F03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9.0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B40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DA3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4.0</w:t>
            </w:r>
          </w:p>
        </w:tc>
      </w:tr>
      <w:tr w:rsidR="00CC452B" w:rsidRPr="00EA1CE9" w14:paraId="46E5D0F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177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P32455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3F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GBP1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0F51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Guanylate-binding protein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44A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336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22.034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DE9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20.377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730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18.037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305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F83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11B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5.1</w:t>
            </w:r>
          </w:p>
        </w:tc>
      </w:tr>
      <w:tr w:rsidR="00CC452B" w:rsidRPr="00EA1CE9" w14:paraId="5F34628E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DAB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O95544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493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NADK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A4F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NAD kinase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697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FCF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21.277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DB8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19.824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CCE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17.216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F9C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5B0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294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6.1</w:t>
            </w:r>
          </w:p>
        </w:tc>
      </w:tr>
      <w:tr w:rsidR="00CC452B" w:rsidRPr="00EA1CE9" w14:paraId="382E430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D2A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lastRenderedPageBreak/>
              <w:t>Q99798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2E2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ACO2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688F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Aconitate hydratase, mitochondrial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FA3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49A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22.491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698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21.912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36E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18.532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900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B21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E9E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10.4</w:t>
            </w:r>
          </w:p>
        </w:tc>
      </w:tr>
      <w:tr w:rsidR="00CC452B" w:rsidRPr="00EA1CE9" w14:paraId="265F6AFE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EE1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Q16851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B95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UGP2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7300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UTP--glucose-1-phosphate </w:t>
            </w: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uridylyltransferase</w:t>
            </w:r>
            <w:proofErr w:type="spellEnd"/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99C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063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27.499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72E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26.102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A70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23.590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069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9DC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FF5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5.7</w:t>
            </w:r>
          </w:p>
        </w:tc>
      </w:tr>
      <w:tr w:rsidR="00CC452B" w:rsidRPr="00EA1CE9" w14:paraId="02B0582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5E5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P28066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7E0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PSMA5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BCC2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alpha type-5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717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411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27.069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0AA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25.805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B4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23.265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0FD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5F5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309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5.8</w:t>
            </w:r>
          </w:p>
        </w:tc>
      </w:tr>
      <w:tr w:rsidR="00CC452B" w:rsidRPr="00EA1CE9" w14:paraId="1FF6A43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236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P15927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8EE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RPA2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B052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Replication protein A 32 </w:t>
            </w: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kDa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subunit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C69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436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18.912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ECD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16.784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917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14.814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D6F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1C1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7DD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3.9</w:t>
            </w:r>
          </w:p>
        </w:tc>
      </w:tr>
      <w:tr w:rsidR="00CC452B" w:rsidRPr="00EA1CE9" w14:paraId="462A9B6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405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O00499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A8A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BIN1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520D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Myc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box-dependent-interacting protein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807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3EF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20.217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21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18.914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E13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16.416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26C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08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140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5.6</w:t>
            </w:r>
          </w:p>
        </w:tc>
      </w:tr>
      <w:tr w:rsidR="00CC452B" w:rsidRPr="00EA1CE9" w14:paraId="6D0AE4AF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3A0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P20618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F66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PSMB1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DCB6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beta type-1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CA0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5F3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26.515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3B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25.310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801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22.730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3E8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C06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9A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6.0</w:t>
            </w:r>
          </w:p>
        </w:tc>
      </w:tr>
      <w:tr w:rsidR="00CC452B" w:rsidRPr="00EA1CE9" w14:paraId="233B6818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EED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Q9UHX1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328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PUF60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340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Poly(U)-binding-splicing factor PUF60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CC2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989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20.380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96B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18.208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3EC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16.414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F5E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221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D7D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3.5</w:t>
            </w:r>
          </w:p>
        </w:tc>
      </w:tr>
      <w:tr w:rsidR="00CC452B" w:rsidRPr="00EA1CE9" w14:paraId="2C8EB62B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31A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P25787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410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PSMA2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E12A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alpha type-2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494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E97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25.598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FDF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24.295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3CC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21.782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94A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F6F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8C6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5.7</w:t>
            </w:r>
          </w:p>
        </w:tc>
      </w:tr>
      <w:tr w:rsidR="00CC452B" w:rsidRPr="00EA1CE9" w14:paraId="3CEE9E6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6C8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Q14116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803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IL18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6E1C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Interleukin-18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A9F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906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23.712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8CB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24.500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1A2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21.350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238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F32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D11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8.9</w:t>
            </w:r>
          </w:p>
        </w:tc>
      </w:tr>
      <w:tr w:rsidR="00CC452B" w:rsidRPr="00EA1CE9" w14:paraId="1DA975EC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761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Q92945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316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KHSRP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AB8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Far upstream element-binding protein 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B6E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4EC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22.724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DF9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20.756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A5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18.651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085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EDA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913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4.3</w:t>
            </w:r>
          </w:p>
        </w:tc>
      </w:tr>
      <w:tr w:rsidR="00CC452B" w:rsidRPr="00EA1CE9" w14:paraId="4A1B9FD8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A62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P60900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90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PSMA6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3E31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alpha type-6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2EF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7E1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27.700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D89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26.397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836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24.006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0EC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FF5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B44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5.2</w:t>
            </w:r>
          </w:p>
        </w:tc>
      </w:tr>
      <w:tr w:rsidR="00CC452B" w:rsidRPr="00EA1CE9" w14:paraId="584F1173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071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P25788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231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PSMA3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21BC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alpha type-3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582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A97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26.624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9B3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25.376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38D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22.944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675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58E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F14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5.4</w:t>
            </w:r>
          </w:p>
        </w:tc>
      </w:tr>
      <w:tr w:rsidR="00CC452B" w:rsidRPr="00EA1CE9" w14:paraId="562F26D1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4EE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Q96AE4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E3D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FUBP1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5726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Far upstream element-binding protein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0FF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265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20.067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B1B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18.782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B3A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16.524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90E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4D6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225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4.8</w:t>
            </w:r>
          </w:p>
        </w:tc>
      </w:tr>
      <w:tr w:rsidR="00CC452B" w:rsidRPr="00EA1CE9" w14:paraId="3585AAC7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F72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P28070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0A6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PSMB4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E198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beta type-4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A1C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F9B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25.724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66F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24.614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822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22.121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CDD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949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06E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5.6</w:t>
            </w:r>
          </w:p>
        </w:tc>
      </w:tr>
      <w:tr w:rsidR="00CC452B" w:rsidRPr="00EA1CE9" w14:paraId="76D7A748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6C7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P25786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A2D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PSMA1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05F9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Proteasome subunit alpha type-1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645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228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26.053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E62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24.833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D7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22.435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F84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B8D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16A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5.3</w:t>
            </w:r>
          </w:p>
        </w:tc>
      </w:tr>
      <w:tr w:rsidR="00CC452B" w:rsidRPr="00EA1CE9" w14:paraId="1646AF89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723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P33993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619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MCM7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1E92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DNA replication licensing factor MCM7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1D8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087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18.091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FAA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16.965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935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15.318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2CC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7C4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5DA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3.1</w:t>
            </w:r>
          </w:p>
        </w:tc>
      </w:tr>
      <w:tr w:rsidR="00CC452B" w:rsidRPr="00EA1CE9" w14:paraId="546F1132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CDA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P50453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199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SERPINB9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B037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Serpin B9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4E2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121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21.906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722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20.430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9A7D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18.334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701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3BE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2DE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4.3</w:t>
            </w:r>
          </w:p>
        </w:tc>
      </w:tr>
      <w:tr w:rsidR="00CC452B" w:rsidRPr="00EA1CE9" w14:paraId="0C9D521D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84E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P09110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692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ACAA1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4DC5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3-ketoacyl-CoA </w:t>
            </w: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thiolase</w:t>
            </w:r>
            <w:proofErr w:type="spellEnd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, peroxisomal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742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900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21.965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153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20.429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B890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18.449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5C4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11D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31F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3.9</w:t>
            </w:r>
          </w:p>
        </w:tc>
      </w:tr>
      <w:tr w:rsidR="00CC452B" w:rsidRPr="00EA1CE9" w14:paraId="2A884E05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D39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Q9H4F8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06E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SMOC1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8FBB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SPARC-related modular calcium-binding protein 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505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ECC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19.978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59B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17.113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CAE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16.408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DE82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F71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33B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CC452B" w:rsidRPr="00EA1CE9" w14:paraId="60130561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D02F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lastRenderedPageBreak/>
              <w:t>P06748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880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NPM1</w:t>
            </w:r>
          </w:p>
        </w:tc>
        <w:tc>
          <w:tcPr>
            <w:tcW w:w="23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05B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Nucleophosmin</w:t>
            </w:r>
            <w:proofErr w:type="spellEnd"/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37E1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6ED5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20.182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AEC8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17.195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FA7C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16.790</w:t>
            </w:r>
          </w:p>
        </w:tc>
        <w:tc>
          <w:tcPr>
            <w:tcW w:w="10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39F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3.0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A20A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082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CC452B" w:rsidRPr="00EA1CE9" w14:paraId="4E147126" w14:textId="77777777" w:rsidTr="003577C5">
        <w:trPr>
          <w:trHeight w:val="360"/>
          <w:jc w:val="center"/>
        </w:trPr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23713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Q09161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7AFC4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NCBP1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EC034" w14:textId="77777777" w:rsidR="00CC452B" w:rsidRPr="00EA1CE9" w:rsidRDefault="00CC452B" w:rsidP="00CC452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Nuclear cap-binding protein subunit 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685C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74FC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17.388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6486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14.231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963B7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14.529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320D9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FF59B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8.9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E0DCE" w14:textId="77777777" w:rsidR="00CC452B" w:rsidRPr="00EA1CE9" w:rsidRDefault="00CC452B" w:rsidP="003577C5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A1CE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0.8</w:t>
            </w:r>
          </w:p>
        </w:tc>
      </w:tr>
    </w:tbl>
    <w:p w14:paraId="4B80040F" w14:textId="09288F17" w:rsidR="00FE6A6D" w:rsidRPr="00EA1CE9" w:rsidRDefault="00FE6A6D"/>
    <w:p w14:paraId="799CF337" w14:textId="15693967" w:rsidR="00C5424B" w:rsidRPr="00EA1CE9" w:rsidRDefault="00C5424B" w:rsidP="00C5424B">
      <w:pPr>
        <w:autoSpaceDE w:val="0"/>
        <w:autoSpaceDN w:val="0"/>
        <w:adjustRightInd w:val="0"/>
        <w:spacing w:line="276" w:lineRule="auto"/>
        <w:contextualSpacing/>
        <w:rPr>
          <w:rFonts w:ascii="Arial" w:hAnsi="Arial" w:cs="Arial"/>
          <w:b/>
          <w:bCs/>
          <w:kern w:val="0"/>
          <w:sz w:val="24"/>
          <w:szCs w:val="24"/>
          <w:u w:color="FF0000"/>
        </w:rPr>
      </w:pPr>
      <w:r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>Supplement</w:t>
      </w:r>
      <w:r w:rsidR="003907B0"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>al</w:t>
      </w:r>
      <w:r w:rsidRPr="00EA1CE9">
        <w:rPr>
          <w:rFonts w:ascii="Arial" w:hAnsi="Arial" w:cs="Arial"/>
          <w:b/>
          <w:bCs/>
          <w:kern w:val="0"/>
          <w:sz w:val="24"/>
          <w:szCs w:val="24"/>
          <w:u w:color="FF0000"/>
        </w:rPr>
        <w:t xml:space="preserve"> table 1. URPs list</w:t>
      </w:r>
    </w:p>
    <w:p w14:paraId="615D72F8" w14:textId="302A6F75" w:rsidR="00C5424B" w:rsidRPr="00EA1CE9" w:rsidRDefault="00C5424B" w:rsidP="00C5424B">
      <w:pPr>
        <w:spacing w:line="276" w:lineRule="auto"/>
        <w:contextualSpacing/>
        <w:rPr>
          <w:rFonts w:ascii="Arial" w:hAnsi="Arial" w:cs="Arial"/>
          <w:b/>
          <w:bCs/>
          <w:sz w:val="24"/>
          <w:szCs w:val="24"/>
          <w:u w:color="FF0000"/>
        </w:rPr>
      </w:pPr>
      <w:r w:rsidRPr="00EA1CE9">
        <w:rPr>
          <w:rFonts w:ascii="Arial" w:hAnsi="Arial" w:cs="Arial"/>
          <w:sz w:val="24"/>
          <w:szCs w:val="24"/>
          <w:u w:color="FF0000"/>
        </w:rPr>
        <w:t>The 68 proteins associated with disease activity are shown.</w:t>
      </w:r>
      <w:r w:rsidR="003577C5" w:rsidRPr="00EA1CE9">
        <w:rPr>
          <w:rFonts w:ascii="Arial" w:hAnsi="Arial" w:cs="Arial"/>
          <w:sz w:val="24"/>
          <w:szCs w:val="24"/>
          <w:u w:color="FF0000"/>
        </w:rPr>
        <w:t xml:space="preserve"> Analysis-1 and Analysis-2 are the procedures</w:t>
      </w:r>
      <w:r w:rsidR="000D080B" w:rsidRPr="00EA1CE9">
        <w:rPr>
          <w:rFonts w:ascii="Arial" w:hAnsi="Arial" w:cs="Arial"/>
          <w:sz w:val="24"/>
          <w:szCs w:val="24"/>
          <w:u w:color="FF0000"/>
        </w:rPr>
        <w:t xml:space="preserve"> of the analyses</w:t>
      </w:r>
      <w:r w:rsidR="003577C5" w:rsidRPr="00EA1CE9">
        <w:rPr>
          <w:rFonts w:ascii="Arial" w:hAnsi="Arial" w:cs="Arial"/>
          <w:sz w:val="24"/>
          <w:szCs w:val="24"/>
          <w:u w:color="FF0000"/>
        </w:rPr>
        <w:t>. Please refer to Figure 1 and the original manuscripts for details.</w:t>
      </w:r>
    </w:p>
    <w:p w14:paraId="5E23962E" w14:textId="3CAA1CFC" w:rsidR="00BC47E1" w:rsidRPr="00F70D99" w:rsidRDefault="00C5424B" w:rsidP="00F70D99">
      <w:pPr>
        <w:spacing w:line="276" w:lineRule="auto"/>
        <w:contextualSpacing/>
      </w:pPr>
      <w:r w:rsidRPr="00EA1CE9">
        <w:rPr>
          <w:rFonts w:ascii="Arial" w:hAnsi="Arial" w:cs="Arial"/>
          <w:sz w:val="24"/>
          <w:szCs w:val="24"/>
        </w:rPr>
        <w:t>MAS, macrophage activation syndrome; URP, upregulated protein</w:t>
      </w:r>
    </w:p>
    <w:sectPr w:rsidR="00BC47E1" w:rsidRPr="00F70D99" w:rsidSect="001B27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F0F19" w14:textId="77777777" w:rsidR="00E174D4" w:rsidRDefault="00E174D4" w:rsidP="00D32A93">
      <w:r>
        <w:separator/>
      </w:r>
    </w:p>
  </w:endnote>
  <w:endnote w:type="continuationSeparator" w:id="0">
    <w:p w14:paraId="3714CF2F" w14:textId="77777777" w:rsidR="00E174D4" w:rsidRDefault="00E174D4" w:rsidP="00D3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595DBD" w14:textId="77777777" w:rsidR="00E174D4" w:rsidRDefault="00E174D4" w:rsidP="00D32A93">
      <w:r>
        <w:separator/>
      </w:r>
    </w:p>
  </w:footnote>
  <w:footnote w:type="continuationSeparator" w:id="0">
    <w:p w14:paraId="6490794C" w14:textId="77777777" w:rsidR="00E174D4" w:rsidRDefault="00E174D4" w:rsidP="00D32A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363F71"/>
    <w:multiLevelType w:val="hybridMultilevel"/>
    <w:tmpl w:val="223A7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816B67"/>
    <w:multiLevelType w:val="hybridMultilevel"/>
    <w:tmpl w:val="6BCCF924"/>
    <w:lvl w:ilvl="0" w:tplc="71E04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60A"/>
    <w:rsid w:val="00011E69"/>
    <w:rsid w:val="000273B6"/>
    <w:rsid w:val="000D080B"/>
    <w:rsid w:val="00121D9E"/>
    <w:rsid w:val="001B2730"/>
    <w:rsid w:val="00272B36"/>
    <w:rsid w:val="002D359C"/>
    <w:rsid w:val="003577C5"/>
    <w:rsid w:val="003907B0"/>
    <w:rsid w:val="0039260A"/>
    <w:rsid w:val="00423E7F"/>
    <w:rsid w:val="00485065"/>
    <w:rsid w:val="004E35DB"/>
    <w:rsid w:val="00551D02"/>
    <w:rsid w:val="005B0BED"/>
    <w:rsid w:val="00620857"/>
    <w:rsid w:val="0073078B"/>
    <w:rsid w:val="0076113D"/>
    <w:rsid w:val="007A06B6"/>
    <w:rsid w:val="0090617A"/>
    <w:rsid w:val="0097162F"/>
    <w:rsid w:val="00A328C0"/>
    <w:rsid w:val="00A65D29"/>
    <w:rsid w:val="00B15251"/>
    <w:rsid w:val="00B35664"/>
    <w:rsid w:val="00BC47E1"/>
    <w:rsid w:val="00BE41C5"/>
    <w:rsid w:val="00C5424B"/>
    <w:rsid w:val="00CC452B"/>
    <w:rsid w:val="00D32A93"/>
    <w:rsid w:val="00E174D4"/>
    <w:rsid w:val="00EA1CE9"/>
    <w:rsid w:val="00EB79DB"/>
    <w:rsid w:val="00F2357A"/>
    <w:rsid w:val="00F70D99"/>
    <w:rsid w:val="00FE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F9F5D7"/>
  <w15:chartTrackingRefBased/>
  <w15:docId w15:val="{901D2DC3-55EA-40F5-9AE2-C7CC76AB8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7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273B6"/>
    <w:pPr>
      <w:ind w:leftChars="400" w:left="840"/>
    </w:pPr>
  </w:style>
  <w:style w:type="character" w:customStyle="1" w:styleId="a4">
    <w:name w:val="リスト段落 (文字)"/>
    <w:basedOn w:val="a0"/>
    <w:link w:val="a3"/>
    <w:uiPriority w:val="34"/>
    <w:rsid w:val="000273B6"/>
  </w:style>
  <w:style w:type="table" w:styleId="a5">
    <w:name w:val="Table Grid"/>
    <w:basedOn w:val="a1"/>
    <w:uiPriority w:val="39"/>
    <w:rsid w:val="000273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32A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32A93"/>
  </w:style>
  <w:style w:type="paragraph" w:styleId="a8">
    <w:name w:val="footer"/>
    <w:basedOn w:val="a"/>
    <w:link w:val="a9"/>
    <w:uiPriority w:val="99"/>
    <w:unhideWhenUsed/>
    <w:rsid w:val="00D32A9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32A93"/>
  </w:style>
  <w:style w:type="character" w:styleId="aa">
    <w:name w:val="Hyperlink"/>
    <w:basedOn w:val="a0"/>
    <w:uiPriority w:val="99"/>
    <w:semiHidden/>
    <w:unhideWhenUsed/>
    <w:rsid w:val="00CC452B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CC452B"/>
    <w:rPr>
      <w:color w:val="954F72"/>
      <w:u w:val="single"/>
    </w:rPr>
  </w:style>
  <w:style w:type="paragraph" w:customStyle="1" w:styleId="msonormal0">
    <w:name w:val="msonormal"/>
    <w:basedOn w:val="a"/>
    <w:rsid w:val="00CC45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CC452B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42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裕範</dc:creator>
  <cp:keywords/>
  <dc:description/>
  <cp:lastModifiedBy>佐藤 裕範</cp:lastModifiedBy>
  <cp:revision>5</cp:revision>
  <dcterms:created xsi:type="dcterms:W3CDTF">2021-01-30T05:44:00Z</dcterms:created>
  <dcterms:modified xsi:type="dcterms:W3CDTF">2021-02-03T13:45:00Z</dcterms:modified>
</cp:coreProperties>
</file>