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5D6" w:rsidRDefault="004805D6"/>
    <w:p w:rsidR="003B6C26" w:rsidRDefault="003B6C26"/>
    <w:tbl>
      <w:tblPr>
        <w:tblW w:w="3720" w:type="dxa"/>
        <w:tblCellMar>
          <w:left w:w="70" w:type="dxa"/>
          <w:right w:w="70" w:type="dxa"/>
        </w:tblCellMar>
        <w:tblLook w:val="04A0"/>
      </w:tblPr>
      <w:tblGrid>
        <w:gridCol w:w="856"/>
        <w:gridCol w:w="716"/>
        <w:gridCol w:w="716"/>
        <w:gridCol w:w="716"/>
        <w:gridCol w:w="716"/>
      </w:tblGrid>
      <w:tr w:rsidR="00F55B04" w:rsidRPr="003659A8" w:rsidTr="00F978F9">
        <w:trPr>
          <w:trHeight w:val="25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N° Essai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F1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F2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F3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55B04" w:rsidRDefault="00F55B04" w:rsidP="00F55B0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y1</w:t>
            </w:r>
          </w:p>
        </w:tc>
      </w:tr>
      <w:tr w:rsidR="00F55B04" w:rsidRPr="003659A8" w:rsidTr="00F978F9">
        <w:trPr>
          <w:trHeight w:val="25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b/>
                <w:bCs/>
                <w:color w:val="008000"/>
                <w:kern w:val="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55B04" w:rsidRDefault="00F55B04" w:rsidP="00F55B0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</w:tr>
      <w:tr w:rsidR="00F55B04" w:rsidRPr="003659A8" w:rsidTr="00F978F9">
        <w:trPr>
          <w:trHeight w:val="25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b/>
                <w:bCs/>
                <w:color w:val="008000"/>
                <w:kern w:val="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55B04" w:rsidRDefault="00F55B04" w:rsidP="00F55B0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</w:tr>
      <w:tr w:rsidR="00F55B04" w:rsidRPr="003659A8" w:rsidTr="00F978F9">
        <w:trPr>
          <w:trHeight w:val="25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b/>
                <w:bCs/>
                <w:color w:val="008000"/>
                <w:kern w:val="0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55B04" w:rsidRDefault="00F55B04" w:rsidP="00F55B0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</w:tr>
      <w:tr w:rsidR="00F55B04" w:rsidRPr="003659A8" w:rsidTr="00F978F9">
        <w:trPr>
          <w:trHeight w:val="25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b/>
                <w:bCs/>
                <w:color w:val="008000"/>
                <w:kern w:val="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55B04" w:rsidRDefault="00F55B04" w:rsidP="00F55B0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</w:t>
            </w:r>
          </w:p>
        </w:tc>
      </w:tr>
      <w:tr w:rsidR="00F55B04" w:rsidRPr="003659A8" w:rsidTr="00F978F9">
        <w:trPr>
          <w:trHeight w:val="25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b/>
                <w:bCs/>
                <w:color w:val="008000"/>
                <w:kern w:val="0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55B04" w:rsidRDefault="00F55B04" w:rsidP="00F55B0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</w:t>
            </w:r>
          </w:p>
        </w:tc>
      </w:tr>
      <w:tr w:rsidR="00F55B04" w:rsidRPr="003659A8" w:rsidTr="00F978F9">
        <w:trPr>
          <w:trHeight w:val="25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b/>
                <w:bCs/>
                <w:color w:val="008000"/>
                <w:kern w:val="0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55B04" w:rsidRDefault="00F55B04" w:rsidP="00F55B0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</w:t>
            </w:r>
          </w:p>
        </w:tc>
      </w:tr>
      <w:tr w:rsidR="00F55B04" w:rsidRPr="003659A8" w:rsidTr="00F978F9">
        <w:trPr>
          <w:trHeight w:val="25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b/>
                <w:bCs/>
                <w:color w:val="008000"/>
                <w:kern w:val="0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55B04" w:rsidRDefault="00F55B04" w:rsidP="00F55B0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</w:t>
            </w:r>
          </w:p>
        </w:tc>
      </w:tr>
      <w:tr w:rsidR="00F55B04" w:rsidRPr="003659A8" w:rsidTr="00F978F9">
        <w:trPr>
          <w:trHeight w:val="25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b/>
                <w:bCs/>
                <w:color w:val="008000"/>
                <w:kern w:val="0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3659A8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3659A8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55B04" w:rsidRDefault="00F55B04" w:rsidP="00F55B0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93</w:t>
            </w:r>
          </w:p>
        </w:tc>
      </w:tr>
    </w:tbl>
    <w:p w:rsidR="003659A8" w:rsidRDefault="003659A8" w:rsidP="003B6C26">
      <w:pPr>
        <w:rPr>
          <w:lang w:val="en-US"/>
        </w:rPr>
      </w:pPr>
    </w:p>
    <w:p w:rsidR="003659A8" w:rsidRDefault="003659A8" w:rsidP="003B6C26">
      <w:pPr>
        <w:rPr>
          <w:lang w:val="en-US"/>
        </w:rPr>
      </w:pPr>
    </w:p>
    <w:p w:rsidR="003659A8" w:rsidRDefault="00F55B04" w:rsidP="003B6C26">
      <w:pPr>
        <w:rPr>
          <w:lang w:val="en-US"/>
        </w:rPr>
      </w:pPr>
      <w:r>
        <w:rPr>
          <w:noProof/>
          <w:lang w:eastAsia="fr-FR"/>
        </w:rPr>
        <w:lastRenderedPageBreak/>
        <w:drawing>
          <wp:inline distT="0" distB="0" distL="0" distR="0">
            <wp:extent cx="3867150" cy="6276975"/>
            <wp:effectExtent l="0" t="0" r="0" b="9525"/>
            <wp:docPr id="1" name="Graphique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tbl>
      <w:tblPr>
        <w:tblW w:w="2232" w:type="dxa"/>
        <w:tblCellMar>
          <w:left w:w="70" w:type="dxa"/>
          <w:right w:w="70" w:type="dxa"/>
        </w:tblCellMar>
        <w:tblLook w:val="04A0"/>
      </w:tblPr>
      <w:tblGrid>
        <w:gridCol w:w="1116"/>
        <w:gridCol w:w="1116"/>
      </w:tblGrid>
      <w:tr w:rsidR="00F55B04" w:rsidRPr="00F55B04" w:rsidTr="00F55B04">
        <w:trPr>
          <w:trHeight w:val="319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a1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2,5</w:t>
            </w:r>
          </w:p>
        </w:tc>
      </w:tr>
      <w:tr w:rsidR="00F55B04" w:rsidRPr="00F55B04" w:rsidTr="00F55B04">
        <w:trPr>
          <w:trHeight w:val="319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a2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5,5</w:t>
            </w:r>
          </w:p>
        </w:tc>
      </w:tr>
      <w:tr w:rsidR="00F55B04" w:rsidRPr="00F55B04" w:rsidTr="00F55B04">
        <w:trPr>
          <w:trHeight w:val="319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a3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18</w:t>
            </w:r>
          </w:p>
        </w:tc>
      </w:tr>
      <w:tr w:rsidR="00F55B04" w:rsidRPr="00F55B04" w:rsidTr="00F55B04">
        <w:trPr>
          <w:trHeight w:val="319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a12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0,5</w:t>
            </w:r>
          </w:p>
        </w:tc>
      </w:tr>
      <w:tr w:rsidR="00F55B04" w:rsidRPr="00F55B04" w:rsidTr="00F55B04">
        <w:trPr>
          <w:trHeight w:val="319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a13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-1,5</w:t>
            </w:r>
          </w:p>
        </w:tc>
      </w:tr>
      <w:tr w:rsidR="00F55B04" w:rsidRPr="00F55B04" w:rsidTr="00F55B04">
        <w:trPr>
          <w:trHeight w:val="319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a23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1</w:t>
            </w:r>
          </w:p>
        </w:tc>
      </w:tr>
      <w:tr w:rsidR="00F55B04" w:rsidRPr="00F55B04" w:rsidTr="00F55B04">
        <w:trPr>
          <w:trHeight w:val="319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a123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-2,5</w:t>
            </w:r>
          </w:p>
        </w:tc>
      </w:tr>
    </w:tbl>
    <w:p w:rsidR="00F55B04" w:rsidRDefault="00F55B04" w:rsidP="003B6C26">
      <w:pPr>
        <w:rPr>
          <w:noProof/>
          <w:lang w:eastAsia="fr-FR"/>
        </w:rPr>
      </w:pPr>
    </w:p>
    <w:p w:rsidR="00DD0BA6" w:rsidRDefault="00DD0BA6" w:rsidP="003B6C26">
      <w:pPr>
        <w:rPr>
          <w:noProof/>
          <w:lang w:eastAsia="fr-FR"/>
        </w:rPr>
      </w:pPr>
    </w:p>
    <w:p w:rsidR="00DD0BA6" w:rsidRDefault="00DD0BA6" w:rsidP="003B6C26">
      <w:pPr>
        <w:rPr>
          <w:noProof/>
          <w:lang w:eastAsia="fr-FR"/>
        </w:rPr>
      </w:pPr>
    </w:p>
    <w:p w:rsidR="00DD0BA6" w:rsidRDefault="00DD0BA6" w:rsidP="003B6C26">
      <w:pPr>
        <w:rPr>
          <w:lang w:val="en-US"/>
        </w:rPr>
      </w:pPr>
    </w:p>
    <w:tbl>
      <w:tblPr>
        <w:tblW w:w="12457" w:type="dxa"/>
        <w:tblCellMar>
          <w:left w:w="70" w:type="dxa"/>
          <w:right w:w="70" w:type="dxa"/>
        </w:tblCellMar>
        <w:tblLook w:val="04A0"/>
      </w:tblPr>
      <w:tblGrid>
        <w:gridCol w:w="1208"/>
        <w:gridCol w:w="1398"/>
        <w:gridCol w:w="581"/>
        <w:gridCol w:w="934"/>
        <w:gridCol w:w="2219"/>
        <w:gridCol w:w="263"/>
        <w:gridCol w:w="256"/>
        <w:gridCol w:w="146"/>
        <w:gridCol w:w="4236"/>
        <w:gridCol w:w="1216"/>
      </w:tblGrid>
      <w:tr w:rsidR="00F55B04" w:rsidRPr="00F55B04" w:rsidTr="00DD0BA6">
        <w:trPr>
          <w:trHeight w:val="360"/>
        </w:trPr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</w:rPr>
            </w:pPr>
          </w:p>
        </w:tc>
        <w:tc>
          <w:tcPr>
            <w:tcW w:w="100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F55B04" w:rsidRDefault="00DD0BA6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8"/>
                <w:szCs w:val="28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sz w:val="28"/>
                <w:szCs w:val="28"/>
                <w:lang w:eastAsia="fr-FR"/>
              </w:rPr>
              <w:t xml:space="preserve">ANOVA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kern w:val="0"/>
                <w:sz w:val="28"/>
                <w:szCs w:val="28"/>
                <w:lang w:eastAsia="fr-FR"/>
              </w:rPr>
              <w:t>analysis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kern w:val="0"/>
                <w:sz w:val="28"/>
                <w:szCs w:val="28"/>
                <w:lang w:eastAsia="fr-FR"/>
              </w:rPr>
              <w:t xml:space="preserve"> 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8"/>
                <w:szCs w:val="28"/>
                <w:lang w:eastAsia="fr-FR"/>
              </w:rPr>
            </w:pPr>
          </w:p>
        </w:tc>
      </w:tr>
      <w:tr w:rsidR="00F55B04" w:rsidRPr="00F55B04" w:rsidTr="00DD0BA6">
        <w:trPr>
          <w:trHeight w:val="270"/>
        </w:trPr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</w:rPr>
            </w:pPr>
          </w:p>
        </w:tc>
        <w:tc>
          <w:tcPr>
            <w:tcW w:w="4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5B04" w:rsidRPr="00F55B04" w:rsidRDefault="00F55B04" w:rsidP="00F55B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</w:rPr>
            </w:pPr>
          </w:p>
        </w:tc>
      </w:tr>
      <w:tr w:rsidR="00DD0BA6" w:rsidRPr="00F55B04" w:rsidTr="00DD0BA6">
        <w:trPr>
          <w:gridAfter w:val="2"/>
          <w:wAfter w:w="5452" w:type="dxa"/>
          <w:trHeight w:val="285"/>
        </w:trPr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Source</w:t>
            </w:r>
          </w:p>
        </w:tc>
        <w:tc>
          <w:tcPr>
            <w:tcW w:w="58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proofErr w:type="spellStart"/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ddl</w:t>
            </w:r>
            <w:proofErr w:type="spellEnd"/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SC</w:t>
            </w:r>
          </w:p>
        </w:tc>
        <w:tc>
          <w:tcPr>
            <w:tcW w:w="221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CM</w:t>
            </w:r>
          </w:p>
        </w:tc>
        <w:tc>
          <w:tcPr>
            <w:tcW w:w="26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F</w:t>
            </w:r>
          </w:p>
        </w:tc>
        <w:tc>
          <w:tcPr>
            <w:tcW w:w="25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p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</w:p>
        </w:tc>
      </w:tr>
      <w:tr w:rsidR="00DD0BA6" w:rsidRPr="00F55B04" w:rsidTr="00DD0BA6">
        <w:trPr>
          <w:gridAfter w:val="2"/>
          <w:wAfter w:w="5452" w:type="dxa"/>
          <w:trHeight w:val="255"/>
        </w:trPr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totale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bookmarkStart w:id="0" w:name="RANGE!C41"/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7</w:t>
            </w:r>
            <w:bookmarkEnd w:id="0"/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2962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423,142857</w:t>
            </w: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</w:p>
        </w:tc>
      </w:tr>
      <w:tr w:rsidR="00DD0BA6" w:rsidRPr="00F55B04" w:rsidTr="00DD0BA6">
        <w:trPr>
          <w:gridAfter w:val="2"/>
          <w:wAfter w:w="5452" w:type="dxa"/>
          <w:trHeight w:val="255"/>
        </w:trPr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modèle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bookmarkStart w:id="1" w:name="RANGE!C42"/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7</w:t>
            </w:r>
            <w:bookmarkEnd w:id="1"/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2962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423,142857</w:t>
            </w: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</w:p>
        </w:tc>
        <w:bookmarkStart w:id="2" w:name="RANGE!J42"/>
        <w:bookmarkEnd w:id="2"/>
      </w:tr>
      <w:tr w:rsidR="00DD0BA6" w:rsidRPr="00F55B04" w:rsidTr="00DD0BA6">
        <w:trPr>
          <w:gridAfter w:val="2"/>
          <w:wAfter w:w="5452" w:type="dxa"/>
          <w:trHeight w:val="270"/>
        </w:trPr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résidus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bookmarkStart w:id="3" w:name="RANGE!C43"/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0</w:t>
            </w:r>
            <w:bookmarkEnd w:id="3"/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  <w:r w:rsidRPr="00F55B04"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0BA6" w:rsidRPr="00F55B04" w:rsidRDefault="00DD0BA6" w:rsidP="00F55B0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fr-FR"/>
              </w:rPr>
            </w:pPr>
          </w:p>
        </w:tc>
      </w:tr>
    </w:tbl>
    <w:p w:rsidR="00F55B04" w:rsidRDefault="00F55B04" w:rsidP="003B6C26">
      <w:pPr>
        <w:rPr>
          <w:lang w:val="en-US"/>
        </w:rPr>
      </w:pPr>
    </w:p>
    <w:p w:rsidR="00F55B04" w:rsidRDefault="00F55B04" w:rsidP="003B6C26">
      <w:pPr>
        <w:rPr>
          <w:lang w:val="en-US"/>
        </w:rPr>
      </w:pPr>
      <w:r>
        <w:rPr>
          <w:noProof/>
          <w:lang w:eastAsia="fr-FR"/>
        </w:rPr>
        <w:drawing>
          <wp:inline distT="0" distB="0" distL="0" distR="0">
            <wp:extent cx="3133725" cy="4762500"/>
            <wp:effectExtent l="0" t="0" r="9525" b="0"/>
            <wp:docPr id="3" name="Graphique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F55B04" w:rsidRDefault="00F55B04" w:rsidP="003B6C26">
      <w:pPr>
        <w:rPr>
          <w:lang w:val="en-US"/>
        </w:rPr>
      </w:pPr>
    </w:p>
    <w:p w:rsidR="00F55B04" w:rsidRPr="003B6C26" w:rsidRDefault="00F55B04" w:rsidP="003B6C26">
      <w:pPr>
        <w:rPr>
          <w:lang w:val="en-US"/>
        </w:rPr>
      </w:pPr>
      <w:r>
        <w:rPr>
          <w:noProof/>
          <w:lang w:eastAsia="fr-FR"/>
        </w:rPr>
        <w:lastRenderedPageBreak/>
        <w:drawing>
          <wp:inline distT="0" distB="0" distL="0" distR="0">
            <wp:extent cx="4505325" cy="3981450"/>
            <wp:effectExtent l="0" t="0" r="9525" b="0"/>
            <wp:docPr id="4" name="Graphique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bookmarkStart w:id="4" w:name="_GoBack"/>
      <w:bookmarkEnd w:id="4"/>
    </w:p>
    <w:sectPr w:rsidR="00F55B04" w:rsidRPr="003B6C26" w:rsidSect="00F171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C6E1C"/>
    <w:rsid w:val="00015652"/>
    <w:rsid w:val="003659A8"/>
    <w:rsid w:val="003B6C26"/>
    <w:rsid w:val="004805D6"/>
    <w:rsid w:val="007C6E1C"/>
    <w:rsid w:val="009F6618"/>
    <w:rsid w:val="00DD0BA6"/>
    <w:rsid w:val="00F17142"/>
    <w:rsid w:val="00F55B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14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D0B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D0B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66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NOVO\Desktop\Nouveau%20dossier\livre\plan%20exp&#233;rience\Copie%20de%20PlansComplets-35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NOVO\Desktop\Nouveau%20dossier\livre\plan%20exp&#233;rience\Copie%20de%20PlansComplets-35.xls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NOVO\Desktop\Nouveau%20dossier\livre\plan%20exp&#233;rience\Copie%20de%20PlansComplets-35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fr-FR"/>
  <c:chart>
    <c:plotArea>
      <c:layout>
        <c:manualLayout>
          <c:layoutTarget val="inner"/>
          <c:xMode val="edge"/>
          <c:yMode val="edge"/>
          <c:x val="9.6059228827390014E-2"/>
          <c:y val="9.8634294385432586E-2"/>
          <c:w val="0.86699611659593012"/>
          <c:h val="0.89529590288315652"/>
        </c:manualLayout>
      </c:layout>
      <c:barChart>
        <c:barDir val="bar"/>
        <c:grouping val="clustered"/>
        <c:ser>
          <c:idx val="0"/>
          <c:order val="0"/>
          <c:spPr>
            <a:solidFill>
              <a:srgbClr val="FFCC00"/>
            </a:solidFill>
            <a:ln w="12700">
              <a:solidFill>
                <a:srgbClr val="000000"/>
              </a:solidFill>
              <a:prstDash val="solid"/>
            </a:ln>
          </c:spPr>
          <c:errBars>
            <c:errBarType val="both"/>
            <c:errValType val="cust"/>
            <c:plus>
              <c:numRef>
                <c:f>Coefficients!$T$5</c:f>
                <c:numCache>
                  <c:formatCode>General</c:formatCode>
                  <c:ptCount val="1"/>
                  <c:pt idx="0">
                    <c:v>0</c:v>
                  </c:pt>
                </c:numCache>
              </c:numRef>
            </c:plus>
            <c:minus>
              <c:numRef>
                <c:f>Coefficients!$T$5</c:f>
                <c:numCache>
                  <c:formatCode>General</c:formatCode>
                  <c:ptCount val="1"/>
                  <c:pt idx="0">
                    <c:v>0</c:v>
                  </c:pt>
                </c:numCache>
              </c:numRef>
            </c:minus>
            <c:spPr>
              <a:ln w="12700">
                <a:solidFill>
                  <a:srgbClr val="000000"/>
                </a:solidFill>
                <a:prstDash val="solid"/>
              </a:ln>
            </c:spPr>
          </c:errBars>
          <c:cat>
            <c:strRef>
              <c:f>Coefficients!$F$4:$F$10</c:f>
              <c:strCache>
                <c:ptCount val="7"/>
                <c:pt idx="0">
                  <c:v>a1</c:v>
                </c:pt>
                <c:pt idx="1">
                  <c:v>a2</c:v>
                </c:pt>
                <c:pt idx="2">
                  <c:v>a3</c:v>
                </c:pt>
                <c:pt idx="3">
                  <c:v>a12</c:v>
                </c:pt>
                <c:pt idx="4">
                  <c:v>a13</c:v>
                </c:pt>
                <c:pt idx="5">
                  <c:v>a23</c:v>
                </c:pt>
                <c:pt idx="6">
                  <c:v>a123</c:v>
                </c:pt>
              </c:strCache>
            </c:strRef>
          </c:cat>
          <c:val>
            <c:numRef>
              <c:f>Coefficients!$G$4:$G$10</c:f>
              <c:numCache>
                <c:formatCode>General</c:formatCode>
                <c:ptCount val="7"/>
                <c:pt idx="0">
                  <c:v>2.5</c:v>
                </c:pt>
                <c:pt idx="1">
                  <c:v>5.5</c:v>
                </c:pt>
                <c:pt idx="2">
                  <c:v>18</c:v>
                </c:pt>
                <c:pt idx="3">
                  <c:v>0.5</c:v>
                </c:pt>
                <c:pt idx="4">
                  <c:v>-1.5</c:v>
                </c:pt>
                <c:pt idx="5">
                  <c:v>1</c:v>
                </c:pt>
                <c:pt idx="6">
                  <c:v>-2.5</c:v>
                </c:pt>
              </c:numCache>
            </c:numRef>
          </c:val>
        </c:ser>
        <c:axId val="165300864"/>
        <c:axId val="165366784"/>
      </c:barChart>
      <c:catAx>
        <c:axId val="165300864"/>
        <c:scaling>
          <c:orientation val="maxMin"/>
        </c:scaling>
        <c:axPos val="l"/>
        <c:numFmt formatCode="General" sourceLinked="1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fr-FR"/>
          </a:p>
        </c:txPr>
        <c:crossAx val="165366784"/>
        <c:crosses val="autoZero"/>
        <c:auto val="1"/>
        <c:lblAlgn val="ctr"/>
        <c:lblOffset val="100"/>
        <c:tickLblSkip val="1"/>
        <c:tickMarkSkip val="1"/>
      </c:catAx>
      <c:valAx>
        <c:axId val="165366784"/>
        <c:scaling>
          <c:orientation val="minMax"/>
        </c:scaling>
        <c:axPos val="t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800" b="0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fr-FR"/>
                  <a:t>Valeur du coefficient (Unité de la réponse)</a:t>
                </a:r>
              </a:p>
            </c:rich>
          </c:tx>
          <c:layout>
            <c:manualLayout>
              <c:xMode val="edge"/>
              <c:yMode val="edge"/>
              <c:x val="0.2733992733666914"/>
              <c:y val="2.5796661608497726E-2"/>
            </c:manualLayout>
          </c:layout>
          <c:spPr>
            <a:noFill/>
            <a:ln w="25400">
              <a:noFill/>
            </a:ln>
          </c:spPr>
        </c:title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fr-FR"/>
          </a:p>
        </c:txPr>
        <c:crossAx val="165300864"/>
        <c:crosses val="autoZero"/>
        <c:crossBetween val="between"/>
      </c:valAx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plotArea>
    <c:plotVisOnly val="1"/>
    <c:dispBlanksAs val="gap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8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fr-FR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fr-FR"/>
  <c:chart>
    <c:title>
      <c:tx>
        <c:strRef>
          <c:f>Diagrammes!$F$2</c:f>
          <c:strCache>
            <c:ptCount val="1"/>
            <c:pt idx="0">
              <c:v>Diagramme de Pareto pour y1</c:v>
            </c:pt>
          </c:strCache>
        </c:strRef>
      </c:tx>
      <c:layout>
        <c:manualLayout>
          <c:xMode val="edge"/>
          <c:yMode val="edge"/>
          <c:x val="0.26443768996960504"/>
          <c:y val="1.2E-2"/>
        </c:manualLayout>
      </c:layout>
      <c:spPr>
        <a:noFill/>
        <a:ln w="25400">
          <a:noFill/>
        </a:ln>
      </c:spPr>
      <c:txPr>
        <a:bodyPr/>
        <a:lstStyle/>
        <a:p>
          <a:pPr>
            <a:defRPr sz="925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fr-FR"/>
        </a:p>
      </c:txPr>
    </c:title>
    <c:plotArea>
      <c:layout>
        <c:manualLayout>
          <c:layoutTarget val="inner"/>
          <c:xMode val="edge"/>
          <c:yMode val="edge"/>
          <c:x val="0.13069908814589673"/>
          <c:y val="8.8000000000000037E-2"/>
          <c:w val="0.83282674772036458"/>
          <c:h val="0.78800000000000003"/>
        </c:manualLayout>
      </c:layout>
      <c:barChart>
        <c:barDir val="bar"/>
        <c:grouping val="clustered"/>
        <c:ser>
          <c:idx val="0"/>
          <c:order val="0"/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cat>
            <c:strRef>
              <c:f>Diagrammes!$D$3:$D$9</c:f>
              <c:strCache>
                <c:ptCount val="7"/>
                <c:pt idx="0">
                  <c:v>a3</c:v>
                </c:pt>
                <c:pt idx="1">
                  <c:v>a2</c:v>
                </c:pt>
                <c:pt idx="2">
                  <c:v>a123</c:v>
                </c:pt>
                <c:pt idx="3">
                  <c:v>a1</c:v>
                </c:pt>
                <c:pt idx="4">
                  <c:v>a13</c:v>
                </c:pt>
                <c:pt idx="5">
                  <c:v>a23</c:v>
                </c:pt>
                <c:pt idx="6">
                  <c:v>a12</c:v>
                </c:pt>
              </c:strCache>
            </c:strRef>
          </c:cat>
          <c:val>
            <c:numRef>
              <c:f>Diagrammes!$E$3:$E$9</c:f>
              <c:numCache>
                <c:formatCode>General</c:formatCode>
                <c:ptCount val="7"/>
                <c:pt idx="0">
                  <c:v>18.000000000499991</c:v>
                </c:pt>
                <c:pt idx="1">
                  <c:v>5.5000000004</c:v>
                </c:pt>
                <c:pt idx="2">
                  <c:v>2.5000000009000001</c:v>
                </c:pt>
                <c:pt idx="3">
                  <c:v>2.5000000003</c:v>
                </c:pt>
                <c:pt idx="4">
                  <c:v>1.5000000007000001</c:v>
                </c:pt>
                <c:pt idx="5">
                  <c:v>1.0000000008000001</c:v>
                </c:pt>
                <c:pt idx="6">
                  <c:v>0.50000000060000005</c:v>
                </c:pt>
              </c:numCache>
            </c:numRef>
          </c:val>
        </c:ser>
        <c:axId val="174502272"/>
        <c:axId val="174503808"/>
      </c:barChart>
      <c:catAx>
        <c:axId val="174502272"/>
        <c:scaling>
          <c:orientation val="minMax"/>
        </c:scaling>
        <c:axPos val="l"/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fr-FR"/>
          </a:p>
        </c:txPr>
        <c:crossAx val="174503808"/>
        <c:crosses val="autoZero"/>
        <c:auto val="1"/>
        <c:lblAlgn val="ctr"/>
        <c:lblOffset val="100"/>
        <c:tickLblSkip val="1"/>
        <c:tickMarkSkip val="1"/>
      </c:catAx>
      <c:valAx>
        <c:axId val="174503808"/>
        <c:scaling>
          <c:orientation val="minMax"/>
        </c:scaling>
        <c:axPos val="b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800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fr-FR"/>
                  <a:t>Valeur absolue du coefficient
(Unité de la réponse)</a:t>
                </a:r>
              </a:p>
            </c:rich>
          </c:tx>
          <c:layout>
            <c:manualLayout>
              <c:xMode val="edge"/>
              <c:yMode val="edge"/>
              <c:x val="0.2978723404255319"/>
              <c:y val="0.92"/>
            </c:manualLayout>
          </c:layout>
          <c:spPr>
            <a:noFill/>
            <a:ln w="25400">
              <a:noFill/>
            </a:ln>
          </c:spPr>
        </c:title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fr-FR"/>
          </a:p>
        </c:txPr>
        <c:crossAx val="174502272"/>
        <c:crosses val="autoZero"/>
        <c:crossBetween val="between"/>
        <c:majorUnit val="10"/>
        <c:minorUnit val="5"/>
      </c:valAx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plotArea>
    <c:plotVisOnly val="1"/>
    <c:dispBlanksAs val="gap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8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fr-FR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fr-FR"/>
  <c:chart>
    <c:title>
      <c:tx>
        <c:strRef>
          <c:f>Diagrammes!$M$2</c:f>
          <c:strCache>
            <c:ptCount val="1"/>
            <c:pt idx="0">
              <c:v>Diagramme de Daniel pour y1</c:v>
            </c:pt>
          </c:strCache>
        </c:strRef>
      </c:tx>
      <c:layout>
        <c:manualLayout>
          <c:xMode val="edge"/>
          <c:yMode val="edge"/>
          <c:x val="0.29598308668076123"/>
          <c:y val="3.1100478468899538E-2"/>
        </c:manualLayout>
      </c:layout>
      <c:spPr>
        <a:noFill/>
        <a:ln w="25400">
          <a:noFill/>
        </a:ln>
      </c:spPr>
      <c:txPr>
        <a:bodyPr/>
        <a:lstStyle/>
        <a:p>
          <a:pPr>
            <a:defRPr sz="950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fr-FR"/>
        </a:p>
      </c:txPr>
    </c:title>
    <c:plotArea>
      <c:layout>
        <c:manualLayout>
          <c:layoutTarget val="inner"/>
          <c:xMode val="edge"/>
          <c:yMode val="edge"/>
          <c:x val="0.15433403805496834"/>
          <c:y val="0.15550257399280193"/>
          <c:w val="0.79281183932346744"/>
          <c:h val="0.67942663098393463"/>
        </c:manualLayout>
      </c:layout>
      <c:scatterChart>
        <c:scatterStyle val="lineMarker"/>
        <c:ser>
          <c:idx val="0"/>
          <c:order val="0"/>
          <c:spPr>
            <a:ln w="19050">
              <a:noFill/>
            </a:ln>
          </c:spPr>
          <c:marker>
            <c:symbol val="diamond"/>
            <c:size val="5"/>
            <c:spPr>
              <a:solidFill>
                <a:srgbClr val="000080"/>
              </a:solidFill>
              <a:ln>
                <a:solidFill>
                  <a:srgbClr val="000080"/>
                </a:solidFill>
                <a:prstDash val="solid"/>
              </a:ln>
            </c:spPr>
          </c:marker>
          <c:dLbls>
            <c:dLbl>
              <c:idx val="0"/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a1</a:t>
                    </a:r>
                  </a:p>
                </c:rich>
              </c:tx>
              <c:spPr>
                <a:noFill/>
                <a:ln w="25400">
                  <a:noFill/>
                </a:ln>
              </c:spPr>
              <c:dLblPos val="l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a2</a:t>
                    </a:r>
                  </a:p>
                </c:rich>
              </c:tx>
              <c:spPr>
                <a:noFill/>
                <a:ln w="25400">
                  <a:noFill/>
                </a:ln>
              </c:spPr>
              <c:dLblPos val="r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a3</a:t>
                    </a:r>
                  </a:p>
                </c:rich>
              </c:tx>
              <c:spPr>
                <a:noFill/>
                <a:ln w="25400">
                  <a:noFill/>
                </a:ln>
              </c:spPr>
              <c:dLblPos val="t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a12</a:t>
                    </a:r>
                  </a:p>
                </c:rich>
              </c:tx>
              <c:spPr>
                <a:noFill/>
                <a:ln w="25400">
                  <a:noFill/>
                </a:ln>
              </c:spPr>
              <c:dLblPos val="r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a13</a:t>
                    </a:r>
                  </a:p>
                </c:rich>
              </c:tx>
              <c:spPr>
                <a:noFill/>
                <a:ln w="25400">
                  <a:noFill/>
                </a:ln>
              </c:spPr>
              <c:dLblPos val="l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a23</a:t>
                    </a:r>
                  </a:p>
                </c:rich>
              </c:tx>
              <c:spPr>
                <a:noFill/>
                <a:ln w="25400">
                  <a:noFill/>
                </a:ln>
              </c:spPr>
              <c:dLblPos val="l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en-US"/>
                      <a:t>a123</a:t>
                    </a:r>
                  </a:p>
                </c:rich>
              </c:tx>
              <c:spPr>
                <a:noFill/>
                <a:ln w="25400">
                  <a:noFill/>
                </a:ln>
              </c:spPr>
              <c:dLblPos val="l"/>
              <c:extLst>
                <c:ext xmlns:c15="http://schemas.microsoft.com/office/drawing/2012/chart" uri="{CE6537A1-D6FC-4f65-9D91-7224C49458BB}"/>
              </c:extLst>
            </c:dLbl>
            <c:delete val="1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xVal>
            <c:numRef>
              <c:f>Diagrammes!$I$3:$I$9</c:f>
              <c:numCache>
                <c:formatCode>General</c:formatCode>
                <c:ptCount val="7"/>
                <c:pt idx="0">
                  <c:v>2.5000000000030003</c:v>
                </c:pt>
                <c:pt idx="1">
                  <c:v>5.5000000000040004</c:v>
                </c:pt>
                <c:pt idx="2">
                  <c:v>18.000000000004999</c:v>
                </c:pt>
                <c:pt idx="3">
                  <c:v>0.50000000000599998</c:v>
                </c:pt>
                <c:pt idx="4">
                  <c:v>-1.4999999999929996</c:v>
                </c:pt>
                <c:pt idx="5">
                  <c:v>1.000000000008</c:v>
                </c:pt>
                <c:pt idx="6">
                  <c:v>-2.4999999999909992</c:v>
                </c:pt>
              </c:numCache>
            </c:numRef>
          </c:xVal>
          <c:yVal>
            <c:numRef>
              <c:f>Diagrammes!$K$3:$K$9</c:f>
              <c:numCache>
                <c:formatCode>General</c:formatCode>
                <c:ptCount val="7"/>
                <c:pt idx="0">
                  <c:v>0.3661063568005698</c:v>
                </c:pt>
                <c:pt idx="1">
                  <c:v>0.79163860774337491</c:v>
                </c:pt>
                <c:pt idx="2">
                  <c:v>1.4652337926855223</c:v>
                </c:pt>
                <c:pt idx="3">
                  <c:v>-0.3661063568005698</c:v>
                </c:pt>
                <c:pt idx="4">
                  <c:v>-0.79163860774337491</c:v>
                </c:pt>
                <c:pt idx="5">
                  <c:v>0</c:v>
                </c:pt>
                <c:pt idx="6">
                  <c:v>-1.4652337926855217</c:v>
                </c:pt>
              </c:numCache>
            </c:numRef>
          </c:yVal>
        </c:ser>
        <c:axId val="184139136"/>
        <c:axId val="185256576"/>
      </c:scatterChart>
      <c:valAx>
        <c:axId val="184139136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sz="975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fr-FR"/>
                  <a:t>Effet</a:t>
                </a:r>
              </a:p>
            </c:rich>
          </c:tx>
          <c:layout>
            <c:manualLayout>
              <c:xMode val="edge"/>
              <c:yMode val="edge"/>
              <c:x val="0.5158562367864693"/>
              <c:y val="0.90909191375001563"/>
            </c:manualLayout>
          </c:layout>
          <c:spPr>
            <a:noFill/>
            <a:ln w="25400">
              <a:noFill/>
            </a:ln>
          </c:spPr>
        </c:title>
        <c:numFmt formatCode="General" sourceLinked="1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75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fr-FR"/>
          </a:p>
        </c:txPr>
        <c:crossAx val="185256576"/>
        <c:crosses val="autoZero"/>
        <c:crossBetween val="midCat"/>
      </c:valAx>
      <c:valAx>
        <c:axId val="185256576"/>
        <c:scaling>
          <c:orientation val="minMax"/>
        </c:scaling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975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fr-FR"/>
                  <a:t>Normit</a:t>
                </a:r>
              </a:p>
            </c:rich>
          </c:tx>
          <c:layout>
            <c:manualLayout>
              <c:xMode val="edge"/>
              <c:yMode val="edge"/>
              <c:x val="3.3826638477801284E-2"/>
              <c:y val="0.44019188988936192"/>
            </c:manualLayout>
          </c:layout>
          <c:spPr>
            <a:noFill/>
            <a:ln w="25400">
              <a:noFill/>
            </a:ln>
          </c:spPr>
        </c:title>
        <c:numFmt formatCode="General" sourceLinked="1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75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fr-FR"/>
          </a:p>
        </c:txPr>
        <c:crossAx val="184139136"/>
        <c:crosses val="autoZero"/>
        <c:crossBetween val="midCat"/>
      </c:valAx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plotArea>
    <c:plotVisOnly val="1"/>
    <c:dispBlanksAs val="gap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975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fr-FR"/>
    </a:p>
  </c:txPr>
  <c:externalData r:id="rId1"/>
</c:chartSpac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DELL</cp:lastModifiedBy>
  <cp:revision>6</cp:revision>
  <cp:lastPrinted>2023-05-27T04:04:00Z</cp:lastPrinted>
  <dcterms:created xsi:type="dcterms:W3CDTF">2023-05-27T03:51:00Z</dcterms:created>
  <dcterms:modified xsi:type="dcterms:W3CDTF">2023-07-01T19:17:00Z</dcterms:modified>
</cp:coreProperties>
</file>