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D067A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6D7569">
        <w:rPr>
          <w:rFonts w:ascii="Times New Roman" w:hAnsi="Times New Roman" w:cs="Times New Roman"/>
          <w:b/>
          <w:color w:val="000000" w:themeColor="text1"/>
        </w:rPr>
        <w:t>Figure S1:</w:t>
      </w:r>
      <w:r w:rsidRPr="000566AE">
        <w:rPr>
          <w:rFonts w:ascii="Times New Roman" w:hAnsi="Times New Roman" w:cs="Times New Roman"/>
          <w:color w:val="000000" w:themeColor="text1"/>
        </w:rPr>
        <w:t xml:space="preserve"> 2D PCA scores plot of (A) sum-normalized, (B) internal standard-normalized and (C) myo-inositol-normalized salivary metabolomic data. Green and red indicates saliva samples collected before and after mask use, respectively.   </w:t>
      </w:r>
    </w:p>
    <w:p w14:paraId="77BE740C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6D7569">
        <w:rPr>
          <w:rFonts w:ascii="Times New Roman" w:hAnsi="Times New Roman" w:cs="Times New Roman"/>
          <w:b/>
          <w:color w:val="000000" w:themeColor="text1"/>
        </w:rPr>
        <w:t>Figure S2:</w:t>
      </w:r>
      <w:r w:rsidRPr="000566AE">
        <w:rPr>
          <w:rFonts w:ascii="Times New Roman" w:hAnsi="Times New Roman" w:cs="Times New Roman"/>
          <w:color w:val="000000" w:themeColor="text1"/>
        </w:rPr>
        <w:t xml:space="preserve"> Heatmap analysis of (A) sum-normalized, (B) internal standard-normalized and (C) myo-inositol-normalized data showing highly conserved individual </w:t>
      </w:r>
      <w:proofErr w:type="spellStart"/>
      <w:r w:rsidRPr="000566AE">
        <w:rPr>
          <w:rFonts w:ascii="Times New Roman" w:hAnsi="Times New Roman" w:cs="Times New Roman"/>
          <w:color w:val="000000" w:themeColor="text1"/>
        </w:rPr>
        <w:t>metabotypes</w:t>
      </w:r>
      <w:proofErr w:type="spellEnd"/>
      <w:r w:rsidRPr="000566AE">
        <w:rPr>
          <w:rFonts w:ascii="Times New Roman" w:hAnsi="Times New Roman" w:cs="Times New Roman"/>
          <w:color w:val="000000" w:themeColor="text1"/>
        </w:rPr>
        <w:t xml:space="preserve"> irrespective of mask use.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0566AE">
        <w:rPr>
          <w:rFonts w:ascii="Times New Roman" w:hAnsi="Times New Roman" w:cs="Times New Roman"/>
          <w:color w:val="000000" w:themeColor="text1"/>
        </w:rPr>
        <w:t xml:space="preserve">Alphabets (A, B, …I, J) represents individual volunteers. Samples collected before and after use of FFP2 masks are indicated by 1 and 2, respectively.  </w:t>
      </w:r>
    </w:p>
    <w:p w14:paraId="6076E8C4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6D7569">
        <w:rPr>
          <w:rFonts w:ascii="Times New Roman" w:hAnsi="Times New Roman" w:cs="Times New Roman"/>
          <w:b/>
          <w:color w:val="000000" w:themeColor="text1"/>
        </w:rPr>
        <w:t>Figure S3:</w:t>
      </w:r>
      <w:r w:rsidRPr="000566AE">
        <w:rPr>
          <w:rFonts w:ascii="Times New Roman" w:hAnsi="Times New Roman" w:cs="Times New Roman"/>
          <w:color w:val="000000" w:themeColor="text1"/>
        </w:rPr>
        <w:t xml:space="preserve"> Changes in myo-inositol-normalized relative abundance of metabolites upon FFP2 mask use.</w:t>
      </w:r>
    </w:p>
    <w:p w14:paraId="72B119D1" w14:textId="5AB369DC" w:rsidR="00FC4DE1" w:rsidRDefault="00FC4DE1"/>
    <w:p w14:paraId="2FF0FCE8" w14:textId="4B231DE8" w:rsidR="00A943E8" w:rsidRDefault="00A943E8"/>
    <w:p w14:paraId="1D3F2E04" w14:textId="1BD5160A" w:rsidR="00A943E8" w:rsidRDefault="00A943E8"/>
    <w:p w14:paraId="58BB3527" w14:textId="20F309DD" w:rsidR="00A943E8" w:rsidRDefault="00A943E8"/>
    <w:p w14:paraId="26CE1DF5" w14:textId="4C5FFC19" w:rsidR="00A943E8" w:rsidRDefault="00A943E8"/>
    <w:p w14:paraId="1957187C" w14:textId="3D5318E0" w:rsidR="00A943E8" w:rsidRDefault="00A943E8"/>
    <w:p w14:paraId="37EE1C52" w14:textId="44C1528D" w:rsidR="00A943E8" w:rsidRDefault="00A943E8"/>
    <w:p w14:paraId="4788C01E" w14:textId="643F1105" w:rsidR="00A943E8" w:rsidRDefault="00A943E8"/>
    <w:p w14:paraId="627CC9A7" w14:textId="6850E787" w:rsidR="00A943E8" w:rsidRDefault="00A943E8"/>
    <w:p w14:paraId="02CF1A69" w14:textId="5E34E4FE" w:rsidR="00A943E8" w:rsidRDefault="00A943E8"/>
    <w:p w14:paraId="2E41BC9E" w14:textId="2AEDC9CC" w:rsidR="00A943E8" w:rsidRDefault="00A943E8"/>
    <w:p w14:paraId="7F636D20" w14:textId="245E528C" w:rsidR="00A943E8" w:rsidRDefault="00A943E8"/>
    <w:p w14:paraId="51918A51" w14:textId="57742DE0" w:rsidR="00A943E8" w:rsidRDefault="00A943E8"/>
    <w:p w14:paraId="1F10CC29" w14:textId="6274F5F1" w:rsidR="00A943E8" w:rsidRDefault="00A943E8"/>
    <w:p w14:paraId="3C0C0F78" w14:textId="35BA3E2B" w:rsidR="00A943E8" w:rsidRDefault="00A943E8"/>
    <w:p w14:paraId="44EFCDB7" w14:textId="3EB3B401" w:rsidR="00A943E8" w:rsidRDefault="00A943E8"/>
    <w:p w14:paraId="0F0D71FE" w14:textId="11DAD8C5" w:rsidR="00A943E8" w:rsidRDefault="00A943E8"/>
    <w:p w14:paraId="11AED50D" w14:textId="77777777" w:rsidR="00A943E8" w:rsidRDefault="00A943E8"/>
    <w:p w14:paraId="67C548F7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566AE">
        <w:rPr>
          <w:rFonts w:ascii="Times New Roman" w:hAnsi="Times New Roman" w:cs="Times New Roman"/>
          <w:color w:val="000000" w:themeColor="text1"/>
        </w:rPr>
        <w:lastRenderedPageBreak/>
        <w:t xml:space="preserve">Figure S1: </w:t>
      </w:r>
    </w:p>
    <w:p w14:paraId="168D1CBA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566A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B742EBF" wp14:editId="7332397D">
            <wp:extent cx="5943600" cy="551491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14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93BBC0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49686B9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DBB361B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2178DE9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CAC1743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105234E" w14:textId="2AD0B992" w:rsidR="00A943E8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46BE816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D28497D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566AE">
        <w:rPr>
          <w:rFonts w:ascii="Times New Roman" w:hAnsi="Times New Roman" w:cs="Times New Roman"/>
          <w:color w:val="000000" w:themeColor="text1"/>
        </w:rPr>
        <w:t xml:space="preserve">Figure S2A: </w:t>
      </w:r>
    </w:p>
    <w:p w14:paraId="0D983EAB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566A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8D46406" wp14:editId="370E1E82">
            <wp:extent cx="3841750" cy="3458510"/>
            <wp:effectExtent l="0" t="0" r="635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466" cy="3464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A8DC25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566AE">
        <w:rPr>
          <w:rFonts w:ascii="Times New Roman" w:hAnsi="Times New Roman" w:cs="Times New Roman"/>
          <w:color w:val="000000" w:themeColor="text1"/>
        </w:rPr>
        <w:t>Figure S2B:</w:t>
      </w:r>
    </w:p>
    <w:p w14:paraId="7D124FDA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566AE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33B54362" wp14:editId="4BE6DE7E">
            <wp:extent cx="3924300" cy="3573229"/>
            <wp:effectExtent l="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363" cy="3579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8E6B49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566AE">
        <w:rPr>
          <w:rFonts w:ascii="Times New Roman" w:hAnsi="Times New Roman" w:cs="Times New Roman"/>
          <w:color w:val="000000" w:themeColor="text1"/>
        </w:rPr>
        <w:t>Figure S2C:</w:t>
      </w:r>
    </w:p>
    <w:p w14:paraId="7F9C50B2" w14:textId="7B300001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566A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72F26415" wp14:editId="57F67170">
            <wp:extent cx="4230481" cy="3886200"/>
            <wp:effectExtent l="0" t="0" r="0" b="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481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660FAC" w14:textId="77777777" w:rsidR="00A943E8" w:rsidRPr="000566AE" w:rsidRDefault="00A943E8" w:rsidP="00A943E8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566AE">
        <w:rPr>
          <w:rFonts w:ascii="Times New Roman" w:hAnsi="Times New Roman" w:cs="Times New Roman"/>
          <w:color w:val="000000" w:themeColor="text1"/>
        </w:rPr>
        <w:lastRenderedPageBreak/>
        <w:t xml:space="preserve">Figure S3: </w:t>
      </w:r>
    </w:p>
    <w:p w14:paraId="61A9992D" w14:textId="55A08F77" w:rsidR="00A943E8" w:rsidRDefault="00A943E8">
      <w:r w:rsidRPr="000566A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BACBD0C" wp14:editId="638A68FF">
            <wp:extent cx="5943600" cy="7827010"/>
            <wp:effectExtent l="0" t="0" r="0" b="0"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2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4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3E8"/>
    <w:rsid w:val="00A943E8"/>
    <w:rsid w:val="00FC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515CA"/>
  <w15:chartTrackingRefBased/>
  <w15:docId w15:val="{E3E22036-4321-4D3F-B47B-AC491A7A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3E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2022-08-15T01:15:00Z</dcterms:created>
  <dcterms:modified xsi:type="dcterms:W3CDTF">2022-08-15T01:17:00Z</dcterms:modified>
</cp:coreProperties>
</file>