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9E3FD0" w14:textId="16754CB8" w:rsidR="00D140FA" w:rsidRPr="003934D1" w:rsidRDefault="00CB6698" w:rsidP="007D6426">
      <w:pPr>
        <w:pStyle w:val="Title"/>
        <w:jc w:val="both"/>
      </w:pPr>
      <w:r w:rsidRPr="003934D1">
        <w:t>Supplement</w:t>
      </w:r>
    </w:p>
    <w:p w14:paraId="2220FADA" w14:textId="77777777" w:rsidR="00E716F3" w:rsidRDefault="00E716F3" w:rsidP="007D6426">
      <w:pPr>
        <w:pStyle w:val="Heading1"/>
        <w:jc w:val="both"/>
      </w:pPr>
      <w:r w:rsidRPr="00D21A3A">
        <w:t>Intact polar lipids source assignments</w:t>
      </w:r>
    </w:p>
    <w:p w14:paraId="1BDDE555" w14:textId="3038F543" w:rsidR="008F4C86" w:rsidRPr="00D21A3A" w:rsidRDefault="00E716F3" w:rsidP="007D6426">
      <w:pPr>
        <w:jc w:val="both"/>
      </w:pPr>
      <w:r>
        <w:t xml:space="preserve">All three cores were dominated by phospholipids </w:t>
      </w:r>
      <w:r w:rsidR="00D51571">
        <w:t>with variable</w:t>
      </w:r>
      <w:r>
        <w:t xml:space="preserve"> relative amounts. While phosphatidylethanolamine (PE) and phosphatidylglycerol (PG) dominated the </w:t>
      </w:r>
      <w:proofErr w:type="spellStart"/>
      <w:r>
        <w:t>Brepollen</w:t>
      </w:r>
      <w:proofErr w:type="spellEnd"/>
      <w:r>
        <w:t xml:space="preserve"> long core HH14-897-GC-M</w:t>
      </w:r>
      <w:r w:rsidR="005C1220">
        <w:t>F</w:t>
      </w:r>
      <w:r>
        <w:t xml:space="preserve"> and the gla</w:t>
      </w:r>
      <w:r w:rsidR="005C1220">
        <w:t>cier-</w:t>
      </w:r>
      <w:r>
        <w:t>front core He560_26-2</w:t>
      </w:r>
      <w:r w:rsidR="00CC58A6">
        <w:t>-</w:t>
      </w:r>
      <w:r>
        <w:t xml:space="preserve">K1, the marine influenced main basin </w:t>
      </w:r>
      <w:r w:rsidR="008C3F34">
        <w:t xml:space="preserve">core </w:t>
      </w:r>
      <w:r>
        <w:t xml:space="preserve">He519_2-3 </w:t>
      </w:r>
      <w:r w:rsidR="008C3F34">
        <w:t>contained</w:t>
      </w:r>
      <w:r>
        <w:t xml:space="preserve"> higher amounts of phosphatidylcholine (PC), followed by PG and PE (</w:t>
      </w:r>
      <w:r w:rsidR="006079CE">
        <w:fldChar w:fldCharType="begin"/>
      </w:r>
      <w:r w:rsidR="006079CE">
        <w:instrText xml:space="preserve"> REF _Ref109033979 \h </w:instrText>
      </w:r>
      <w:r w:rsidR="007D6426">
        <w:instrText xml:space="preserve"> \* MERGEFORMAT </w:instrText>
      </w:r>
      <w:r w:rsidR="006079CE">
        <w:fldChar w:fldCharType="separate"/>
      </w:r>
      <w:r w:rsidR="00DD1C1E">
        <w:t xml:space="preserve">Figure S </w:t>
      </w:r>
      <w:r w:rsidR="00DD1C1E">
        <w:rPr>
          <w:noProof/>
        </w:rPr>
        <w:t>1</w:t>
      </w:r>
      <w:r w:rsidR="006079CE">
        <w:fldChar w:fldCharType="end"/>
      </w:r>
      <w:r>
        <w:t>). Phosphatidyl-(</w:t>
      </w:r>
      <w:r w:rsidRPr="00B25910">
        <w:rPr>
          <w:i/>
          <w:iCs/>
        </w:rPr>
        <w:t>N</w:t>
      </w:r>
      <w:r>
        <w:t>)-</w:t>
      </w:r>
      <w:proofErr w:type="spellStart"/>
      <w:r>
        <w:t>monomethylethanolamine</w:t>
      </w:r>
      <w:proofErr w:type="spellEnd"/>
      <w:r>
        <w:t xml:space="preserve"> (PME), Phosphatidyl-(</w:t>
      </w:r>
      <w:proofErr w:type="gramStart"/>
      <w:r w:rsidRPr="00B25910">
        <w:rPr>
          <w:i/>
          <w:iCs/>
        </w:rPr>
        <w:t>N,N</w:t>
      </w:r>
      <w:proofErr w:type="gramEnd"/>
      <w:r>
        <w:t xml:space="preserve">)-dimethylethanolamine (PDME), </w:t>
      </w:r>
      <w:proofErr w:type="spellStart"/>
      <w:r>
        <w:t>diphosphatidylglycerol</w:t>
      </w:r>
      <w:proofErr w:type="spellEnd"/>
      <w:r>
        <w:t xml:space="preserve"> (DPG) and </w:t>
      </w:r>
      <w:proofErr w:type="spellStart"/>
      <w:r>
        <w:t>lyso</w:t>
      </w:r>
      <w:proofErr w:type="spellEnd"/>
      <w:r w:rsidR="00695A22" w:rsidRPr="00695A22">
        <w:t>-</w:t>
      </w:r>
      <w:r>
        <w:t>DPG were detected in minor amounts in all cores. The aminolipids, betaine lipids (BL)</w:t>
      </w:r>
      <w:r w:rsidR="00D51571">
        <w:t>,</w:t>
      </w:r>
      <w:r>
        <w:t xml:space="preserve"> were also present in all three cores with varying amounts but always &lt;10%. PG and PE are the most common lipids found in bacteria</w:t>
      </w:r>
      <w:r>
        <w:fldChar w:fldCharType="begin" w:fldLock="1"/>
      </w:r>
      <w:r w:rsidR="00D859A4">
        <w:instrText>ADDIN CSL_CITATION {"citationItems":[{"id":"ITEM-1","itemData":{"DOI":"10.1093/femsre/fuv008","ISBN":"1574-6976 (Electronic)\r0168-6445 (Linking)","ISSN":"0168-6445","PMID":"25862689","abstract":"For many decades, Escherichia coli was the main model organism for the study of bacterial membrane lipids. The results obtained served as a blueprint for membrane lipid biochemistry, but it is clear now that there is no such thing as a typical bacterial membrane lipid composition. Different bacterial species display different membrane compositions and even the membrane composition of cells belonging to a single species is not constant, but depends on the environmental conditions to which the cells are exposed. Bacterial membranes present a large diversity of amphiphilic lipids, including the common phospholipids phosphatidylglycerol, phosphatidylethanolamine and cardiolipin, the less frequent phospholipids phosphatidylcholine, and phosphatidylinositol and a variety of other membrane lipids, such as for example ornithine lipids, glycolipids, sphingolipids or hopanoids among others. In this review, we give an overview about the membrane lipid structures known in bacteria, the different metabolic pathways involved in their formation, and the distribution of membrane lipids and metabolic pathways across taxonomical groups.","author":[{"dropping-particle":"","family":"Sohlenkamp","given":"Christian","non-dropping-particle":"","parse-names":false,"suffix":""},{"dropping-particle":"","family":"Geiger","given":"Otto","non-dropping-particle":"","parse-names":false,"suffix":""}],"container-title":"FEMS Microbiol Rev","edition":"2015/04/12","editor":[{"dropping-particle":"","family":"Narberhaus","given":"Franz","non-dropping-particle":"","parse-names":false,"suffix":""}],"id":"ITEM-1","issue":"1","issued":{"date-parts":[["2016","1","1"]]},"language":"en","note":"From Duplicate 2 (Bacterial membrane lipids: diversity in structures and pathways - Sohlenkamp, C; Geiger, O)\n\nSohlenkamp, Christian\nGeiger, Otto\neng\nResearch Support, Non-U.S. Gov't\nReview\nEngland\nFEMS Microbiol Rev. 2016 Jan;40(1):133-59. doi: 10.1093/femsre/fuv008. Epub 2015 Apr 9.","page":"133-159","publisher":"Oxford Academic","title":"Bacterial membrane lipids: diversity in structures and pathways","title-short":"Bacterial membrane lipids","type":"article-journal","volume":"40"},"uris":["http://www.mendeley.com/documents/?uuid=231d38c6-6e5e-483b-8a12-4807b611bd6e"]}],"mendeley":{"formattedCitation":"&lt;sup&gt;1&lt;/sup&gt;","plainTextFormattedCitation":"1","previouslyFormattedCitation":"&lt;sup&gt;1&lt;/sup&gt;"},"properties":{"noteIndex":0},"schema":"https://github.com/citation-style-language/schema/raw/master/csl-citation.json"}</w:instrText>
      </w:r>
      <w:r>
        <w:fldChar w:fldCharType="separate"/>
      </w:r>
      <w:r w:rsidRPr="003E3038">
        <w:rPr>
          <w:noProof/>
          <w:vertAlign w:val="superscript"/>
        </w:rPr>
        <w:t>1</w:t>
      </w:r>
      <w:r>
        <w:fldChar w:fldCharType="end"/>
      </w:r>
      <w:r>
        <w:t xml:space="preserve"> and are typically assigned</w:t>
      </w:r>
      <w:r w:rsidR="00D51571">
        <w:t xml:space="preserve"> to sulfate-reducing bacteria</w:t>
      </w:r>
      <w:r w:rsidR="00D51571">
        <w:fldChar w:fldCharType="begin" w:fldLock="1"/>
      </w:r>
      <w:r w:rsidR="00D51571">
        <w:instrText>ADDIN CSL_CITATION {"citationItems":[{"id":"ITEM-1","itemData":{"DOI":"10.1016/J.GCA.2009.08.003","ISSN":"0016-7037","abstract":"Marine sediments harbor an enormous quantity of microorganisms, including a multitude of novel species. The habitable zone of the marine sediment column begins at the sediment-water interface and probably extends to depths of several thousands of meters. Studies of the microbial diversity in this ecosystem have mostly relied on molecular biological techniques. We used a complementary method - analysis of intact polar membrane lipids - to characterize the in-situ microbial community in sediments covering a wide range of environmental conditions from Peru Margin, Equatorial Pacific, Hydrate Ridge, and Juan de Fuca Ridge. Bacterial and eukaryotic phospholipids were only detected in surface sediments from the Peru Margin. In contrast, deeply buried sediments, independent of their geographic location, were dominated by archaeal diether and tetraether lipids with various polar head groups and core lipids. We compared ring distributions of archaeal tetraether lipids derived from polar glycosidic precursors with those that are present as core lipids. The distributions of these related compound pools were distinct, suggestive of different archaeal sources, i.e., the polar compounds derive from sedimentary communities and the core lipids are fossil remnants from planktonic communities with possible admixtures of decayed sedimentary archaea. This in-situ production of distinct archaeal lipid populations potentially affects applications of the TEX86 paleotemperature proxy as demonstrated by offsets in reconstructed temperatures between both pools. We evaluated how varying cell and lipid stabilities will influence the sedimentary pool by using a box-model. The results are consistent with (i) a requirement of continuous inputs of freshly synthesized lipids in subsurface sediments for explaining the observed distribution of intact polar lipids, and (ii) decreasing lipid inputs with increasing burial depth. © 2009 Elsevier Ltd. All rights reserved.","author":[{"dropping-particle":"","family":"Lipp","given":"Julius Sebastian","non-dropping-particle":"","parse-names":false,"suffix":""},{"dropping-particle":"","family":"Hinrichs","given":"Kai Uwe","non-dropping-particle":"","parse-names":false,"suffix":""}],"container-title":"Geochimica et Cosmochimica Acta","id":"ITEM-1","issue":"22","issued":{"date-parts":[["2009","11","15"]]},"page":"6816-6833","publisher":"Pergamon","title":"Structural diversity and fate of intact polar lipids in marine sediments","type":"article-journal","volume":"73"},"uris":["http://www.mendeley.com/documents/?uuid=f66e0192-dadd-324b-9c62-015dab278e90"]},{"id":"ITEM-2","itemData":{"DOI":"10.1016/j.gca.2011.05.025","ISBN":"00167037","ISSN":"0016-7037","abstract":"At the Chapopote Knoll in the Southern Gulf of Mexico, deposits of asphalt provide the substrate for a prolific cold seep ecosystem extensively colonized by chemosynthetic communities. This study investigates microbial life and associated biological processes within the asphalts and surrounding oil-impregnated sediments by analysis of intact polar membrane lipids (IPLs), petroleum hydrocarbons and stable carbon isotopic compositions (delta C-13) of hydrocarbon gases. Asphalt samples are lightly to heavily biodegraded suggesting that petroleum-derived hydrocarbons serve as substrates for the chemosynthetic communities. Accordingly, detection of bacterial diester and diether phospholipids in asphalt samples containing finely dispersed gas hydrate suggests the presence of hydrocarbon-degrading bacteria. Biological methanogenesis contributes a substantial fraction to the methane captured as hydrate in the shallow asphalt deposits evidenced by significant depletion in C-13 relative to background thermogenic methane. In sediments, petroleum migrating from the subsurface stimulates both methanogenesis and methanotrophy at a sulfate-methane transition zone 6-7 m below the seafloor. In this zone, microbial IPLs are dominated by archaeal phosphohydroxyarchaeols and archaeal diglycosidic diethers and tetraethers. Bacterial IPLs dominate surface sediments that are impregnated by severely biodegraded oil. In the sulfate-reduction zone, diagnostic IPLs indicate that sulfate-reducing bacteria (SRB) play an important role in petroleum degradation. A diverse mixture of phosphohydroxyarchaeols and mixed phospho-and diglycosidic archaeal tetraethers in shallow oil-impregnated sediments point to the presence of anaerobic methane-oxidizing ANME-2 and ANME-1 archaea, respectively, or methanogens. Archaeal IPLs increase in relative abundance with increasing sediment depth and decreasing sulfate concentrations, accompanied by a shift of archaeol-based to tetraether-based archaeal IPLs. The latter shift is suggested to be indicative of a community shift from ANME-2 and/or methanogenic archaea in shallower sediments to ANME-1/methanogenic archaea and possibly benthic archaea in deeper sediments. (C) 2011 Elsevier Ltd. All rights reserved.","author":[{"dropping-particle":"","family":"Schubotz","given":"Florence","non-dropping-particle":"","parse-names":false,"suffix":""},{"dropping-particle":"","family":"Lipp","given":"Julius S.","non-dropping-particle":"","parse-names":false,"suffix":""},{"dropping-particle":"","family":"Elvert","given":"Marcus","non-dropping-particle":"","parse-names":false,"suffix":""},{"dropping-particle":"","family":"Kasten","given":"Sabine","non-dropping-particle":"","parse-names":false,"suffix":""},{"dropping-particle":"","family":"Mollar","given":"Xavier Prieto","non-dropping-particle":"","parse-names":false,"suffix":""},{"dropping-particle":"","family":"Zabel","given":"Matthias","non-dropping-particle":"","parse-names":false,"suffix":""},{"dropping-particle":"","family":"Bohrmann","given":"Gerhard","non-dropping-particle":"","parse-names":false,"suffix":""},{"dropping-particle":"","family":"Hinrichs","given":"Kai-Uwe Uwe","non-dropping-particle":"","parse-names":false,"suffix":""}],"chapter-number":"4377","container-title":"Geochimica et Cosmochimica Acta","id":"ITEM-2","issue":"16","issued":{"date-parts":[["2011","8","15"]]},"language":"English","note":"From Duplicate 1 (Petroleum degradation and associated microbial signatures at the Chapopote asphalt volcano, Southern Gulf of Mexico - Schubotz, Florence; Lipp, Julius S; Elvert, Marcus; Kasten, Sabine; Mollar, Xavier Prieto; Zabel, Matthias; Bohrmann, Gerhard; Hinrichs, Kai-Uwe)\n\n795yj\nTimes Cited:22\nCited References Count:103","page":"4377-4398","publisher":"Elsevier","title":"Petroleum degradation and associated microbial signatures at the Chapopote asphalt volcano, Southern Gulf of Mexico","type":"article-journal","volume":"75"},"uris":["http://www.mendeley.com/documents/?uuid=39637b9d-6ea9-43fe-8db2-5e3a56092799"]}],"mendeley":{"formattedCitation":"&lt;sup&gt;2,3&lt;/sup&gt;","plainTextFormattedCitation":"2,3","previouslyFormattedCitation":"&lt;sup&gt;2,3&lt;/sup&gt;"},"properties":{"noteIndex":0},"schema":"https://github.com/citation-style-language/schema/raw/master/csl-citation.json"}</w:instrText>
      </w:r>
      <w:r w:rsidR="00D51571">
        <w:fldChar w:fldCharType="separate"/>
      </w:r>
      <w:r w:rsidR="00D51571" w:rsidRPr="00294A2C">
        <w:rPr>
          <w:noProof/>
          <w:vertAlign w:val="superscript"/>
        </w:rPr>
        <w:t>2,3</w:t>
      </w:r>
      <w:r w:rsidR="00D51571">
        <w:fldChar w:fldCharType="end"/>
      </w:r>
      <w:r w:rsidR="00D51571">
        <w:t xml:space="preserve"> (with DPG)</w:t>
      </w:r>
      <w:r>
        <w:t xml:space="preserve"> in marine sediments</w:t>
      </w:r>
      <w:r w:rsidR="00D51571">
        <w:t xml:space="preserve">, </w:t>
      </w:r>
      <w:r w:rsidR="00E60B48">
        <w:t>al</w:t>
      </w:r>
      <w:r>
        <w:t xml:space="preserve">though other gram-negative bacteria </w:t>
      </w:r>
      <w:r w:rsidR="00D51571">
        <w:t>are also</w:t>
      </w:r>
      <w:r>
        <w:t xml:space="preserve"> potential sources. The fatty acid distribution in PG, PE</w:t>
      </w:r>
      <w:r w:rsidR="00B75A6E">
        <w:t>,</w:t>
      </w:r>
      <w:r>
        <w:t xml:space="preserve"> and DPG support a bacterial source as C</w:t>
      </w:r>
      <w:r w:rsidRPr="007D7271">
        <w:rPr>
          <w:vertAlign w:val="subscript"/>
        </w:rPr>
        <w:t xml:space="preserve">16:1 </w:t>
      </w:r>
      <w:r>
        <w:t>fatty acids dominate these lipid classes as well as odd</w:t>
      </w:r>
      <w:r w:rsidR="00B75A6E">
        <w:t>-numbered</w:t>
      </w:r>
      <w:r>
        <w:t xml:space="preserve"> carbon fatty acids such as C</w:t>
      </w:r>
      <w:r w:rsidRPr="007D7271">
        <w:rPr>
          <w:vertAlign w:val="subscript"/>
        </w:rPr>
        <w:t xml:space="preserve">17:1 </w:t>
      </w:r>
      <w:r>
        <w:t>and C</w:t>
      </w:r>
      <w:r w:rsidR="00695A22" w:rsidRPr="00695A22">
        <w:rPr>
          <w:vertAlign w:val="subscript"/>
        </w:rPr>
        <w:t>br-</w:t>
      </w:r>
      <w:r w:rsidRPr="007D7271">
        <w:rPr>
          <w:vertAlign w:val="subscript"/>
        </w:rPr>
        <w:t>15:</w:t>
      </w:r>
      <w:r w:rsidR="00695A22">
        <w:rPr>
          <w:vertAlign w:val="subscript"/>
        </w:rPr>
        <w:t>0</w:t>
      </w:r>
      <w:r w:rsidR="008F4C86">
        <w:rPr>
          <w:vertAlign w:val="subscript"/>
        </w:rPr>
        <w:t xml:space="preserve"> </w:t>
      </w:r>
      <w:r>
        <w:t>(</w:t>
      </w:r>
      <w:r w:rsidR="008F4C86">
        <w:fldChar w:fldCharType="begin"/>
      </w:r>
      <w:r w:rsidR="008F4C86">
        <w:instrText xml:space="preserve"> REF _Ref111197996 \h </w:instrText>
      </w:r>
      <w:r w:rsidR="008F4C86">
        <w:fldChar w:fldCharType="separate"/>
      </w:r>
      <w:r w:rsidR="00DD1C1E">
        <w:t xml:space="preserve">Figure S </w:t>
      </w:r>
      <w:r w:rsidR="00DD1C1E">
        <w:rPr>
          <w:noProof/>
        </w:rPr>
        <w:t>2</w:t>
      </w:r>
      <w:r w:rsidR="008F4C86">
        <w:fldChar w:fldCharType="end"/>
      </w:r>
      <w:r>
        <w:t>, note</w:t>
      </w:r>
      <w:r w:rsidR="00B75A6E">
        <w:t>:</w:t>
      </w:r>
      <w:r>
        <w:t xml:space="preserve"> the double bond </w:t>
      </w:r>
      <w:r w:rsidR="00E60B48">
        <w:t xml:space="preserve">and methyl-branch </w:t>
      </w:r>
      <w:r>
        <w:t>was not determined by HPLC-MS, but was identified by PLFA analyses via GC-MS). The assignment of PC to a bacterial source is not as straightforward as only 10% of all bacteria are estimated to possess the genes involved in its biosynthesis</w:t>
      </w:r>
      <w:r>
        <w:fldChar w:fldCharType="begin" w:fldLock="1"/>
      </w:r>
      <w:r>
        <w:instrText>ADDIN CSL_CITATION {"citationItems":[{"id":"ITEM-1","itemData":{"DOI":"10.1016/S0163-7827(02)00050-4","ISSN":"0163-7827","PMID":"12547654","abstract":"Phosphatidylcholine (PC) is the major membrane-forming phospholipid in eukaryotes and can be synthesized by either of two pathways, the methylation pathway or the CDP-choline pathway. Many prokaryotes lack PC, but it can be found in significant amounts in membranes of rather diverse bacteria and based on genomic data, we estimate that more than 10% of all bacteria possess PC. Enzymatic methylation of phosphatidylethanolamine via the methylation pathway was thought to be the only biosynthetic pathway to yield PC in bacteria. However, a choline-dependent pathway for PC biosynthesis has been discovered in Sinorhizobium meliloti. In this pathway, PC synthase, condenses choline directly with CDP-diacylglyceride to form PC in one step. A number of symbiotic (Rhizobium leguminosarum, Mesorhizobium loti) and pathogenic (Agrobacterium tumefaciens, Brucella melitensis, Pseudomonas aeruginosa, Borrelia burgdorferi and Legionella pneumophila) bacteria seem to possess the PC synthase pathway and we suggest that the respective eukaryotic host functions as the provider of choline for this pathway. Pathogens entering their hosts through epithelia (Streptococcus pneumoniae, Haemophilus influenzae) require phosphocholine substitutions on their cell surface components that are biosynthetically also derived from choline supplied by the host. However, the incorporation of choline in these latter cases proceeds via choline phosphate and CDP-choline as intermediates. The occurrence of two intermediates in prokaryotes usually found as intermediates in the eukaryotic CDP-choline pathway for PC biosynthesis raises the question whether some bacteria might form PC via a CDP-choline pathway. © 2002 Elsevier Science Ltd. All rights reserved.","author":[{"dropping-particle":"","family":"Sohlenkamp","given":"Christian","non-dropping-particle":"","parse-names":false,"suffix":""},{"dropping-particle":"","family":"López-Lara","given":"Isabel M.","non-dropping-particle":"","parse-names":false,"suffix":""},{"dropping-particle":"","family":"Geiger","given":"Otto","non-dropping-particle":"","parse-names":false,"suffix":""}],"container-title":"Progress in Lipid Research","id":"ITEM-1","issue":"2","issued":{"date-parts":[["2003","3","1"]]},"page":"115-162","publisher":"Pergamon","title":"Biosynthesis of phosphatidylcholine in bacteria","type":"article-journal","volume":"42"},"uris":["http://www.mendeley.com/documents/?uuid=bc68a724-4ce0-389e-a23c-d78ff4b94092"]}],"mendeley":{"formattedCitation":"&lt;sup&gt;4&lt;/sup&gt;","plainTextFormattedCitation":"4","previouslyFormattedCitation":"&lt;sup&gt;4&lt;/sup&gt;"},"properties":{"noteIndex":0},"schema":"https://github.com/citation-style-language/schema/raw/master/csl-citation.json"}</w:instrText>
      </w:r>
      <w:r>
        <w:fldChar w:fldCharType="separate"/>
      </w:r>
      <w:r w:rsidRPr="00FE61A7">
        <w:rPr>
          <w:noProof/>
          <w:vertAlign w:val="superscript"/>
        </w:rPr>
        <w:t>4</w:t>
      </w:r>
      <w:r>
        <w:fldChar w:fldCharType="end"/>
      </w:r>
      <w:r>
        <w:t xml:space="preserve"> and  PC </w:t>
      </w:r>
      <w:r w:rsidR="00B75A6E">
        <w:t>-</w:t>
      </w:r>
      <w:r>
        <w:t xml:space="preserve"> with BL</w:t>
      </w:r>
      <w:r w:rsidR="00B75A6E">
        <w:t>- is more</w:t>
      </w:r>
      <w:r>
        <w:t xml:space="preserve"> common</w:t>
      </w:r>
      <w:r w:rsidR="00B75A6E">
        <w:t>ly assigned</w:t>
      </w:r>
      <w:r>
        <w:t xml:space="preserve"> </w:t>
      </w:r>
      <w:r w:rsidR="00B75A6E">
        <w:t>to</w:t>
      </w:r>
      <w:r>
        <w:t xml:space="preserve"> phytoplankton</w:t>
      </w:r>
      <w:r>
        <w:fldChar w:fldCharType="begin" w:fldLock="1"/>
      </w:r>
      <w:r w:rsidR="00451EE6">
        <w:instrText>ADDIN CSL_CITATION {"citationItems":[{"id":"ITEM-1","itemData":{"DOI":"10.1016/0163-7827(95)00009-7","ISSN":"0163-7827","PMID":"9039425","author":[{"dropping-particle":"","family":"Dembitsky","given":"Valery M.","non-dropping-particle":"","parse-names":false,"suffix":""}],"container-title":"Progress in Lipid Research","id":"ITEM-1","issue":"1","issued":{"date-parts":[["1996","3","1"]]},"page":"1-51","publisher":"Pergamon","title":"Betaine ether-linked glycerolipids: Chemistry and biology","type":"article-journal","volume":"35"},"uris":["http://www.mendeley.com/documents/?uuid=fb5eb612-012f-3228-98d2-931ebe25fee2"]}],"mendeley":{"formattedCitation":"&lt;sup&gt;5&lt;/sup&gt;","plainTextFormattedCitation":"5","previouslyFormattedCitation":"&lt;sup&gt;5&lt;/sup&gt;"},"properties":{"noteIndex":0},"schema":"https://github.com/citation-style-language/schema/raw/master/csl-citation.json"}</w:instrText>
      </w:r>
      <w:r>
        <w:fldChar w:fldCharType="separate"/>
      </w:r>
      <w:r w:rsidRPr="00FE61A7">
        <w:rPr>
          <w:noProof/>
          <w:vertAlign w:val="superscript"/>
        </w:rPr>
        <w:t>5</w:t>
      </w:r>
      <w:r>
        <w:fldChar w:fldCharType="end"/>
      </w:r>
      <w:r>
        <w:t>. The higher abundance of PC in the marine-influenced core could point to detrital remains of phytoplankton, however, the fatty acid distribution indicates that a large part of PC is likely of bacterial origin</w:t>
      </w:r>
      <w:r w:rsidR="00E60B48">
        <w:t xml:space="preserve"> (Figure S 2)</w:t>
      </w:r>
      <w:r>
        <w:t xml:space="preserve">. Similarly, BL contain fatty acids that point to bacterial sources, but a small contribution from detrital sources that bypassed degradation in these anoxic sediments </w:t>
      </w:r>
      <w:r w:rsidR="00E60B48">
        <w:t>can</w:t>
      </w:r>
      <w:r w:rsidR="00B75A6E">
        <w:t xml:space="preserve">not </w:t>
      </w:r>
      <w:r>
        <w:t>be excluded.</w:t>
      </w:r>
    </w:p>
    <w:p w14:paraId="17F0C3EE" w14:textId="531FCBD7" w:rsidR="003934D1" w:rsidRDefault="002628C3" w:rsidP="007D6426">
      <w:pPr>
        <w:pStyle w:val="Heading1"/>
        <w:jc w:val="both"/>
      </w:pPr>
      <w:r>
        <w:t>Compound specific radiocarbon dating of</w:t>
      </w:r>
      <w:r w:rsidR="003934D1">
        <w:t xml:space="preserve"> </w:t>
      </w:r>
      <w:r w:rsidRPr="002628C3">
        <w:rPr>
          <w:i/>
        </w:rPr>
        <w:t>n</w:t>
      </w:r>
      <w:r>
        <w:t>-</w:t>
      </w:r>
      <w:r w:rsidR="003934D1">
        <w:t>alkanes</w:t>
      </w:r>
    </w:p>
    <w:p w14:paraId="1C163212" w14:textId="63E4F855" w:rsidR="00AF220B" w:rsidRDefault="008C3F34" w:rsidP="007D6426">
      <w:pPr>
        <w:jc w:val="both"/>
      </w:pPr>
      <w:r>
        <w:rPr>
          <w:i/>
        </w:rPr>
        <w:t>n</w:t>
      </w:r>
      <w:r w:rsidR="00072957">
        <w:t>-</w:t>
      </w:r>
      <w:r w:rsidR="007D7271">
        <w:t>A</w:t>
      </w:r>
      <w:r>
        <w:t xml:space="preserve">lkanes </w:t>
      </w:r>
      <w:r w:rsidR="00072957">
        <w:t xml:space="preserve">were separated from the </w:t>
      </w:r>
      <w:r w:rsidR="008C74A6">
        <w:t>neutral fraction of the intact polar lipid extract by a second silica column chromatography, eluting the alkane fraction with hexane</w:t>
      </w:r>
      <w:r w:rsidR="00E716F3">
        <w:t>.</w:t>
      </w:r>
      <w:r>
        <w:t xml:space="preserve"> From three depth intervals of sediment core HH14-897-GC-MF, </w:t>
      </w:r>
      <w:r w:rsidR="009D5C65">
        <w:t>purified samples of</w:t>
      </w:r>
      <w:r w:rsidR="00E716F3">
        <w:t xml:space="preserve"> </w:t>
      </w:r>
      <w:r w:rsidR="00A72A58" w:rsidRPr="00A72A58">
        <w:rPr>
          <w:i/>
        </w:rPr>
        <w:t>n</w:t>
      </w:r>
      <w:r w:rsidR="00A72A58">
        <w:t>-C</w:t>
      </w:r>
      <w:r w:rsidR="00A72A58" w:rsidRPr="00A72A58">
        <w:rPr>
          <w:vertAlign w:val="subscript"/>
        </w:rPr>
        <w:t>19</w:t>
      </w:r>
      <w:r w:rsidR="00A72A58">
        <w:t xml:space="preserve">, </w:t>
      </w:r>
      <w:r w:rsidR="00A72A58" w:rsidRPr="00A72A58">
        <w:rPr>
          <w:i/>
        </w:rPr>
        <w:t>n</w:t>
      </w:r>
      <w:r w:rsidR="00A72A58">
        <w:t>-C</w:t>
      </w:r>
      <w:r w:rsidR="00A72A58" w:rsidRPr="00A72A58">
        <w:rPr>
          <w:vertAlign w:val="subscript"/>
        </w:rPr>
        <w:t>20</w:t>
      </w:r>
      <w:r w:rsidR="00A72A58">
        <w:t xml:space="preserve">, </w:t>
      </w:r>
      <w:r w:rsidR="00A72A58" w:rsidRPr="00A72A58">
        <w:rPr>
          <w:i/>
        </w:rPr>
        <w:t>n</w:t>
      </w:r>
      <w:r w:rsidR="00A72A58">
        <w:t>-C</w:t>
      </w:r>
      <w:r w:rsidR="00A72A58" w:rsidRPr="00A72A58">
        <w:rPr>
          <w:vertAlign w:val="subscript"/>
        </w:rPr>
        <w:t>21</w:t>
      </w:r>
      <w:r w:rsidR="00A72A58">
        <w:t xml:space="preserve">, and </w:t>
      </w:r>
      <w:r w:rsidR="00A72A58" w:rsidRPr="00A72A58">
        <w:rPr>
          <w:i/>
        </w:rPr>
        <w:t>n</w:t>
      </w:r>
      <w:r w:rsidR="00A72A58">
        <w:t>-C</w:t>
      </w:r>
      <w:r w:rsidR="00A72A58" w:rsidRPr="00A72A58">
        <w:rPr>
          <w:vertAlign w:val="subscript"/>
        </w:rPr>
        <w:t>22</w:t>
      </w:r>
      <w:r>
        <w:t xml:space="preserve"> as well as combined</w:t>
      </w:r>
      <w:r w:rsidR="009D5C65">
        <w:t xml:space="preserve"> </w:t>
      </w:r>
      <w:r w:rsidR="00A72A58" w:rsidRPr="00A72A58">
        <w:rPr>
          <w:i/>
        </w:rPr>
        <w:t>n</w:t>
      </w:r>
      <w:r w:rsidR="00A72A58">
        <w:t>-C</w:t>
      </w:r>
      <w:r w:rsidR="00A72A58" w:rsidRPr="00A72A58">
        <w:rPr>
          <w:vertAlign w:val="subscript"/>
        </w:rPr>
        <w:t xml:space="preserve">26+28+30 </w:t>
      </w:r>
      <w:r w:rsidR="00A72A58">
        <w:t xml:space="preserve">and </w:t>
      </w:r>
      <w:r w:rsidR="00A72A58" w:rsidRPr="00A72A58">
        <w:rPr>
          <w:i/>
        </w:rPr>
        <w:t>n</w:t>
      </w:r>
      <w:r w:rsidR="00A72A58">
        <w:t>-C</w:t>
      </w:r>
      <w:r w:rsidR="00A72A58" w:rsidRPr="00A72A58">
        <w:rPr>
          <w:vertAlign w:val="subscript"/>
        </w:rPr>
        <w:t>27+29+31</w:t>
      </w:r>
      <w:r w:rsidR="00E716F3">
        <w:t xml:space="preserve"> were </w:t>
      </w:r>
      <w:r>
        <w:t xml:space="preserve">collected </w:t>
      </w:r>
      <w:r w:rsidR="00E716F3">
        <w:t xml:space="preserve">using the GC-PFC used </w:t>
      </w:r>
      <w:r w:rsidR="00A72A58">
        <w:t xml:space="preserve">similarly </w:t>
      </w:r>
      <w:r w:rsidR="009D5C65">
        <w:t xml:space="preserve">as </w:t>
      </w:r>
      <w:r w:rsidR="00E716F3">
        <w:t>for intact polar lipid fatty acid purification.</w:t>
      </w:r>
      <w:r w:rsidR="00A72A58">
        <w:t xml:space="preserve"> The purified splits were radiocarbon dated </w:t>
      </w:r>
      <w:r w:rsidR="00C376D3">
        <w:t xml:space="preserve">in the same manner as the intact polar lipid fatty acids </w:t>
      </w:r>
      <w:r w:rsidR="00A72A58">
        <w:t>using AMS</w:t>
      </w:r>
      <w:r w:rsidR="00C376D3">
        <w:t xml:space="preserve"> at the MICAD</w:t>
      </w:r>
      <w:r w:rsidR="003C6E72">
        <w:t>A</w:t>
      </w:r>
      <w:r w:rsidR="00C376D3">
        <w:t>S facility of the Alfred-Wegener-Institute in Bremerhaven, Germany.</w:t>
      </w:r>
    </w:p>
    <w:p w14:paraId="1868BC9D" w14:textId="0E6EFB5A" w:rsidR="00C376D3" w:rsidRDefault="00C376D3" w:rsidP="007D6426">
      <w:pPr>
        <w:jc w:val="both"/>
      </w:pPr>
      <w:r>
        <w:t xml:space="preserve">The radiocarbon values </w:t>
      </w:r>
      <w:r w:rsidR="009D5C65">
        <w:t xml:space="preserve">obtained for all </w:t>
      </w:r>
      <w:r w:rsidR="009D5C65" w:rsidRPr="007D7271">
        <w:rPr>
          <w:i/>
          <w:iCs/>
        </w:rPr>
        <w:t>n</w:t>
      </w:r>
      <w:r w:rsidR="009D5C65">
        <w:t>-</w:t>
      </w:r>
      <w:r w:rsidR="007D7271">
        <w:t>a</w:t>
      </w:r>
      <w:r w:rsidR="009D5C65">
        <w:t xml:space="preserve">lkane samples </w:t>
      </w:r>
      <w:r w:rsidR="00451EE6">
        <w:t xml:space="preserve">indicate </w:t>
      </w:r>
      <w:r w:rsidR="009D5C65">
        <w:t xml:space="preserve">that </w:t>
      </w:r>
      <w:r w:rsidR="00451EE6">
        <w:t xml:space="preserve">a large part of the organic matter </w:t>
      </w:r>
      <w:r w:rsidR="009D5C65">
        <w:t>is</w:t>
      </w:r>
      <w:r w:rsidR="00451EE6">
        <w:t xml:space="preserve"> derived from a radiocarbon free source</w:t>
      </w:r>
      <w:r w:rsidR="00BE3AA6">
        <w:t xml:space="preserve"> (Tab</w:t>
      </w:r>
      <w:r w:rsidR="008C3F34">
        <w:t>l</w:t>
      </w:r>
      <w:r w:rsidR="00BE3AA6">
        <w:t>e S</w:t>
      </w:r>
      <w:r w:rsidR="006079CE">
        <w:t xml:space="preserve"> </w:t>
      </w:r>
      <w:r w:rsidR="00BE3AA6">
        <w:t>1)</w:t>
      </w:r>
      <w:r w:rsidR="00D51571">
        <w:t>.</w:t>
      </w:r>
      <w:r w:rsidR="00451EE6">
        <w:t xml:space="preserve"> </w:t>
      </w:r>
      <w:r w:rsidR="00D51571">
        <w:t>The</w:t>
      </w:r>
      <w:r w:rsidR="00451EE6">
        <w:t xml:space="preserve"> F</w:t>
      </w:r>
      <w:r w:rsidR="00451EE6" w:rsidRPr="00451EE6">
        <w:rPr>
          <w:vertAlign w:val="superscript"/>
        </w:rPr>
        <w:t>14</w:t>
      </w:r>
      <w:r w:rsidR="00451EE6">
        <w:t xml:space="preserve">C </w:t>
      </w:r>
      <w:r w:rsidR="00D51571">
        <w:t xml:space="preserve">values </w:t>
      </w:r>
      <w:r w:rsidR="009D5C65">
        <w:t>are close to</w:t>
      </w:r>
      <w:r w:rsidR="00451EE6">
        <w:t xml:space="preserve"> the detection</w:t>
      </w:r>
      <w:r w:rsidR="00451EE6" w:rsidRPr="00451EE6">
        <w:t>-</w:t>
      </w:r>
      <w:r w:rsidR="00451EE6">
        <w:t>limit for gas measurements</w:t>
      </w:r>
      <w:r w:rsidR="009D5C65">
        <w:t xml:space="preserve"> and can be considered to be F</w:t>
      </w:r>
      <w:r w:rsidR="009D5C65" w:rsidRPr="007D7271">
        <w:rPr>
          <w:vertAlign w:val="superscript"/>
        </w:rPr>
        <w:t>14</w:t>
      </w:r>
      <w:r w:rsidR="009D5C65">
        <w:t>C=0 within 2</w:t>
      </w:r>
      <w:r w:rsidR="009D5C65" w:rsidRPr="007D7271">
        <w:rPr>
          <w:rFonts w:ascii="Symbol" w:hAnsi="Symbol"/>
        </w:rPr>
        <w:t></w:t>
      </w:r>
      <w:r w:rsidR="009D5C65">
        <w:t xml:space="preserve"> uncertainties in almost all cases except for the samples of combined </w:t>
      </w:r>
      <w:r w:rsidR="009D5C65" w:rsidRPr="00A72A58">
        <w:rPr>
          <w:i/>
        </w:rPr>
        <w:t>n</w:t>
      </w:r>
      <w:r w:rsidR="009D5C65">
        <w:t>-C</w:t>
      </w:r>
      <w:r w:rsidR="009D5C65" w:rsidRPr="00A72A58">
        <w:rPr>
          <w:vertAlign w:val="subscript"/>
        </w:rPr>
        <w:t>27+29+31</w:t>
      </w:r>
      <w:r w:rsidR="009D5C65">
        <w:t>, whose F</w:t>
      </w:r>
      <w:r w:rsidR="009D5C65" w:rsidRPr="007D7271">
        <w:rPr>
          <w:vertAlign w:val="superscript"/>
        </w:rPr>
        <w:t>14</w:t>
      </w:r>
      <w:r w:rsidR="009D5C65">
        <w:t xml:space="preserve">C values suggest minor contributions from younger </w:t>
      </w:r>
      <w:r w:rsidR="00AA2388">
        <w:t>materials</w:t>
      </w:r>
      <w:r w:rsidR="009D5C65">
        <w:t xml:space="preserve"> (less than </w:t>
      </w:r>
      <w:r w:rsidR="00AA2388">
        <w:t>3 % assuming a modern source)</w:t>
      </w:r>
      <w:r w:rsidR="00451EE6">
        <w:fldChar w:fldCharType="begin" w:fldLock="1"/>
      </w:r>
      <w:r w:rsidR="00D859A4">
        <w:instrText>ADDIN CSL_CITATION {"citationItems":[{"id":"ITEM-1","itemData":{"DOI":"10.1016/J.NIMB.2021.03.016","ISSN":"0168-583X","abstract":"The radiocarbon analysis laboratory at Alfred Wegener Institute Helmholtz Centre for Polar and Marine Research (AWI) is equipped with an accelerator mass spectrometer (AMS) MICADAS (MIni CArbon Dating System). The laboratory provides routine 14C analyses on bulk organic matter, plant fragments, dissolved and particulate organic matter, individual molecular lipids, and carbonate (micro-) fossils with the aim to foster international research efforts in vulnerable high latitudes. The AWI MICADAS allows AMS 14C analysis on graphite targets as well as on CO2 samples via gas injection into the hybrid ion source. The laboratory thus provides reliable datasets even if only small amounts of sample material are available, a problem often encountered in polar research. Here we describe the standard operation procedures and sample preparation methods employed, and demonstrate the instrument performance and data quality based on repeat analysis of international reference materials.","author":[{"dropping-particle":"","family":"Mollenhauer","given":"Gesine","non-dropping-particle":"","parse-names":false,"suffix":""},{"dropping-particle":"","family":"Grotheer","given":"Hendrik","non-dropping-particle":"","parse-names":false,"suffix":""},{"dropping-particle":"","family":"Gentz","given":"Torben","non-dropping-particle":"","parse-names":false,"suffix":""},{"dropping-particle":"","family":"Bonk","given":"Elizabeth","non-dropping-particle":"","parse-names":false,"suffix":""},{"dropping-particle":"","family":"Hefter","given":"Jens","non-dropping-particle":"","parse-names":false,"suffix":""}],"container-title":"Nuclear Instruments and Methods in Physics Research Section B: Beam Interactions with Materials and Atoms","id":"ITEM-1","issued":{"date-parts":[["2021","6","1"]]},"page":"45-51","publisher":"Elsevier","title":"Standard operation procedures and performance of the MICADAS radiocarbon laboratory at Alfred Wegener Institute (AWI), Germany","type":"article-journal","volume":"496"},"uris":["http://www.mendeley.com/documents/?uuid=5b67eb39-d08b-4192-9122-fa6fc5882e7d"]}],"mendeley":{"formattedCitation":"&lt;sup&gt;6&lt;/sup&gt;","plainTextFormattedCitation":"6","previouslyFormattedCitation":"&lt;sup&gt;6&lt;/sup&gt;"},"properties":{"noteIndex":0},"schema":"https://github.com/citation-style-language/schema/raw/master/csl-citation.json"}</w:instrText>
      </w:r>
      <w:r w:rsidR="00451EE6">
        <w:fldChar w:fldCharType="separate"/>
      </w:r>
      <w:r w:rsidR="00451EE6" w:rsidRPr="00451EE6">
        <w:rPr>
          <w:noProof/>
          <w:vertAlign w:val="superscript"/>
        </w:rPr>
        <w:t>6</w:t>
      </w:r>
      <w:r w:rsidR="00451EE6">
        <w:fldChar w:fldCharType="end"/>
      </w:r>
      <w:r w:rsidR="00451EE6">
        <w:t>.</w:t>
      </w:r>
      <w:r w:rsidR="00862200">
        <w:t xml:space="preserve"> </w:t>
      </w:r>
      <w:r w:rsidR="00DB1E1C">
        <w:t>In combination with low CPI values (</w:t>
      </w:r>
      <w:r w:rsidR="00DB1E1C">
        <w:fldChar w:fldCharType="begin"/>
      </w:r>
      <w:r w:rsidR="00DB1E1C">
        <w:instrText xml:space="preserve"> REF _Ref109034018 \h </w:instrText>
      </w:r>
      <w:r w:rsidR="007D6426">
        <w:instrText xml:space="preserve"> \* MERGEFORMAT </w:instrText>
      </w:r>
      <w:r w:rsidR="00DB1E1C">
        <w:fldChar w:fldCharType="separate"/>
      </w:r>
      <w:r w:rsidR="00DD1C1E">
        <w:t xml:space="preserve">Figure S </w:t>
      </w:r>
      <w:r w:rsidR="00DD1C1E">
        <w:rPr>
          <w:noProof/>
        </w:rPr>
        <w:t>3</w:t>
      </w:r>
      <w:r w:rsidR="00DB1E1C">
        <w:fldChar w:fldCharType="end"/>
      </w:r>
      <w:r w:rsidR="00DB1E1C">
        <w:t xml:space="preserve">), the age of the </w:t>
      </w:r>
      <w:r w:rsidR="00DB1E1C">
        <w:rPr>
          <w:i/>
        </w:rPr>
        <w:t>n</w:t>
      </w:r>
      <w:r w:rsidR="00DB1E1C">
        <w:t>-alkanes supports the assumption that freshly synthesized OM from terrestrial vegetation contributes a negligible amount to sedimentary OM</w:t>
      </w:r>
      <w:r w:rsidR="00182EF4">
        <w:t xml:space="preserve">. </w:t>
      </w:r>
      <w:r w:rsidR="00D51571">
        <w:t>These results</w:t>
      </w:r>
      <w:r w:rsidR="00182EF4">
        <w:t xml:space="preserve"> further support</w:t>
      </w:r>
      <w:r w:rsidR="00D51571">
        <w:t xml:space="preserve"> the application of</w:t>
      </w:r>
      <w:r w:rsidR="00182EF4">
        <w:t xml:space="preserve"> a </w:t>
      </w:r>
      <w:r w:rsidR="00BE3AA6">
        <w:t>two-endmember</w:t>
      </w:r>
      <w:r w:rsidR="00182EF4">
        <w:t xml:space="preserve"> model for radiocarbon based isotopic mass balances calculations.</w:t>
      </w:r>
    </w:p>
    <w:p w14:paraId="5E8F52B4" w14:textId="0FD8612E" w:rsidR="002628C3" w:rsidRDefault="002628C3" w:rsidP="007D6426">
      <w:pPr>
        <w:pStyle w:val="Heading1"/>
        <w:jc w:val="both"/>
      </w:pPr>
      <w:r>
        <w:lastRenderedPageBreak/>
        <w:t>Sediment core age models</w:t>
      </w:r>
    </w:p>
    <w:p w14:paraId="3700FAA7" w14:textId="2D50A691" w:rsidR="002628C3" w:rsidRPr="00A61A0C" w:rsidRDefault="002628C3" w:rsidP="00A90191">
      <w:r w:rsidRPr="006E01C7">
        <w:t>Core He519_2-3 (27 cm long) collected from</w:t>
      </w:r>
      <w:r>
        <w:t xml:space="preserve"> the</w:t>
      </w:r>
      <w:r w:rsidRPr="006E01C7">
        <w:t xml:space="preserve"> Hornsund fjord </w:t>
      </w:r>
      <w:r>
        <w:t xml:space="preserve">main basin </w:t>
      </w:r>
      <w:r w:rsidRPr="006E01C7">
        <w:t xml:space="preserve">revealed near-constant </w:t>
      </w:r>
      <w:r w:rsidRPr="006E01C7">
        <w:rPr>
          <w:vertAlign w:val="superscript"/>
        </w:rPr>
        <w:t>210</w:t>
      </w:r>
      <w:r w:rsidRPr="006E01C7">
        <w:t>Pb</w:t>
      </w:r>
      <w:r w:rsidRPr="006E01C7">
        <w:rPr>
          <w:vertAlign w:val="subscript"/>
        </w:rPr>
        <w:t xml:space="preserve">ex </w:t>
      </w:r>
      <w:r w:rsidRPr="006E01C7">
        <w:t>in the topmost part, considered a surface mixed layer, and stead</w:t>
      </w:r>
      <w:r>
        <w:t>ily</w:t>
      </w:r>
      <w:r w:rsidRPr="006E01C7">
        <w:t xml:space="preserve"> decreasing activities below. The modeled accumulation rate is approximately 4.1 mm/yr. The isotope </w:t>
      </w:r>
      <w:r w:rsidRPr="006E01C7">
        <w:rPr>
          <w:vertAlign w:val="superscript"/>
        </w:rPr>
        <w:t>137</w:t>
      </w:r>
      <w:r w:rsidRPr="006E01C7">
        <w:t xml:space="preserve">Cs was detected throughout the core and its maximum may be related to </w:t>
      </w:r>
      <w:r>
        <w:t xml:space="preserve">the </w:t>
      </w:r>
      <w:r w:rsidRPr="006E01C7">
        <w:t xml:space="preserve">1986 Chernobyl event. </w:t>
      </w:r>
      <w:r w:rsidR="003C6E72">
        <w:t xml:space="preserve">Due to </w:t>
      </w:r>
      <w:r w:rsidRPr="006E01C7">
        <w:t>deep sediment mixing</w:t>
      </w:r>
      <w:r>
        <w:t>,</w:t>
      </w:r>
      <w:r w:rsidRPr="006E01C7">
        <w:t xml:space="preserve"> the age model </w:t>
      </w:r>
      <w:r w:rsidR="003C6E72">
        <w:t>can only be</w:t>
      </w:r>
      <w:r w:rsidRPr="006E01C7">
        <w:t xml:space="preserve"> treated as </w:t>
      </w:r>
      <w:r>
        <w:t xml:space="preserve">an approximation, but all models confirm that the sediments are considerably younger than the </w:t>
      </w:r>
      <w:r w:rsidRPr="000C1727">
        <w:rPr>
          <w:vertAlign w:val="superscript"/>
        </w:rPr>
        <w:t>210</w:t>
      </w:r>
      <w:r>
        <w:t xml:space="preserve">Pb extinction age and were deposited -or last mixed- within the era of artificial radionuclides </w:t>
      </w:r>
      <w:r w:rsidRPr="005A02AC">
        <w:t>(</w:t>
      </w:r>
      <w:r w:rsidR="008F4C86">
        <w:fldChar w:fldCharType="begin"/>
      </w:r>
      <w:r w:rsidR="008F4C86">
        <w:instrText xml:space="preserve"> REF _Ref111198029 \h </w:instrText>
      </w:r>
      <w:r w:rsidR="008F4C86">
        <w:fldChar w:fldCharType="separate"/>
      </w:r>
      <w:r w:rsidR="00DD1C1E">
        <w:t xml:space="preserve">Figure S </w:t>
      </w:r>
      <w:r w:rsidR="00DD1C1E">
        <w:rPr>
          <w:noProof/>
        </w:rPr>
        <w:t>4</w:t>
      </w:r>
      <w:r w:rsidR="008F4C86">
        <w:fldChar w:fldCharType="end"/>
      </w:r>
      <w:bookmarkStart w:id="0" w:name="_GoBack"/>
      <w:bookmarkEnd w:id="0"/>
      <w:r>
        <w:t>)</w:t>
      </w:r>
      <w:r w:rsidR="00695A22">
        <w:t>.</w:t>
      </w:r>
    </w:p>
    <w:p w14:paraId="3B9CB7C1" w14:textId="1E611C8E" w:rsidR="002628C3" w:rsidRDefault="002628C3" w:rsidP="007D6426">
      <w:pPr>
        <w:jc w:val="both"/>
      </w:pPr>
      <w:r w:rsidRPr="006E01C7">
        <w:t xml:space="preserve">The longest core (154 cm) HH14-897-GC-MF was collected from an area </w:t>
      </w:r>
      <w:r>
        <w:t xml:space="preserve">in </w:t>
      </w:r>
      <w:proofErr w:type="spellStart"/>
      <w:r>
        <w:t>Brepollen</w:t>
      </w:r>
      <w:proofErr w:type="spellEnd"/>
      <w:r>
        <w:t xml:space="preserve"> that was </w:t>
      </w:r>
      <w:r w:rsidRPr="006E01C7">
        <w:t xml:space="preserve">deglaciated between 1936 and 1960. The </w:t>
      </w:r>
      <w:r w:rsidRPr="006E01C7">
        <w:rPr>
          <w:vertAlign w:val="superscript"/>
        </w:rPr>
        <w:t>210</w:t>
      </w:r>
      <w:r w:rsidRPr="006E01C7">
        <w:t>Pb</w:t>
      </w:r>
      <w:r w:rsidRPr="006E01C7">
        <w:rPr>
          <w:vertAlign w:val="subscript"/>
        </w:rPr>
        <w:t xml:space="preserve">ex </w:t>
      </w:r>
      <w:r w:rsidRPr="006E01C7">
        <w:t>decreased with depth and revealed a rapid accumulation rate</w:t>
      </w:r>
      <w:r>
        <w:t xml:space="preserve"> of</w:t>
      </w:r>
      <w:r w:rsidRPr="006E01C7">
        <w:t xml:space="preserve"> app</w:t>
      </w:r>
      <w:r>
        <w:t>roximately</w:t>
      </w:r>
      <w:r w:rsidRPr="006E01C7">
        <w:t xml:space="preserve"> 147 mm/</w:t>
      </w:r>
      <w:proofErr w:type="spellStart"/>
      <w:r w:rsidRPr="006E01C7">
        <w:t>yr</w:t>
      </w:r>
      <w:proofErr w:type="spellEnd"/>
      <w:r w:rsidRPr="006E01C7">
        <w:t xml:space="preserve"> until around 1968, when the coring site was </w:t>
      </w:r>
      <w:r>
        <w:t xml:space="preserve">still </w:t>
      </w:r>
      <w:r w:rsidRPr="006E01C7">
        <w:t xml:space="preserve">close to the tidewater </w:t>
      </w:r>
      <w:r>
        <w:t>glacier termini</w:t>
      </w:r>
      <w:r w:rsidRPr="006E01C7">
        <w:t xml:space="preserve">, </w:t>
      </w:r>
      <w:r>
        <w:t>decreasing to</w:t>
      </w:r>
      <w:r w:rsidRPr="006E01C7">
        <w:t xml:space="preserve"> app</w:t>
      </w:r>
      <w:r>
        <w:t>roximately</w:t>
      </w:r>
      <w:r w:rsidRPr="006E01C7">
        <w:t xml:space="preserve"> 8.1 mm/</w:t>
      </w:r>
      <w:proofErr w:type="spellStart"/>
      <w:r w:rsidRPr="006E01C7">
        <w:t>yr</w:t>
      </w:r>
      <w:proofErr w:type="spellEnd"/>
      <w:r w:rsidRPr="006E01C7">
        <w:t xml:space="preserve"> during the younger period</w:t>
      </w:r>
      <w:r>
        <w:t xml:space="preserve"> </w:t>
      </w:r>
      <w:r w:rsidRPr="005A02AC">
        <w:t>(</w:t>
      </w:r>
      <w:r w:rsidR="008F4C86">
        <w:fldChar w:fldCharType="begin"/>
      </w:r>
      <w:r w:rsidR="008F4C86">
        <w:instrText xml:space="preserve"> REF _Ref111198046 \h </w:instrText>
      </w:r>
      <w:r w:rsidR="008F4C86">
        <w:fldChar w:fldCharType="separate"/>
      </w:r>
      <w:r w:rsidR="00DD1C1E">
        <w:t xml:space="preserve">Figure S </w:t>
      </w:r>
      <w:r w:rsidR="00DD1C1E">
        <w:rPr>
          <w:noProof/>
        </w:rPr>
        <w:t>5</w:t>
      </w:r>
      <w:r w:rsidR="008F4C86">
        <w:fldChar w:fldCharType="end"/>
      </w:r>
      <w:r>
        <w:t>)</w:t>
      </w:r>
      <w:r w:rsidRPr="006E01C7">
        <w:t xml:space="preserve">. The modeled sediment accumulation rates agreed with 1963 (nuclear weapon tests) and 1986 (Chernobyl) peaks in </w:t>
      </w:r>
      <w:r w:rsidRPr="006E01C7">
        <w:rPr>
          <w:vertAlign w:val="superscript"/>
        </w:rPr>
        <w:t>137</w:t>
      </w:r>
      <w:r w:rsidRPr="006E01C7">
        <w:t>Cs</w:t>
      </w:r>
      <w:r>
        <w:t xml:space="preserve"> and</w:t>
      </w:r>
      <w:r w:rsidRPr="006E01C7">
        <w:t xml:space="preserve"> the thickness of preserved sediment lamination. </w:t>
      </w:r>
    </w:p>
    <w:p w14:paraId="18CD8E08" w14:textId="53B93D73" w:rsidR="008F4C86" w:rsidRDefault="002628C3" w:rsidP="007D6426">
      <w:pPr>
        <w:jc w:val="both"/>
      </w:pPr>
      <w:r w:rsidRPr="006E01C7">
        <w:t xml:space="preserve">The inner fjord sediment core He560-26-2-K1 (22 cm long), collected from an area </w:t>
      </w:r>
      <w:r>
        <w:t xml:space="preserve">in </w:t>
      </w:r>
      <w:proofErr w:type="spellStart"/>
      <w:r>
        <w:t>Brepollen</w:t>
      </w:r>
      <w:proofErr w:type="spellEnd"/>
      <w:r>
        <w:t xml:space="preserve">, that was </w:t>
      </w:r>
      <w:r w:rsidRPr="006E01C7">
        <w:t xml:space="preserve">deglaciated </w:t>
      </w:r>
      <w:r>
        <w:t>during</w:t>
      </w:r>
      <w:r w:rsidRPr="006E01C7">
        <w:t xml:space="preserve"> the last 50 years (</w:t>
      </w:r>
      <w:r>
        <w:t>Figure</w:t>
      </w:r>
      <w:r w:rsidRPr="006E01C7">
        <w:t xml:space="preserve"> 1), showed </w:t>
      </w:r>
      <w:r w:rsidRPr="006E01C7">
        <w:rPr>
          <w:vertAlign w:val="superscript"/>
        </w:rPr>
        <w:t>210</w:t>
      </w:r>
      <w:r w:rsidRPr="006E01C7">
        <w:t>Pb</w:t>
      </w:r>
      <w:r w:rsidRPr="006E01C7">
        <w:rPr>
          <w:vertAlign w:val="subscript"/>
        </w:rPr>
        <w:t>ex</w:t>
      </w:r>
      <w:r w:rsidRPr="006E01C7">
        <w:t xml:space="preserve"> throughout, indicating recent rapid deposition. There was no clear depth trend in </w:t>
      </w:r>
      <w:r w:rsidRPr="006E01C7">
        <w:rPr>
          <w:vertAlign w:val="superscript"/>
        </w:rPr>
        <w:t>210</w:t>
      </w:r>
      <w:r w:rsidRPr="006E01C7">
        <w:t>Pb</w:t>
      </w:r>
      <w:r w:rsidRPr="006E01C7">
        <w:rPr>
          <w:vertAlign w:val="subscript"/>
        </w:rPr>
        <w:t>ex</w:t>
      </w:r>
      <w:r w:rsidRPr="006E01C7">
        <w:t xml:space="preserve">, and </w:t>
      </w:r>
      <w:r w:rsidRPr="006E01C7">
        <w:rPr>
          <w:vertAlign w:val="superscript"/>
        </w:rPr>
        <w:t>137</w:t>
      </w:r>
      <w:r w:rsidRPr="006E01C7">
        <w:t xml:space="preserve">Cs </w:t>
      </w:r>
      <w:r>
        <w:t>was</w:t>
      </w:r>
      <w:r w:rsidRPr="006E01C7">
        <w:t xml:space="preserve"> present throughout. The calculated sediment accumulation rate was in the order of 25.5 mm/yr. </w:t>
      </w:r>
      <w:r w:rsidRPr="006E01C7">
        <w:rPr>
          <w:vertAlign w:val="superscript"/>
        </w:rPr>
        <w:t>210</w:t>
      </w:r>
      <w:r w:rsidRPr="006E01C7">
        <w:t>Pb</w:t>
      </w:r>
      <w:r w:rsidRPr="006E01C7">
        <w:rPr>
          <w:vertAlign w:val="subscript"/>
        </w:rPr>
        <w:t>sup</w:t>
      </w:r>
      <w:r w:rsidRPr="006E01C7">
        <w:t xml:space="preserve"> (</w:t>
      </w:r>
      <w:r w:rsidRPr="006E01C7">
        <w:rPr>
          <w:vertAlign w:val="superscript"/>
        </w:rPr>
        <w:t>226</w:t>
      </w:r>
      <w:r w:rsidRPr="006E01C7">
        <w:t xml:space="preserve">Ra) measured via its daughter </w:t>
      </w:r>
      <w:r w:rsidRPr="006E01C7">
        <w:rPr>
          <w:vertAlign w:val="superscript"/>
        </w:rPr>
        <w:t>214</w:t>
      </w:r>
      <w:r w:rsidRPr="006E01C7">
        <w:t xml:space="preserve">Pb yielded </w:t>
      </w:r>
      <w:r>
        <w:t>an apparent</w:t>
      </w:r>
      <w:r w:rsidRPr="006E01C7">
        <w:t xml:space="preserve"> cyclicity, which could be related to annual layering and respective accumulation rate in the order of 30 mm/yr. Thus, the core </w:t>
      </w:r>
      <w:r>
        <w:t>is considered to comprise</w:t>
      </w:r>
      <w:r w:rsidRPr="006E01C7">
        <w:t xml:space="preserve"> deposits accumulated within the last decade</w:t>
      </w:r>
      <w:r>
        <w:t xml:space="preserve"> </w:t>
      </w:r>
      <w:r w:rsidRPr="005A02AC">
        <w:t>(</w:t>
      </w:r>
      <w:r w:rsidR="008F4C86">
        <w:fldChar w:fldCharType="begin"/>
      </w:r>
      <w:r w:rsidR="008F4C86">
        <w:instrText xml:space="preserve"> REF _Ref111198063 \h </w:instrText>
      </w:r>
      <w:r w:rsidR="008F4C86">
        <w:fldChar w:fldCharType="separate"/>
      </w:r>
      <w:r w:rsidR="00DD1C1E">
        <w:t xml:space="preserve">Figure S </w:t>
      </w:r>
      <w:r w:rsidR="00DD1C1E">
        <w:rPr>
          <w:noProof/>
        </w:rPr>
        <w:t>6</w:t>
      </w:r>
      <w:r w:rsidR="008F4C86">
        <w:fldChar w:fldCharType="end"/>
      </w:r>
      <w:r>
        <w:t>)</w:t>
      </w:r>
      <w:r w:rsidRPr="006E01C7">
        <w:t>.</w:t>
      </w:r>
    </w:p>
    <w:p w14:paraId="2ED64220" w14:textId="77777777" w:rsidR="008F4C86" w:rsidRDefault="008F4C86">
      <w:r>
        <w:br w:type="page"/>
      </w:r>
    </w:p>
    <w:p w14:paraId="0EC552B7" w14:textId="1F4E1770" w:rsidR="002628C3" w:rsidRDefault="002628C3" w:rsidP="007D6426">
      <w:pPr>
        <w:pStyle w:val="Heading1"/>
        <w:jc w:val="both"/>
      </w:pPr>
      <w:r>
        <w:lastRenderedPageBreak/>
        <w:t>Supplementary Table</w:t>
      </w:r>
    </w:p>
    <w:p w14:paraId="18750511" w14:textId="678DF9CF" w:rsidR="000D28ED" w:rsidRDefault="000D28ED" w:rsidP="007D6426">
      <w:pPr>
        <w:pStyle w:val="Caption"/>
        <w:keepNext/>
        <w:jc w:val="both"/>
      </w:pPr>
      <w:r>
        <w:t xml:space="preserve">Table S </w:t>
      </w:r>
      <w:fldSimple w:instr=" SEQ Table_S \* ARABIC ">
        <w:r w:rsidR="00DD1C1E">
          <w:rPr>
            <w:noProof/>
          </w:rPr>
          <w:t>1</w:t>
        </w:r>
      </w:fldSimple>
      <w:r>
        <w:t>: Radiocarbon signature and respective ages of n-alkanes.</w:t>
      </w:r>
    </w:p>
    <w:tbl>
      <w:tblPr>
        <w:tblW w:w="8500" w:type="dxa"/>
        <w:tblInd w:w="-5" w:type="dxa"/>
        <w:tblLook w:val="04A0" w:firstRow="1" w:lastRow="0" w:firstColumn="1" w:lastColumn="0" w:noHBand="0" w:noVBand="1"/>
      </w:tblPr>
      <w:tblGrid>
        <w:gridCol w:w="3100"/>
        <w:gridCol w:w="1740"/>
        <w:gridCol w:w="960"/>
        <w:gridCol w:w="863"/>
        <w:gridCol w:w="992"/>
        <w:gridCol w:w="845"/>
      </w:tblGrid>
      <w:tr w:rsidR="00C376D3" w:rsidRPr="00C376D3" w14:paraId="33F22CAF" w14:textId="77777777" w:rsidTr="000D28ED">
        <w:trPr>
          <w:trHeight w:val="435"/>
        </w:trPr>
        <w:tc>
          <w:tcPr>
            <w:tcW w:w="3100" w:type="dxa"/>
            <w:tcBorders>
              <w:top w:val="single" w:sz="4" w:space="0" w:color="auto"/>
              <w:left w:val="single" w:sz="4" w:space="0" w:color="auto"/>
              <w:bottom w:val="single" w:sz="8" w:space="0" w:color="auto"/>
              <w:right w:val="single" w:sz="4" w:space="0" w:color="auto"/>
            </w:tcBorders>
            <w:shd w:val="clear" w:color="auto" w:fill="auto"/>
            <w:vAlign w:val="bottom"/>
            <w:hideMark/>
          </w:tcPr>
          <w:p w14:paraId="5EA009B7" w14:textId="77777777" w:rsidR="00C376D3" w:rsidRPr="00C376D3" w:rsidRDefault="00C376D3" w:rsidP="007D6426">
            <w:pPr>
              <w:spacing w:after="0" w:line="240" w:lineRule="auto"/>
              <w:jc w:val="both"/>
              <w:rPr>
                <w:rFonts w:ascii="Calibri" w:eastAsia="Times New Roman" w:hAnsi="Calibri" w:cs="Calibri"/>
                <w:b/>
                <w:bCs/>
                <w:sz w:val="20"/>
                <w:szCs w:val="20"/>
              </w:rPr>
            </w:pPr>
            <w:r w:rsidRPr="00C376D3">
              <w:rPr>
                <w:rFonts w:ascii="Calibri" w:eastAsia="Times New Roman" w:hAnsi="Calibri" w:cs="Calibri"/>
                <w:b/>
                <w:bCs/>
                <w:sz w:val="20"/>
                <w:szCs w:val="20"/>
              </w:rPr>
              <w:t>sample label</w:t>
            </w:r>
          </w:p>
        </w:tc>
        <w:tc>
          <w:tcPr>
            <w:tcW w:w="1740" w:type="dxa"/>
            <w:tcBorders>
              <w:top w:val="single" w:sz="4" w:space="0" w:color="auto"/>
              <w:left w:val="nil"/>
              <w:bottom w:val="single" w:sz="8" w:space="0" w:color="auto"/>
              <w:right w:val="single" w:sz="4" w:space="0" w:color="auto"/>
            </w:tcBorders>
            <w:shd w:val="clear" w:color="auto" w:fill="auto"/>
            <w:vAlign w:val="bottom"/>
            <w:hideMark/>
          </w:tcPr>
          <w:p w14:paraId="3CA1A924" w14:textId="77777777" w:rsidR="00C376D3" w:rsidRPr="00C376D3" w:rsidRDefault="00C376D3" w:rsidP="007D6426">
            <w:pPr>
              <w:spacing w:after="0" w:line="240" w:lineRule="auto"/>
              <w:jc w:val="both"/>
              <w:rPr>
                <w:rFonts w:ascii="Calibri" w:eastAsia="Times New Roman" w:hAnsi="Calibri" w:cs="Calibri"/>
                <w:b/>
                <w:bCs/>
                <w:sz w:val="20"/>
                <w:szCs w:val="20"/>
              </w:rPr>
            </w:pPr>
            <w:r w:rsidRPr="00C376D3">
              <w:rPr>
                <w:rFonts w:ascii="Calibri" w:eastAsia="Times New Roman" w:hAnsi="Calibri" w:cs="Calibri"/>
                <w:b/>
                <w:bCs/>
                <w:sz w:val="20"/>
                <w:szCs w:val="20"/>
              </w:rPr>
              <w:t>target comment</w:t>
            </w:r>
          </w:p>
        </w:tc>
        <w:tc>
          <w:tcPr>
            <w:tcW w:w="960" w:type="dxa"/>
            <w:tcBorders>
              <w:top w:val="single" w:sz="4" w:space="0" w:color="auto"/>
              <w:left w:val="nil"/>
              <w:bottom w:val="single" w:sz="8" w:space="0" w:color="auto"/>
              <w:right w:val="single" w:sz="4" w:space="0" w:color="auto"/>
            </w:tcBorders>
            <w:shd w:val="clear" w:color="auto" w:fill="auto"/>
            <w:vAlign w:val="bottom"/>
            <w:hideMark/>
          </w:tcPr>
          <w:p w14:paraId="20E2A6FE" w14:textId="77777777" w:rsidR="00C376D3" w:rsidRPr="00C376D3" w:rsidRDefault="00C376D3" w:rsidP="007D6426">
            <w:pPr>
              <w:spacing w:after="0" w:line="240" w:lineRule="auto"/>
              <w:jc w:val="both"/>
              <w:rPr>
                <w:rFonts w:ascii="Calibri" w:eastAsia="Times New Roman" w:hAnsi="Calibri" w:cs="Calibri"/>
                <w:b/>
                <w:bCs/>
                <w:sz w:val="20"/>
                <w:szCs w:val="20"/>
              </w:rPr>
            </w:pPr>
            <w:r w:rsidRPr="00C376D3">
              <w:rPr>
                <w:rFonts w:ascii="Calibri" w:eastAsia="Times New Roman" w:hAnsi="Calibri" w:cs="Calibri"/>
                <w:b/>
                <w:bCs/>
                <w:sz w:val="20"/>
                <w:szCs w:val="20"/>
              </w:rPr>
              <w:t>F</w:t>
            </w:r>
            <w:r w:rsidRPr="00C376D3">
              <w:rPr>
                <w:rFonts w:ascii="Calibri" w:eastAsia="Times New Roman" w:hAnsi="Calibri" w:cs="Calibri"/>
                <w:b/>
                <w:bCs/>
                <w:sz w:val="20"/>
                <w:szCs w:val="20"/>
                <w:vertAlign w:val="superscript"/>
              </w:rPr>
              <w:t>14</w:t>
            </w:r>
            <w:r w:rsidRPr="00C376D3">
              <w:rPr>
                <w:rFonts w:ascii="Calibri" w:eastAsia="Times New Roman" w:hAnsi="Calibri" w:cs="Calibri"/>
                <w:b/>
                <w:bCs/>
                <w:sz w:val="20"/>
                <w:szCs w:val="20"/>
              </w:rPr>
              <w:t xml:space="preserve">C </w:t>
            </w:r>
          </w:p>
        </w:tc>
        <w:tc>
          <w:tcPr>
            <w:tcW w:w="863" w:type="dxa"/>
            <w:tcBorders>
              <w:top w:val="single" w:sz="4" w:space="0" w:color="auto"/>
              <w:left w:val="nil"/>
              <w:bottom w:val="single" w:sz="8" w:space="0" w:color="auto"/>
              <w:right w:val="single" w:sz="4" w:space="0" w:color="auto"/>
            </w:tcBorders>
            <w:shd w:val="clear" w:color="auto" w:fill="auto"/>
            <w:vAlign w:val="bottom"/>
            <w:hideMark/>
          </w:tcPr>
          <w:p w14:paraId="322D1ABE" w14:textId="5610D1AC" w:rsidR="00C376D3" w:rsidRPr="00C376D3" w:rsidRDefault="004C4F54" w:rsidP="007D6426">
            <w:pPr>
              <w:spacing w:after="0" w:line="240" w:lineRule="auto"/>
              <w:jc w:val="both"/>
              <w:rPr>
                <w:rFonts w:ascii="Calibri" w:eastAsia="Times New Roman" w:hAnsi="Calibri" w:cs="Calibri"/>
                <w:b/>
                <w:bCs/>
                <w:sz w:val="20"/>
                <w:szCs w:val="20"/>
              </w:rPr>
            </w:pPr>
            <w:r>
              <w:rPr>
                <w:rFonts w:ascii="Calibri" w:eastAsia="Times New Roman" w:hAnsi="Calibri" w:cs="Calibri"/>
                <w:b/>
                <w:bCs/>
                <w:sz w:val="20"/>
                <w:szCs w:val="20"/>
              </w:rPr>
              <w:t>±1σ</w:t>
            </w:r>
          </w:p>
        </w:tc>
        <w:tc>
          <w:tcPr>
            <w:tcW w:w="992" w:type="dxa"/>
            <w:tcBorders>
              <w:top w:val="single" w:sz="4" w:space="0" w:color="auto"/>
              <w:left w:val="nil"/>
              <w:bottom w:val="single" w:sz="8" w:space="0" w:color="auto"/>
              <w:right w:val="single" w:sz="4" w:space="0" w:color="auto"/>
            </w:tcBorders>
            <w:shd w:val="clear" w:color="auto" w:fill="auto"/>
            <w:vAlign w:val="bottom"/>
            <w:hideMark/>
          </w:tcPr>
          <w:p w14:paraId="0767B4E8" w14:textId="5FF39128" w:rsidR="00C376D3" w:rsidRPr="00C376D3" w:rsidRDefault="004C4F54" w:rsidP="007D6426">
            <w:pPr>
              <w:spacing w:after="0" w:line="240" w:lineRule="auto"/>
              <w:jc w:val="both"/>
              <w:rPr>
                <w:rFonts w:ascii="Calibri" w:eastAsia="Times New Roman" w:hAnsi="Calibri" w:cs="Calibri"/>
                <w:b/>
                <w:bCs/>
                <w:sz w:val="20"/>
                <w:szCs w:val="20"/>
              </w:rPr>
            </w:pPr>
            <w:r>
              <w:rPr>
                <w:rFonts w:ascii="Calibri" w:eastAsia="Times New Roman" w:hAnsi="Calibri" w:cs="Calibri"/>
                <w:b/>
                <w:bCs/>
                <w:sz w:val="20"/>
                <w:szCs w:val="20"/>
              </w:rPr>
              <w:t xml:space="preserve">Age </w:t>
            </w:r>
            <w:r w:rsidR="00C376D3" w:rsidRPr="00C376D3">
              <w:rPr>
                <w:rFonts w:ascii="Calibri" w:eastAsia="Times New Roman" w:hAnsi="Calibri" w:cs="Calibri"/>
                <w:b/>
                <w:bCs/>
                <w:sz w:val="20"/>
                <w:szCs w:val="20"/>
              </w:rPr>
              <w:t>(</w:t>
            </w:r>
            <w:r w:rsidRPr="00185C7D">
              <w:rPr>
                <w:rFonts w:ascii="Calibri" w:eastAsia="Times New Roman" w:hAnsi="Calibri" w:cs="Calibri"/>
                <w:b/>
                <w:bCs/>
                <w:sz w:val="20"/>
                <w:szCs w:val="20"/>
                <w:vertAlign w:val="superscript"/>
              </w:rPr>
              <w:t>14</w:t>
            </w:r>
            <w:r>
              <w:rPr>
                <w:rFonts w:ascii="Calibri" w:eastAsia="Times New Roman" w:hAnsi="Calibri" w:cs="Calibri"/>
                <w:b/>
                <w:bCs/>
                <w:sz w:val="20"/>
                <w:szCs w:val="20"/>
              </w:rPr>
              <w:t>C</w:t>
            </w:r>
            <w:r w:rsidR="00C376D3" w:rsidRPr="00C376D3">
              <w:rPr>
                <w:rFonts w:ascii="Calibri" w:eastAsia="Times New Roman" w:hAnsi="Calibri" w:cs="Calibri"/>
                <w:b/>
                <w:bCs/>
                <w:sz w:val="20"/>
                <w:szCs w:val="20"/>
              </w:rPr>
              <w:t>)</w:t>
            </w:r>
          </w:p>
        </w:tc>
        <w:tc>
          <w:tcPr>
            <w:tcW w:w="845" w:type="dxa"/>
            <w:tcBorders>
              <w:top w:val="single" w:sz="4" w:space="0" w:color="auto"/>
              <w:left w:val="nil"/>
              <w:bottom w:val="single" w:sz="8" w:space="0" w:color="auto"/>
              <w:right w:val="single" w:sz="4" w:space="0" w:color="auto"/>
            </w:tcBorders>
            <w:shd w:val="clear" w:color="auto" w:fill="auto"/>
            <w:vAlign w:val="bottom"/>
            <w:hideMark/>
          </w:tcPr>
          <w:p w14:paraId="3093DF81" w14:textId="4388A707" w:rsidR="00C376D3" w:rsidRPr="00C376D3" w:rsidRDefault="004C4F54" w:rsidP="007D6426">
            <w:pPr>
              <w:spacing w:after="0" w:line="240" w:lineRule="auto"/>
              <w:jc w:val="both"/>
              <w:rPr>
                <w:rFonts w:ascii="Calibri" w:eastAsia="Times New Roman" w:hAnsi="Calibri" w:cs="Calibri"/>
                <w:b/>
                <w:bCs/>
                <w:sz w:val="20"/>
                <w:szCs w:val="20"/>
              </w:rPr>
            </w:pPr>
            <w:r>
              <w:rPr>
                <w:rFonts w:ascii="Calibri" w:eastAsia="Times New Roman" w:hAnsi="Calibri" w:cs="Calibri"/>
                <w:b/>
                <w:bCs/>
                <w:sz w:val="20"/>
                <w:szCs w:val="20"/>
              </w:rPr>
              <w:t>±1σ</w:t>
            </w:r>
          </w:p>
        </w:tc>
      </w:tr>
      <w:tr w:rsidR="00C376D3" w:rsidRPr="00C376D3" w14:paraId="704C3A0F"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6CA900BA"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2A8DC087"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w:t>
            </w:r>
            <w:r w:rsidRPr="00185C7D">
              <w:rPr>
                <w:rFonts w:ascii="Calibri" w:eastAsia="Times New Roman" w:hAnsi="Calibri" w:cs="Calibri"/>
                <w:sz w:val="20"/>
                <w:szCs w:val="20"/>
                <w:vertAlign w:val="subscript"/>
              </w:rPr>
              <w:t>19</w:t>
            </w:r>
          </w:p>
        </w:tc>
        <w:tc>
          <w:tcPr>
            <w:tcW w:w="960" w:type="dxa"/>
            <w:tcBorders>
              <w:top w:val="nil"/>
              <w:left w:val="nil"/>
              <w:bottom w:val="single" w:sz="4" w:space="0" w:color="auto"/>
              <w:right w:val="single" w:sz="4" w:space="0" w:color="auto"/>
            </w:tcBorders>
            <w:shd w:val="clear" w:color="auto" w:fill="auto"/>
            <w:noWrap/>
            <w:vAlign w:val="bottom"/>
            <w:hideMark/>
          </w:tcPr>
          <w:p w14:paraId="1B1FD6AF" w14:textId="1144C5DB"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3</w:t>
            </w:r>
          </w:p>
        </w:tc>
        <w:tc>
          <w:tcPr>
            <w:tcW w:w="863" w:type="dxa"/>
            <w:tcBorders>
              <w:top w:val="nil"/>
              <w:left w:val="nil"/>
              <w:bottom w:val="single" w:sz="4" w:space="0" w:color="auto"/>
              <w:right w:val="single" w:sz="4" w:space="0" w:color="auto"/>
            </w:tcBorders>
            <w:shd w:val="clear" w:color="auto" w:fill="auto"/>
            <w:noWrap/>
            <w:vAlign w:val="bottom"/>
            <w:hideMark/>
          </w:tcPr>
          <w:p w14:paraId="2F7BB0AC" w14:textId="0D92C200"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373579B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47,332</w:t>
            </w:r>
          </w:p>
        </w:tc>
        <w:tc>
          <w:tcPr>
            <w:tcW w:w="845" w:type="dxa"/>
            <w:tcBorders>
              <w:top w:val="nil"/>
              <w:left w:val="nil"/>
              <w:bottom w:val="single" w:sz="4" w:space="0" w:color="auto"/>
              <w:right w:val="single" w:sz="4" w:space="0" w:color="auto"/>
            </w:tcBorders>
            <w:shd w:val="clear" w:color="auto" w:fill="auto"/>
            <w:noWrap/>
            <w:vAlign w:val="bottom"/>
            <w:hideMark/>
          </w:tcPr>
          <w:p w14:paraId="198A78E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512</w:t>
            </w:r>
          </w:p>
        </w:tc>
      </w:tr>
      <w:tr w:rsidR="00C376D3" w:rsidRPr="00C376D3" w14:paraId="21496372"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375C47FD"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6A42762C"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-C20</w:t>
            </w:r>
          </w:p>
        </w:tc>
        <w:tc>
          <w:tcPr>
            <w:tcW w:w="960" w:type="dxa"/>
            <w:tcBorders>
              <w:top w:val="nil"/>
              <w:left w:val="nil"/>
              <w:bottom w:val="single" w:sz="4" w:space="0" w:color="auto"/>
              <w:right w:val="single" w:sz="4" w:space="0" w:color="auto"/>
            </w:tcBorders>
            <w:shd w:val="clear" w:color="auto" w:fill="auto"/>
            <w:noWrap/>
            <w:vAlign w:val="bottom"/>
            <w:hideMark/>
          </w:tcPr>
          <w:p w14:paraId="12BC57D8" w14:textId="476BE434"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2</w:t>
            </w:r>
          </w:p>
        </w:tc>
        <w:tc>
          <w:tcPr>
            <w:tcW w:w="863" w:type="dxa"/>
            <w:tcBorders>
              <w:top w:val="nil"/>
              <w:left w:val="nil"/>
              <w:bottom w:val="single" w:sz="4" w:space="0" w:color="auto"/>
              <w:right w:val="single" w:sz="4" w:space="0" w:color="auto"/>
            </w:tcBorders>
            <w:shd w:val="clear" w:color="auto" w:fill="auto"/>
            <w:noWrap/>
            <w:vAlign w:val="bottom"/>
            <w:hideMark/>
          </w:tcPr>
          <w:p w14:paraId="5E82B57C" w14:textId="5229373C"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0.005</w:t>
            </w:r>
          </w:p>
        </w:tc>
        <w:tc>
          <w:tcPr>
            <w:tcW w:w="992" w:type="dxa"/>
            <w:tcBorders>
              <w:top w:val="nil"/>
              <w:left w:val="nil"/>
              <w:bottom w:val="single" w:sz="4" w:space="0" w:color="auto"/>
              <w:right w:val="single" w:sz="4" w:space="0" w:color="auto"/>
            </w:tcBorders>
            <w:shd w:val="clear" w:color="auto" w:fill="auto"/>
            <w:noWrap/>
            <w:vAlign w:val="bottom"/>
            <w:hideMark/>
          </w:tcPr>
          <w:p w14:paraId="577942D7"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50,688</w:t>
            </w:r>
          </w:p>
        </w:tc>
        <w:tc>
          <w:tcPr>
            <w:tcW w:w="845" w:type="dxa"/>
            <w:tcBorders>
              <w:top w:val="nil"/>
              <w:left w:val="nil"/>
              <w:bottom w:val="single" w:sz="4" w:space="0" w:color="auto"/>
              <w:right w:val="single" w:sz="4" w:space="0" w:color="auto"/>
            </w:tcBorders>
            <w:shd w:val="clear" w:color="auto" w:fill="auto"/>
            <w:noWrap/>
            <w:vAlign w:val="bottom"/>
            <w:hideMark/>
          </w:tcPr>
          <w:p w14:paraId="6206286A"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771</w:t>
            </w:r>
          </w:p>
        </w:tc>
      </w:tr>
      <w:tr w:rsidR="00C376D3" w:rsidRPr="00C376D3" w14:paraId="4CF392CB"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1778C65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0F5D9462"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-C21</w:t>
            </w:r>
          </w:p>
        </w:tc>
        <w:tc>
          <w:tcPr>
            <w:tcW w:w="960" w:type="dxa"/>
            <w:tcBorders>
              <w:top w:val="nil"/>
              <w:left w:val="nil"/>
              <w:bottom w:val="single" w:sz="4" w:space="0" w:color="auto"/>
              <w:right w:val="single" w:sz="4" w:space="0" w:color="auto"/>
            </w:tcBorders>
            <w:shd w:val="clear" w:color="auto" w:fill="auto"/>
            <w:noWrap/>
            <w:vAlign w:val="bottom"/>
            <w:hideMark/>
          </w:tcPr>
          <w:p w14:paraId="14121D7D" w14:textId="111E6CE5"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863" w:type="dxa"/>
            <w:tcBorders>
              <w:top w:val="nil"/>
              <w:left w:val="nil"/>
              <w:bottom w:val="single" w:sz="4" w:space="0" w:color="auto"/>
              <w:right w:val="single" w:sz="4" w:space="0" w:color="auto"/>
            </w:tcBorders>
            <w:shd w:val="clear" w:color="auto" w:fill="auto"/>
            <w:noWrap/>
            <w:vAlign w:val="bottom"/>
            <w:hideMark/>
          </w:tcPr>
          <w:p w14:paraId="16020C7E" w14:textId="1DA3856E"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6</w:t>
            </w:r>
          </w:p>
        </w:tc>
        <w:tc>
          <w:tcPr>
            <w:tcW w:w="992" w:type="dxa"/>
            <w:tcBorders>
              <w:top w:val="nil"/>
              <w:left w:val="nil"/>
              <w:bottom w:val="single" w:sz="4" w:space="0" w:color="auto"/>
              <w:right w:val="single" w:sz="4" w:space="0" w:color="auto"/>
            </w:tcBorders>
            <w:shd w:val="clear" w:color="auto" w:fill="auto"/>
            <w:noWrap/>
            <w:vAlign w:val="bottom"/>
            <w:hideMark/>
          </w:tcPr>
          <w:p w14:paraId="67A60D9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41,041</w:t>
            </w:r>
          </w:p>
        </w:tc>
        <w:tc>
          <w:tcPr>
            <w:tcW w:w="845" w:type="dxa"/>
            <w:tcBorders>
              <w:top w:val="nil"/>
              <w:left w:val="nil"/>
              <w:bottom w:val="single" w:sz="4" w:space="0" w:color="auto"/>
              <w:right w:val="single" w:sz="4" w:space="0" w:color="auto"/>
            </w:tcBorders>
            <w:shd w:val="clear" w:color="auto" w:fill="auto"/>
            <w:noWrap/>
            <w:vAlign w:val="bottom"/>
            <w:hideMark/>
          </w:tcPr>
          <w:p w14:paraId="68638509"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617</w:t>
            </w:r>
          </w:p>
        </w:tc>
      </w:tr>
      <w:tr w:rsidR="00C376D3" w:rsidRPr="00C376D3" w14:paraId="51AF0CA1"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37535E7F"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145D056E"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-C22</w:t>
            </w:r>
          </w:p>
        </w:tc>
        <w:tc>
          <w:tcPr>
            <w:tcW w:w="960" w:type="dxa"/>
            <w:tcBorders>
              <w:top w:val="nil"/>
              <w:left w:val="nil"/>
              <w:bottom w:val="single" w:sz="4" w:space="0" w:color="auto"/>
              <w:right w:val="single" w:sz="4" w:space="0" w:color="auto"/>
            </w:tcBorders>
            <w:shd w:val="clear" w:color="auto" w:fill="auto"/>
            <w:noWrap/>
            <w:vAlign w:val="bottom"/>
            <w:hideMark/>
          </w:tcPr>
          <w:p w14:paraId="4FA617E3" w14:textId="371F2F3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863" w:type="dxa"/>
            <w:tcBorders>
              <w:top w:val="nil"/>
              <w:left w:val="nil"/>
              <w:bottom w:val="single" w:sz="4" w:space="0" w:color="auto"/>
              <w:right w:val="single" w:sz="4" w:space="0" w:color="auto"/>
            </w:tcBorders>
            <w:shd w:val="clear" w:color="auto" w:fill="auto"/>
            <w:noWrap/>
            <w:vAlign w:val="bottom"/>
            <w:hideMark/>
          </w:tcPr>
          <w:p w14:paraId="31EF51E2" w14:textId="25427EA4"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992" w:type="dxa"/>
            <w:tcBorders>
              <w:top w:val="nil"/>
              <w:left w:val="nil"/>
              <w:bottom w:val="single" w:sz="4" w:space="0" w:color="auto"/>
              <w:right w:val="single" w:sz="4" w:space="0" w:color="auto"/>
            </w:tcBorders>
            <w:shd w:val="clear" w:color="auto" w:fill="auto"/>
            <w:noWrap/>
            <w:vAlign w:val="bottom"/>
            <w:hideMark/>
          </w:tcPr>
          <w:p w14:paraId="45250C97"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44,650</w:t>
            </w:r>
          </w:p>
        </w:tc>
        <w:tc>
          <w:tcPr>
            <w:tcW w:w="845" w:type="dxa"/>
            <w:tcBorders>
              <w:top w:val="nil"/>
              <w:left w:val="nil"/>
              <w:bottom w:val="single" w:sz="4" w:space="0" w:color="auto"/>
              <w:right w:val="single" w:sz="4" w:space="0" w:color="auto"/>
            </w:tcBorders>
            <w:shd w:val="clear" w:color="auto" w:fill="auto"/>
            <w:noWrap/>
            <w:vAlign w:val="bottom"/>
            <w:hideMark/>
          </w:tcPr>
          <w:p w14:paraId="3960CD41"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657</w:t>
            </w:r>
          </w:p>
        </w:tc>
      </w:tr>
      <w:tr w:rsidR="00C376D3" w:rsidRPr="00C376D3" w14:paraId="6D40DFD7"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43846A68"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49F30387"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-C26+28+30</w:t>
            </w:r>
          </w:p>
        </w:tc>
        <w:tc>
          <w:tcPr>
            <w:tcW w:w="960" w:type="dxa"/>
            <w:tcBorders>
              <w:top w:val="nil"/>
              <w:left w:val="nil"/>
              <w:bottom w:val="single" w:sz="4" w:space="0" w:color="auto"/>
              <w:right w:val="single" w:sz="4" w:space="0" w:color="auto"/>
            </w:tcBorders>
            <w:shd w:val="clear" w:color="auto" w:fill="auto"/>
            <w:noWrap/>
            <w:vAlign w:val="bottom"/>
            <w:hideMark/>
          </w:tcPr>
          <w:p w14:paraId="0ADB3387" w14:textId="3CC9FDE3"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2</w:t>
            </w:r>
          </w:p>
        </w:tc>
        <w:tc>
          <w:tcPr>
            <w:tcW w:w="863" w:type="dxa"/>
            <w:tcBorders>
              <w:top w:val="nil"/>
              <w:left w:val="nil"/>
              <w:bottom w:val="single" w:sz="4" w:space="0" w:color="auto"/>
              <w:right w:val="single" w:sz="4" w:space="0" w:color="auto"/>
            </w:tcBorders>
            <w:shd w:val="clear" w:color="auto" w:fill="auto"/>
            <w:noWrap/>
            <w:vAlign w:val="bottom"/>
            <w:hideMark/>
          </w:tcPr>
          <w:p w14:paraId="16548196" w14:textId="51F9B8EC"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42FC0C2B"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52,331</w:t>
            </w:r>
          </w:p>
        </w:tc>
        <w:tc>
          <w:tcPr>
            <w:tcW w:w="845" w:type="dxa"/>
            <w:tcBorders>
              <w:top w:val="nil"/>
              <w:left w:val="nil"/>
              <w:bottom w:val="single" w:sz="4" w:space="0" w:color="auto"/>
              <w:right w:val="single" w:sz="4" w:space="0" w:color="auto"/>
            </w:tcBorders>
            <w:shd w:val="clear" w:color="auto" w:fill="auto"/>
            <w:noWrap/>
            <w:vAlign w:val="bottom"/>
            <w:hideMark/>
          </w:tcPr>
          <w:p w14:paraId="5A6B9BB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553</w:t>
            </w:r>
          </w:p>
        </w:tc>
      </w:tr>
      <w:tr w:rsidR="00C376D3" w:rsidRPr="00C376D3" w14:paraId="154562AE"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6CD835B0"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0-3cm</w:t>
            </w:r>
          </w:p>
        </w:tc>
        <w:tc>
          <w:tcPr>
            <w:tcW w:w="1740" w:type="dxa"/>
            <w:tcBorders>
              <w:top w:val="nil"/>
              <w:left w:val="nil"/>
              <w:bottom w:val="single" w:sz="4" w:space="0" w:color="auto"/>
              <w:right w:val="single" w:sz="4" w:space="0" w:color="auto"/>
            </w:tcBorders>
            <w:shd w:val="clear" w:color="auto" w:fill="auto"/>
            <w:noWrap/>
            <w:vAlign w:val="bottom"/>
            <w:hideMark/>
          </w:tcPr>
          <w:p w14:paraId="3D908112"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-C27+29+31</w:t>
            </w:r>
          </w:p>
        </w:tc>
        <w:tc>
          <w:tcPr>
            <w:tcW w:w="960" w:type="dxa"/>
            <w:tcBorders>
              <w:top w:val="nil"/>
              <w:left w:val="nil"/>
              <w:bottom w:val="single" w:sz="4" w:space="0" w:color="auto"/>
              <w:right w:val="single" w:sz="4" w:space="0" w:color="auto"/>
            </w:tcBorders>
            <w:shd w:val="clear" w:color="auto" w:fill="auto"/>
            <w:noWrap/>
            <w:vAlign w:val="bottom"/>
            <w:hideMark/>
          </w:tcPr>
          <w:p w14:paraId="6BB46B2D" w14:textId="5E620C92"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0.01</w:t>
            </w:r>
            <w:r w:rsidR="00185C7D">
              <w:rPr>
                <w:rFonts w:ascii="Calibri" w:eastAsia="Times New Roman" w:hAnsi="Calibri" w:cs="Calibri"/>
                <w:sz w:val="20"/>
                <w:szCs w:val="20"/>
              </w:rPr>
              <w:t>8</w:t>
            </w:r>
          </w:p>
        </w:tc>
        <w:tc>
          <w:tcPr>
            <w:tcW w:w="863" w:type="dxa"/>
            <w:tcBorders>
              <w:top w:val="nil"/>
              <w:left w:val="nil"/>
              <w:bottom w:val="single" w:sz="4" w:space="0" w:color="auto"/>
              <w:right w:val="single" w:sz="4" w:space="0" w:color="auto"/>
            </w:tcBorders>
            <w:shd w:val="clear" w:color="auto" w:fill="auto"/>
            <w:noWrap/>
            <w:vAlign w:val="bottom"/>
            <w:hideMark/>
          </w:tcPr>
          <w:p w14:paraId="03807CCF" w14:textId="74382048"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0.004</w:t>
            </w:r>
          </w:p>
        </w:tc>
        <w:tc>
          <w:tcPr>
            <w:tcW w:w="992" w:type="dxa"/>
            <w:tcBorders>
              <w:top w:val="nil"/>
              <w:left w:val="nil"/>
              <w:bottom w:val="single" w:sz="4" w:space="0" w:color="auto"/>
              <w:right w:val="single" w:sz="4" w:space="0" w:color="auto"/>
            </w:tcBorders>
            <w:shd w:val="clear" w:color="auto" w:fill="auto"/>
            <w:noWrap/>
            <w:vAlign w:val="bottom"/>
            <w:hideMark/>
          </w:tcPr>
          <w:p w14:paraId="7340D48F"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32,387</w:t>
            </w:r>
          </w:p>
        </w:tc>
        <w:tc>
          <w:tcPr>
            <w:tcW w:w="845" w:type="dxa"/>
            <w:tcBorders>
              <w:top w:val="nil"/>
              <w:left w:val="nil"/>
              <w:bottom w:val="single" w:sz="4" w:space="0" w:color="auto"/>
              <w:right w:val="single" w:sz="4" w:space="0" w:color="auto"/>
            </w:tcBorders>
            <w:shd w:val="clear" w:color="auto" w:fill="auto"/>
            <w:noWrap/>
            <w:vAlign w:val="bottom"/>
            <w:hideMark/>
          </w:tcPr>
          <w:p w14:paraId="1927571B"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299</w:t>
            </w:r>
          </w:p>
        </w:tc>
      </w:tr>
      <w:tr w:rsidR="00C376D3" w:rsidRPr="00C376D3" w14:paraId="2BD8C3C9"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21E765B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4535A8F2"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-C19</w:t>
            </w:r>
          </w:p>
        </w:tc>
        <w:tc>
          <w:tcPr>
            <w:tcW w:w="960" w:type="dxa"/>
            <w:tcBorders>
              <w:top w:val="nil"/>
              <w:left w:val="nil"/>
              <w:bottom w:val="single" w:sz="4" w:space="0" w:color="auto"/>
              <w:right w:val="single" w:sz="4" w:space="0" w:color="auto"/>
            </w:tcBorders>
            <w:shd w:val="clear" w:color="auto" w:fill="auto"/>
            <w:noWrap/>
            <w:vAlign w:val="bottom"/>
            <w:hideMark/>
          </w:tcPr>
          <w:p w14:paraId="369F1DBD" w14:textId="4E12C6EB"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0.01</w:t>
            </w:r>
            <w:r w:rsidR="00185C7D">
              <w:rPr>
                <w:rFonts w:ascii="Calibri" w:eastAsia="Times New Roman" w:hAnsi="Calibri" w:cs="Calibri"/>
                <w:sz w:val="20"/>
                <w:szCs w:val="20"/>
              </w:rPr>
              <w:t>6</w:t>
            </w:r>
          </w:p>
        </w:tc>
        <w:tc>
          <w:tcPr>
            <w:tcW w:w="863" w:type="dxa"/>
            <w:tcBorders>
              <w:top w:val="nil"/>
              <w:left w:val="nil"/>
              <w:bottom w:val="single" w:sz="4" w:space="0" w:color="auto"/>
              <w:right w:val="single" w:sz="4" w:space="0" w:color="auto"/>
            </w:tcBorders>
            <w:shd w:val="clear" w:color="auto" w:fill="auto"/>
            <w:noWrap/>
            <w:vAlign w:val="bottom"/>
            <w:hideMark/>
          </w:tcPr>
          <w:p w14:paraId="11449CA0" w14:textId="283B4F3C"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992" w:type="dxa"/>
            <w:tcBorders>
              <w:top w:val="nil"/>
              <w:left w:val="nil"/>
              <w:bottom w:val="single" w:sz="4" w:space="0" w:color="auto"/>
              <w:right w:val="single" w:sz="4" w:space="0" w:color="auto"/>
            </w:tcBorders>
            <w:shd w:val="clear" w:color="auto" w:fill="auto"/>
            <w:noWrap/>
            <w:vAlign w:val="bottom"/>
            <w:hideMark/>
          </w:tcPr>
          <w:p w14:paraId="10396C1C"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33,322</w:t>
            </w:r>
          </w:p>
        </w:tc>
        <w:tc>
          <w:tcPr>
            <w:tcW w:w="845" w:type="dxa"/>
            <w:tcBorders>
              <w:top w:val="nil"/>
              <w:left w:val="nil"/>
              <w:bottom w:val="single" w:sz="4" w:space="0" w:color="auto"/>
              <w:right w:val="single" w:sz="4" w:space="0" w:color="auto"/>
            </w:tcBorders>
            <w:shd w:val="clear" w:color="auto" w:fill="auto"/>
            <w:noWrap/>
            <w:vAlign w:val="bottom"/>
            <w:hideMark/>
          </w:tcPr>
          <w:p w14:paraId="05F53AAD"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618</w:t>
            </w:r>
          </w:p>
        </w:tc>
      </w:tr>
      <w:tr w:rsidR="00C376D3" w:rsidRPr="00C376D3" w14:paraId="1782CE4D"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35DBADB1"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47A33791"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-C20</w:t>
            </w:r>
          </w:p>
        </w:tc>
        <w:tc>
          <w:tcPr>
            <w:tcW w:w="960" w:type="dxa"/>
            <w:tcBorders>
              <w:top w:val="nil"/>
              <w:left w:val="nil"/>
              <w:bottom w:val="single" w:sz="4" w:space="0" w:color="auto"/>
              <w:right w:val="single" w:sz="4" w:space="0" w:color="auto"/>
            </w:tcBorders>
            <w:shd w:val="clear" w:color="auto" w:fill="auto"/>
            <w:noWrap/>
            <w:vAlign w:val="bottom"/>
            <w:hideMark/>
          </w:tcPr>
          <w:p w14:paraId="5B978E77" w14:textId="41660F78"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863" w:type="dxa"/>
            <w:tcBorders>
              <w:top w:val="nil"/>
              <w:left w:val="nil"/>
              <w:bottom w:val="single" w:sz="4" w:space="0" w:color="auto"/>
              <w:right w:val="single" w:sz="4" w:space="0" w:color="auto"/>
            </w:tcBorders>
            <w:shd w:val="clear" w:color="auto" w:fill="auto"/>
            <w:noWrap/>
            <w:vAlign w:val="bottom"/>
            <w:hideMark/>
          </w:tcPr>
          <w:p w14:paraId="60414E6F" w14:textId="065B8BFD"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0.005</w:t>
            </w:r>
          </w:p>
        </w:tc>
        <w:tc>
          <w:tcPr>
            <w:tcW w:w="992" w:type="dxa"/>
            <w:tcBorders>
              <w:top w:val="nil"/>
              <w:left w:val="nil"/>
              <w:bottom w:val="single" w:sz="4" w:space="0" w:color="auto"/>
              <w:right w:val="single" w:sz="4" w:space="0" w:color="auto"/>
            </w:tcBorders>
            <w:shd w:val="clear" w:color="auto" w:fill="auto"/>
            <w:noWrap/>
            <w:vAlign w:val="bottom"/>
            <w:hideMark/>
          </w:tcPr>
          <w:p w14:paraId="446AE50C"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40,883</w:t>
            </w:r>
          </w:p>
        </w:tc>
        <w:tc>
          <w:tcPr>
            <w:tcW w:w="845" w:type="dxa"/>
            <w:tcBorders>
              <w:top w:val="nil"/>
              <w:left w:val="nil"/>
              <w:bottom w:val="single" w:sz="4" w:space="0" w:color="auto"/>
              <w:right w:val="single" w:sz="4" w:space="0" w:color="auto"/>
            </w:tcBorders>
            <w:shd w:val="clear" w:color="auto" w:fill="auto"/>
            <w:noWrap/>
            <w:vAlign w:val="bottom"/>
            <w:hideMark/>
          </w:tcPr>
          <w:p w14:paraId="53E1C657"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625</w:t>
            </w:r>
          </w:p>
        </w:tc>
      </w:tr>
      <w:tr w:rsidR="00C376D3" w:rsidRPr="00C376D3" w14:paraId="3F0474C0"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10311985"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46ACC9F9"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-C21</w:t>
            </w:r>
          </w:p>
        </w:tc>
        <w:tc>
          <w:tcPr>
            <w:tcW w:w="960" w:type="dxa"/>
            <w:tcBorders>
              <w:top w:val="nil"/>
              <w:left w:val="nil"/>
              <w:bottom w:val="single" w:sz="4" w:space="0" w:color="auto"/>
              <w:right w:val="single" w:sz="4" w:space="0" w:color="auto"/>
            </w:tcBorders>
            <w:shd w:val="clear" w:color="auto" w:fill="auto"/>
            <w:noWrap/>
            <w:vAlign w:val="bottom"/>
            <w:hideMark/>
          </w:tcPr>
          <w:p w14:paraId="6DCD3A4F" w14:textId="036C503B"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0.010</w:t>
            </w:r>
          </w:p>
        </w:tc>
        <w:tc>
          <w:tcPr>
            <w:tcW w:w="863" w:type="dxa"/>
            <w:tcBorders>
              <w:top w:val="nil"/>
              <w:left w:val="nil"/>
              <w:bottom w:val="single" w:sz="4" w:space="0" w:color="auto"/>
              <w:right w:val="single" w:sz="4" w:space="0" w:color="auto"/>
            </w:tcBorders>
            <w:shd w:val="clear" w:color="auto" w:fill="auto"/>
            <w:noWrap/>
            <w:vAlign w:val="bottom"/>
            <w:hideMark/>
          </w:tcPr>
          <w:p w14:paraId="7542D544" w14:textId="01161E90"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992" w:type="dxa"/>
            <w:tcBorders>
              <w:top w:val="nil"/>
              <w:left w:val="nil"/>
              <w:bottom w:val="single" w:sz="4" w:space="0" w:color="auto"/>
              <w:right w:val="single" w:sz="4" w:space="0" w:color="auto"/>
            </w:tcBorders>
            <w:shd w:val="clear" w:color="auto" w:fill="auto"/>
            <w:noWrap/>
            <w:vAlign w:val="bottom"/>
            <w:hideMark/>
          </w:tcPr>
          <w:p w14:paraId="1FFC998D"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36,860</w:t>
            </w:r>
          </w:p>
        </w:tc>
        <w:tc>
          <w:tcPr>
            <w:tcW w:w="845" w:type="dxa"/>
            <w:tcBorders>
              <w:top w:val="nil"/>
              <w:left w:val="nil"/>
              <w:bottom w:val="single" w:sz="4" w:space="0" w:color="auto"/>
              <w:right w:val="single" w:sz="4" w:space="0" w:color="auto"/>
            </w:tcBorders>
            <w:shd w:val="clear" w:color="auto" w:fill="auto"/>
            <w:noWrap/>
            <w:vAlign w:val="bottom"/>
            <w:hideMark/>
          </w:tcPr>
          <w:p w14:paraId="389B75D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488</w:t>
            </w:r>
          </w:p>
        </w:tc>
      </w:tr>
      <w:tr w:rsidR="00C376D3" w:rsidRPr="00C376D3" w14:paraId="03481875"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28FFB3B5"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749DE4F1"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-C22</w:t>
            </w:r>
          </w:p>
        </w:tc>
        <w:tc>
          <w:tcPr>
            <w:tcW w:w="960" w:type="dxa"/>
            <w:tcBorders>
              <w:top w:val="nil"/>
              <w:left w:val="nil"/>
              <w:bottom w:val="single" w:sz="4" w:space="0" w:color="auto"/>
              <w:right w:val="single" w:sz="4" w:space="0" w:color="auto"/>
            </w:tcBorders>
            <w:shd w:val="clear" w:color="auto" w:fill="auto"/>
            <w:noWrap/>
            <w:vAlign w:val="bottom"/>
            <w:hideMark/>
          </w:tcPr>
          <w:p w14:paraId="6864E89C" w14:textId="6D4E8E8B"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0.006</w:t>
            </w:r>
          </w:p>
        </w:tc>
        <w:tc>
          <w:tcPr>
            <w:tcW w:w="863" w:type="dxa"/>
            <w:tcBorders>
              <w:top w:val="nil"/>
              <w:left w:val="nil"/>
              <w:bottom w:val="single" w:sz="4" w:space="0" w:color="auto"/>
              <w:right w:val="single" w:sz="4" w:space="0" w:color="auto"/>
            </w:tcBorders>
            <w:shd w:val="clear" w:color="auto" w:fill="auto"/>
            <w:noWrap/>
            <w:vAlign w:val="bottom"/>
            <w:hideMark/>
          </w:tcPr>
          <w:p w14:paraId="023C9AA4" w14:textId="0B0742E2"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7</w:t>
            </w:r>
          </w:p>
        </w:tc>
        <w:tc>
          <w:tcPr>
            <w:tcW w:w="992" w:type="dxa"/>
            <w:tcBorders>
              <w:top w:val="nil"/>
              <w:left w:val="nil"/>
              <w:bottom w:val="single" w:sz="4" w:space="0" w:color="auto"/>
              <w:right w:val="single" w:sz="4" w:space="0" w:color="auto"/>
            </w:tcBorders>
            <w:shd w:val="clear" w:color="auto" w:fill="auto"/>
            <w:noWrap/>
            <w:vAlign w:val="bottom"/>
            <w:hideMark/>
          </w:tcPr>
          <w:p w14:paraId="6A05439E"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40,594</w:t>
            </w:r>
          </w:p>
        </w:tc>
        <w:tc>
          <w:tcPr>
            <w:tcW w:w="845" w:type="dxa"/>
            <w:tcBorders>
              <w:top w:val="nil"/>
              <w:left w:val="nil"/>
              <w:bottom w:val="single" w:sz="4" w:space="0" w:color="auto"/>
              <w:right w:val="single" w:sz="4" w:space="0" w:color="auto"/>
            </w:tcBorders>
            <w:shd w:val="clear" w:color="auto" w:fill="auto"/>
            <w:noWrap/>
            <w:vAlign w:val="bottom"/>
            <w:hideMark/>
          </w:tcPr>
          <w:p w14:paraId="66FFED8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512</w:t>
            </w:r>
          </w:p>
        </w:tc>
      </w:tr>
      <w:tr w:rsidR="00C376D3" w:rsidRPr="00C376D3" w14:paraId="1F63C539"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7FDEEDC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26542098"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-C26+C28+C30</w:t>
            </w:r>
          </w:p>
        </w:tc>
        <w:tc>
          <w:tcPr>
            <w:tcW w:w="960" w:type="dxa"/>
            <w:tcBorders>
              <w:top w:val="nil"/>
              <w:left w:val="nil"/>
              <w:bottom w:val="single" w:sz="4" w:space="0" w:color="auto"/>
              <w:right w:val="single" w:sz="4" w:space="0" w:color="auto"/>
            </w:tcBorders>
            <w:shd w:val="clear" w:color="auto" w:fill="auto"/>
            <w:noWrap/>
            <w:vAlign w:val="bottom"/>
            <w:hideMark/>
          </w:tcPr>
          <w:p w14:paraId="04732E08" w14:textId="5B9A78A4"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0.01</w:t>
            </w:r>
            <w:r w:rsidR="00185C7D">
              <w:rPr>
                <w:rFonts w:ascii="Calibri" w:eastAsia="Times New Roman" w:hAnsi="Calibri" w:cs="Calibri"/>
                <w:sz w:val="20"/>
                <w:szCs w:val="20"/>
              </w:rPr>
              <w:t>7</w:t>
            </w:r>
          </w:p>
        </w:tc>
        <w:tc>
          <w:tcPr>
            <w:tcW w:w="863" w:type="dxa"/>
            <w:tcBorders>
              <w:top w:val="nil"/>
              <w:left w:val="nil"/>
              <w:bottom w:val="single" w:sz="4" w:space="0" w:color="auto"/>
              <w:right w:val="single" w:sz="4" w:space="0" w:color="auto"/>
            </w:tcBorders>
            <w:shd w:val="clear" w:color="auto" w:fill="auto"/>
            <w:noWrap/>
            <w:vAlign w:val="bottom"/>
            <w:hideMark/>
          </w:tcPr>
          <w:p w14:paraId="51B98EF8" w14:textId="4B70F16A"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56AEA46C"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32,797</w:t>
            </w:r>
          </w:p>
        </w:tc>
        <w:tc>
          <w:tcPr>
            <w:tcW w:w="845" w:type="dxa"/>
            <w:tcBorders>
              <w:top w:val="nil"/>
              <w:left w:val="nil"/>
              <w:bottom w:val="single" w:sz="4" w:space="0" w:color="auto"/>
              <w:right w:val="single" w:sz="4" w:space="0" w:color="auto"/>
            </w:tcBorders>
            <w:shd w:val="clear" w:color="auto" w:fill="auto"/>
            <w:noWrap/>
            <w:vAlign w:val="bottom"/>
            <w:hideMark/>
          </w:tcPr>
          <w:p w14:paraId="04E6A565"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786</w:t>
            </w:r>
          </w:p>
        </w:tc>
      </w:tr>
      <w:tr w:rsidR="00C376D3" w:rsidRPr="00C376D3" w14:paraId="107E38F0"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5191D1A8"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86-89cm</w:t>
            </w:r>
          </w:p>
        </w:tc>
        <w:tc>
          <w:tcPr>
            <w:tcW w:w="1740" w:type="dxa"/>
            <w:tcBorders>
              <w:top w:val="nil"/>
              <w:left w:val="nil"/>
              <w:bottom w:val="single" w:sz="4" w:space="0" w:color="auto"/>
              <w:right w:val="single" w:sz="4" w:space="0" w:color="auto"/>
            </w:tcBorders>
            <w:shd w:val="clear" w:color="auto" w:fill="auto"/>
            <w:noWrap/>
            <w:vAlign w:val="bottom"/>
            <w:hideMark/>
          </w:tcPr>
          <w:p w14:paraId="6224EB7A"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-C27+C29+C31</w:t>
            </w:r>
          </w:p>
        </w:tc>
        <w:tc>
          <w:tcPr>
            <w:tcW w:w="960" w:type="dxa"/>
            <w:tcBorders>
              <w:top w:val="nil"/>
              <w:left w:val="nil"/>
              <w:bottom w:val="single" w:sz="4" w:space="0" w:color="auto"/>
              <w:right w:val="single" w:sz="4" w:space="0" w:color="auto"/>
            </w:tcBorders>
            <w:shd w:val="clear" w:color="auto" w:fill="auto"/>
            <w:noWrap/>
            <w:vAlign w:val="bottom"/>
            <w:hideMark/>
          </w:tcPr>
          <w:p w14:paraId="3D6A922B" w14:textId="5012FFCC"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0.051</w:t>
            </w:r>
          </w:p>
        </w:tc>
        <w:tc>
          <w:tcPr>
            <w:tcW w:w="863" w:type="dxa"/>
            <w:tcBorders>
              <w:top w:val="nil"/>
              <w:left w:val="nil"/>
              <w:bottom w:val="single" w:sz="4" w:space="0" w:color="auto"/>
              <w:right w:val="single" w:sz="4" w:space="0" w:color="auto"/>
            </w:tcBorders>
            <w:shd w:val="clear" w:color="auto" w:fill="auto"/>
            <w:noWrap/>
            <w:vAlign w:val="bottom"/>
            <w:hideMark/>
          </w:tcPr>
          <w:p w14:paraId="3C765636" w14:textId="0392FA70"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22D6203F"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23,868</w:t>
            </w:r>
          </w:p>
        </w:tc>
        <w:tc>
          <w:tcPr>
            <w:tcW w:w="845" w:type="dxa"/>
            <w:tcBorders>
              <w:top w:val="nil"/>
              <w:left w:val="nil"/>
              <w:bottom w:val="single" w:sz="4" w:space="0" w:color="auto"/>
              <w:right w:val="single" w:sz="4" w:space="0" w:color="auto"/>
            </w:tcBorders>
            <w:shd w:val="clear" w:color="auto" w:fill="auto"/>
            <w:noWrap/>
            <w:vAlign w:val="bottom"/>
            <w:hideMark/>
          </w:tcPr>
          <w:p w14:paraId="0B9FE76F"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401</w:t>
            </w:r>
          </w:p>
        </w:tc>
      </w:tr>
      <w:tr w:rsidR="00C376D3" w:rsidRPr="00C376D3" w14:paraId="78E9A813"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555AF7B9"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1DDE5850"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-C19</w:t>
            </w:r>
          </w:p>
        </w:tc>
        <w:tc>
          <w:tcPr>
            <w:tcW w:w="960" w:type="dxa"/>
            <w:tcBorders>
              <w:top w:val="nil"/>
              <w:left w:val="nil"/>
              <w:bottom w:val="single" w:sz="4" w:space="0" w:color="auto"/>
              <w:right w:val="single" w:sz="4" w:space="0" w:color="auto"/>
            </w:tcBorders>
            <w:shd w:val="clear" w:color="auto" w:fill="auto"/>
            <w:noWrap/>
            <w:vAlign w:val="bottom"/>
            <w:hideMark/>
          </w:tcPr>
          <w:p w14:paraId="75EEC250" w14:textId="03EC153F"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0.003</w:t>
            </w:r>
          </w:p>
        </w:tc>
        <w:tc>
          <w:tcPr>
            <w:tcW w:w="863" w:type="dxa"/>
            <w:tcBorders>
              <w:top w:val="nil"/>
              <w:left w:val="nil"/>
              <w:bottom w:val="single" w:sz="4" w:space="0" w:color="auto"/>
              <w:right w:val="single" w:sz="4" w:space="0" w:color="auto"/>
            </w:tcBorders>
            <w:shd w:val="clear" w:color="auto" w:fill="auto"/>
            <w:noWrap/>
            <w:vAlign w:val="bottom"/>
            <w:hideMark/>
          </w:tcPr>
          <w:p w14:paraId="63A15B51" w14:textId="778B2890"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40390DC4"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46,486</w:t>
            </w:r>
          </w:p>
        </w:tc>
        <w:tc>
          <w:tcPr>
            <w:tcW w:w="845" w:type="dxa"/>
            <w:tcBorders>
              <w:top w:val="nil"/>
              <w:left w:val="nil"/>
              <w:bottom w:val="single" w:sz="4" w:space="0" w:color="auto"/>
              <w:right w:val="single" w:sz="4" w:space="0" w:color="auto"/>
            </w:tcBorders>
            <w:shd w:val="clear" w:color="auto" w:fill="auto"/>
            <w:noWrap/>
            <w:vAlign w:val="bottom"/>
            <w:hideMark/>
          </w:tcPr>
          <w:p w14:paraId="67D1DBC9"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1,248</w:t>
            </w:r>
          </w:p>
        </w:tc>
      </w:tr>
      <w:tr w:rsidR="00C376D3" w:rsidRPr="00C376D3" w14:paraId="02A2F527"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36E1DCFC"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11E78199"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-C20</w:t>
            </w:r>
          </w:p>
        </w:tc>
        <w:tc>
          <w:tcPr>
            <w:tcW w:w="960" w:type="dxa"/>
            <w:tcBorders>
              <w:top w:val="nil"/>
              <w:left w:val="nil"/>
              <w:bottom w:val="single" w:sz="4" w:space="0" w:color="auto"/>
              <w:right w:val="single" w:sz="4" w:space="0" w:color="auto"/>
            </w:tcBorders>
            <w:shd w:val="clear" w:color="auto" w:fill="auto"/>
            <w:noWrap/>
            <w:vAlign w:val="bottom"/>
            <w:hideMark/>
          </w:tcPr>
          <w:p w14:paraId="79637A15" w14:textId="12F7C71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0.002</w:t>
            </w:r>
          </w:p>
        </w:tc>
        <w:tc>
          <w:tcPr>
            <w:tcW w:w="863" w:type="dxa"/>
            <w:tcBorders>
              <w:top w:val="nil"/>
              <w:left w:val="nil"/>
              <w:bottom w:val="single" w:sz="4" w:space="0" w:color="auto"/>
              <w:right w:val="single" w:sz="4" w:space="0" w:color="auto"/>
            </w:tcBorders>
            <w:shd w:val="clear" w:color="auto" w:fill="auto"/>
            <w:noWrap/>
            <w:vAlign w:val="bottom"/>
            <w:hideMark/>
          </w:tcPr>
          <w:p w14:paraId="784F7DF9" w14:textId="30978A33"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1CA0AD8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49,049</w:t>
            </w:r>
          </w:p>
        </w:tc>
        <w:tc>
          <w:tcPr>
            <w:tcW w:w="845" w:type="dxa"/>
            <w:tcBorders>
              <w:top w:val="nil"/>
              <w:left w:val="nil"/>
              <w:bottom w:val="single" w:sz="4" w:space="0" w:color="auto"/>
              <w:right w:val="single" w:sz="4" w:space="0" w:color="auto"/>
            </w:tcBorders>
            <w:shd w:val="clear" w:color="auto" w:fill="auto"/>
            <w:noWrap/>
            <w:vAlign w:val="bottom"/>
            <w:hideMark/>
          </w:tcPr>
          <w:p w14:paraId="5B2DAF17"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1,331</w:t>
            </w:r>
          </w:p>
        </w:tc>
      </w:tr>
      <w:tr w:rsidR="00C376D3" w:rsidRPr="00C376D3" w14:paraId="4B001B55"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40A38CF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5D62E719"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-C21</w:t>
            </w:r>
          </w:p>
        </w:tc>
        <w:tc>
          <w:tcPr>
            <w:tcW w:w="960" w:type="dxa"/>
            <w:tcBorders>
              <w:top w:val="nil"/>
              <w:left w:val="nil"/>
              <w:bottom w:val="single" w:sz="4" w:space="0" w:color="auto"/>
              <w:right w:val="single" w:sz="4" w:space="0" w:color="auto"/>
            </w:tcBorders>
            <w:shd w:val="clear" w:color="auto" w:fill="auto"/>
            <w:noWrap/>
            <w:vAlign w:val="bottom"/>
            <w:hideMark/>
          </w:tcPr>
          <w:p w14:paraId="364889FE" w14:textId="469D6F7C"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0.013</w:t>
            </w:r>
          </w:p>
        </w:tc>
        <w:tc>
          <w:tcPr>
            <w:tcW w:w="863" w:type="dxa"/>
            <w:tcBorders>
              <w:top w:val="nil"/>
              <w:left w:val="nil"/>
              <w:bottom w:val="single" w:sz="4" w:space="0" w:color="auto"/>
              <w:right w:val="single" w:sz="4" w:space="0" w:color="auto"/>
            </w:tcBorders>
            <w:shd w:val="clear" w:color="auto" w:fill="auto"/>
            <w:noWrap/>
            <w:vAlign w:val="bottom"/>
            <w:hideMark/>
          </w:tcPr>
          <w:p w14:paraId="17E29BEF" w14:textId="0ADD5CB6"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6B84DE50"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34,871</w:t>
            </w:r>
          </w:p>
        </w:tc>
        <w:tc>
          <w:tcPr>
            <w:tcW w:w="845" w:type="dxa"/>
            <w:tcBorders>
              <w:top w:val="nil"/>
              <w:left w:val="nil"/>
              <w:bottom w:val="single" w:sz="4" w:space="0" w:color="auto"/>
              <w:right w:val="single" w:sz="4" w:space="0" w:color="auto"/>
            </w:tcBorders>
            <w:shd w:val="clear" w:color="auto" w:fill="auto"/>
            <w:noWrap/>
            <w:vAlign w:val="bottom"/>
            <w:hideMark/>
          </w:tcPr>
          <w:p w14:paraId="63518FA2"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707</w:t>
            </w:r>
          </w:p>
        </w:tc>
      </w:tr>
      <w:tr w:rsidR="00C376D3" w:rsidRPr="00C376D3" w14:paraId="20C45016"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5E2571C8"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5D8AE0B1"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-C22</w:t>
            </w:r>
          </w:p>
        </w:tc>
        <w:tc>
          <w:tcPr>
            <w:tcW w:w="960" w:type="dxa"/>
            <w:tcBorders>
              <w:top w:val="nil"/>
              <w:left w:val="nil"/>
              <w:bottom w:val="single" w:sz="4" w:space="0" w:color="auto"/>
              <w:right w:val="single" w:sz="4" w:space="0" w:color="auto"/>
            </w:tcBorders>
            <w:shd w:val="clear" w:color="auto" w:fill="auto"/>
            <w:noWrap/>
            <w:vAlign w:val="bottom"/>
            <w:hideMark/>
          </w:tcPr>
          <w:p w14:paraId="33DADABE" w14:textId="20CAAF61"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0.001</w:t>
            </w:r>
          </w:p>
        </w:tc>
        <w:tc>
          <w:tcPr>
            <w:tcW w:w="863" w:type="dxa"/>
            <w:tcBorders>
              <w:top w:val="nil"/>
              <w:left w:val="nil"/>
              <w:bottom w:val="single" w:sz="4" w:space="0" w:color="auto"/>
              <w:right w:val="single" w:sz="4" w:space="0" w:color="auto"/>
            </w:tcBorders>
            <w:shd w:val="clear" w:color="auto" w:fill="auto"/>
            <w:noWrap/>
            <w:vAlign w:val="bottom"/>
            <w:hideMark/>
          </w:tcPr>
          <w:p w14:paraId="6E0668D6" w14:textId="21481E36"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06F0D454"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52,805</w:t>
            </w:r>
          </w:p>
        </w:tc>
        <w:tc>
          <w:tcPr>
            <w:tcW w:w="845" w:type="dxa"/>
            <w:tcBorders>
              <w:top w:val="nil"/>
              <w:left w:val="nil"/>
              <w:bottom w:val="single" w:sz="4" w:space="0" w:color="auto"/>
              <w:right w:val="single" w:sz="4" w:space="0" w:color="auto"/>
            </w:tcBorders>
            <w:shd w:val="clear" w:color="auto" w:fill="auto"/>
            <w:noWrap/>
            <w:vAlign w:val="bottom"/>
            <w:hideMark/>
          </w:tcPr>
          <w:p w14:paraId="600E5449"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1,358</w:t>
            </w:r>
          </w:p>
        </w:tc>
      </w:tr>
      <w:tr w:rsidR="00C376D3" w:rsidRPr="00C376D3" w14:paraId="46A1882F"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26410E1F"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28C78298"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-C26+28+30</w:t>
            </w:r>
          </w:p>
        </w:tc>
        <w:tc>
          <w:tcPr>
            <w:tcW w:w="960" w:type="dxa"/>
            <w:tcBorders>
              <w:top w:val="nil"/>
              <w:left w:val="nil"/>
              <w:bottom w:val="single" w:sz="4" w:space="0" w:color="auto"/>
              <w:right w:val="single" w:sz="4" w:space="0" w:color="auto"/>
            </w:tcBorders>
            <w:shd w:val="clear" w:color="auto" w:fill="auto"/>
            <w:noWrap/>
            <w:vAlign w:val="bottom"/>
            <w:hideMark/>
          </w:tcPr>
          <w:p w14:paraId="08E9D810" w14:textId="2513FAF4"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3</w:t>
            </w:r>
          </w:p>
        </w:tc>
        <w:tc>
          <w:tcPr>
            <w:tcW w:w="863" w:type="dxa"/>
            <w:tcBorders>
              <w:top w:val="nil"/>
              <w:left w:val="nil"/>
              <w:bottom w:val="single" w:sz="4" w:space="0" w:color="auto"/>
              <w:right w:val="single" w:sz="4" w:space="0" w:color="auto"/>
            </w:tcBorders>
            <w:shd w:val="clear" w:color="auto" w:fill="auto"/>
            <w:noWrap/>
            <w:vAlign w:val="bottom"/>
            <w:hideMark/>
          </w:tcPr>
          <w:p w14:paraId="0E12A54C" w14:textId="66BBD0B6"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0.003</w:t>
            </w:r>
          </w:p>
        </w:tc>
        <w:tc>
          <w:tcPr>
            <w:tcW w:w="992" w:type="dxa"/>
            <w:tcBorders>
              <w:top w:val="nil"/>
              <w:left w:val="nil"/>
              <w:bottom w:val="single" w:sz="4" w:space="0" w:color="auto"/>
              <w:right w:val="single" w:sz="4" w:space="0" w:color="auto"/>
            </w:tcBorders>
            <w:shd w:val="clear" w:color="auto" w:fill="auto"/>
            <w:noWrap/>
            <w:vAlign w:val="bottom"/>
            <w:hideMark/>
          </w:tcPr>
          <w:p w14:paraId="7C5C1305"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46,920</w:t>
            </w:r>
          </w:p>
        </w:tc>
        <w:tc>
          <w:tcPr>
            <w:tcW w:w="845" w:type="dxa"/>
            <w:tcBorders>
              <w:top w:val="nil"/>
              <w:left w:val="nil"/>
              <w:bottom w:val="single" w:sz="4" w:space="0" w:color="auto"/>
              <w:right w:val="single" w:sz="4" w:space="0" w:color="auto"/>
            </w:tcBorders>
            <w:shd w:val="clear" w:color="auto" w:fill="auto"/>
            <w:noWrap/>
            <w:vAlign w:val="bottom"/>
            <w:hideMark/>
          </w:tcPr>
          <w:p w14:paraId="7352B2C8"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1,392</w:t>
            </w:r>
          </w:p>
        </w:tc>
      </w:tr>
      <w:tr w:rsidR="00C376D3" w:rsidRPr="00C376D3" w14:paraId="49BCB4FB" w14:textId="77777777" w:rsidTr="000D28ED">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14:paraId="3DF251B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HH14-897-GC-MF 133-136cm</w:t>
            </w:r>
          </w:p>
        </w:tc>
        <w:tc>
          <w:tcPr>
            <w:tcW w:w="1740" w:type="dxa"/>
            <w:tcBorders>
              <w:top w:val="nil"/>
              <w:left w:val="nil"/>
              <w:bottom w:val="single" w:sz="4" w:space="0" w:color="auto"/>
              <w:right w:val="single" w:sz="4" w:space="0" w:color="auto"/>
            </w:tcBorders>
            <w:shd w:val="clear" w:color="auto" w:fill="auto"/>
            <w:noWrap/>
            <w:vAlign w:val="bottom"/>
            <w:hideMark/>
          </w:tcPr>
          <w:p w14:paraId="14357668" w14:textId="77777777" w:rsidR="00C376D3" w:rsidRPr="00C376D3" w:rsidRDefault="00C376D3" w:rsidP="007D6426">
            <w:pPr>
              <w:spacing w:after="0" w:line="240" w:lineRule="auto"/>
              <w:jc w:val="both"/>
              <w:rPr>
                <w:rFonts w:ascii="Calibri" w:eastAsia="Times New Roman" w:hAnsi="Calibri" w:cs="Calibri"/>
                <w:sz w:val="20"/>
                <w:szCs w:val="20"/>
              </w:rPr>
            </w:pPr>
            <w:r w:rsidRPr="00185C7D">
              <w:rPr>
                <w:rFonts w:ascii="Calibri" w:eastAsia="Times New Roman" w:hAnsi="Calibri" w:cs="Calibri"/>
                <w:i/>
                <w:sz w:val="20"/>
                <w:szCs w:val="20"/>
              </w:rPr>
              <w:t>n</w:t>
            </w:r>
            <w:r w:rsidRPr="00C376D3">
              <w:rPr>
                <w:rFonts w:ascii="Calibri" w:eastAsia="Times New Roman" w:hAnsi="Calibri" w:cs="Calibri"/>
                <w:sz w:val="20"/>
                <w:szCs w:val="20"/>
              </w:rPr>
              <w:t>-C27+29+31</w:t>
            </w:r>
          </w:p>
        </w:tc>
        <w:tc>
          <w:tcPr>
            <w:tcW w:w="960" w:type="dxa"/>
            <w:tcBorders>
              <w:top w:val="nil"/>
              <w:left w:val="nil"/>
              <w:bottom w:val="single" w:sz="4" w:space="0" w:color="auto"/>
              <w:right w:val="single" w:sz="4" w:space="0" w:color="auto"/>
            </w:tcBorders>
            <w:shd w:val="clear" w:color="auto" w:fill="auto"/>
            <w:noWrap/>
            <w:vAlign w:val="bottom"/>
            <w:hideMark/>
          </w:tcPr>
          <w:p w14:paraId="620C2B9A" w14:textId="69586B2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0.02</w:t>
            </w:r>
            <w:r w:rsidR="00185C7D">
              <w:rPr>
                <w:rFonts w:ascii="Calibri" w:eastAsia="Times New Roman" w:hAnsi="Calibri" w:cs="Calibri"/>
                <w:sz w:val="20"/>
                <w:szCs w:val="20"/>
              </w:rPr>
              <w:t>7</w:t>
            </w:r>
          </w:p>
        </w:tc>
        <w:tc>
          <w:tcPr>
            <w:tcW w:w="863" w:type="dxa"/>
            <w:tcBorders>
              <w:top w:val="nil"/>
              <w:left w:val="nil"/>
              <w:bottom w:val="single" w:sz="4" w:space="0" w:color="auto"/>
              <w:right w:val="single" w:sz="4" w:space="0" w:color="auto"/>
            </w:tcBorders>
            <w:shd w:val="clear" w:color="auto" w:fill="auto"/>
            <w:noWrap/>
            <w:vAlign w:val="bottom"/>
            <w:hideMark/>
          </w:tcPr>
          <w:p w14:paraId="07F19927" w14:textId="00C6A6A4"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0.00</w:t>
            </w:r>
            <w:r w:rsidR="00185C7D">
              <w:rPr>
                <w:rFonts w:ascii="Calibri" w:eastAsia="Times New Roman" w:hAnsi="Calibri" w:cs="Calibri"/>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5A8D175A"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29,063</w:t>
            </w:r>
          </w:p>
        </w:tc>
        <w:tc>
          <w:tcPr>
            <w:tcW w:w="845" w:type="dxa"/>
            <w:tcBorders>
              <w:top w:val="nil"/>
              <w:left w:val="nil"/>
              <w:bottom w:val="single" w:sz="4" w:space="0" w:color="auto"/>
              <w:right w:val="single" w:sz="4" w:space="0" w:color="auto"/>
            </w:tcBorders>
            <w:shd w:val="clear" w:color="auto" w:fill="auto"/>
            <w:noWrap/>
            <w:vAlign w:val="bottom"/>
            <w:hideMark/>
          </w:tcPr>
          <w:p w14:paraId="71C5BBA6" w14:textId="77777777" w:rsidR="00C376D3" w:rsidRPr="00C376D3" w:rsidRDefault="00C376D3" w:rsidP="007D6426">
            <w:pPr>
              <w:spacing w:after="0" w:line="240" w:lineRule="auto"/>
              <w:jc w:val="both"/>
              <w:rPr>
                <w:rFonts w:ascii="Calibri" w:eastAsia="Times New Roman" w:hAnsi="Calibri" w:cs="Calibri"/>
                <w:sz w:val="20"/>
                <w:szCs w:val="20"/>
              </w:rPr>
            </w:pPr>
            <w:r w:rsidRPr="00C376D3">
              <w:rPr>
                <w:rFonts w:ascii="Calibri" w:eastAsia="Times New Roman" w:hAnsi="Calibri" w:cs="Calibri"/>
                <w:sz w:val="20"/>
                <w:szCs w:val="20"/>
              </w:rPr>
              <w:t>462</w:t>
            </w:r>
          </w:p>
        </w:tc>
      </w:tr>
    </w:tbl>
    <w:p w14:paraId="739B98F2" w14:textId="77777777" w:rsidR="007D6426" w:rsidRDefault="007D6426">
      <w:pPr>
        <w:rPr>
          <w:rFonts w:asciiTheme="majorHAnsi" w:eastAsiaTheme="majorEastAsia" w:hAnsiTheme="majorHAnsi" w:cstheme="majorBidi"/>
          <w:color w:val="2F5496" w:themeColor="accent1" w:themeShade="BF"/>
          <w:sz w:val="32"/>
          <w:szCs w:val="32"/>
        </w:rPr>
      </w:pPr>
      <w:r>
        <w:br w:type="page"/>
      </w:r>
    </w:p>
    <w:p w14:paraId="73515715" w14:textId="2224AA07" w:rsidR="00DC67CA" w:rsidRDefault="00D65C43" w:rsidP="007D6426">
      <w:pPr>
        <w:pStyle w:val="Heading1"/>
        <w:jc w:val="both"/>
      </w:pPr>
      <w:r>
        <w:lastRenderedPageBreak/>
        <w:t>Supplementary Figures</w:t>
      </w:r>
    </w:p>
    <w:p w14:paraId="3D29823E" w14:textId="6DD8334E" w:rsidR="0042425E" w:rsidRDefault="004706F6" w:rsidP="007D6426">
      <w:pPr>
        <w:pStyle w:val="Caption"/>
        <w:jc w:val="both"/>
        <w:rPr>
          <w:rFonts w:eastAsia="Times New Roman"/>
          <w:noProof/>
        </w:rPr>
      </w:pPr>
      <w:bookmarkStart w:id="1" w:name="_Ref109033979"/>
      <w:r>
        <w:t xml:space="preserve">Figure S </w:t>
      </w:r>
      <w:fldSimple w:instr=" SEQ Figure_S \* ARABIC ">
        <w:r w:rsidR="00DD1C1E">
          <w:rPr>
            <w:noProof/>
          </w:rPr>
          <w:t>1</w:t>
        </w:r>
      </w:fldSimple>
      <w:bookmarkEnd w:id="1"/>
      <w:r>
        <w:t xml:space="preserve">: </w:t>
      </w:r>
      <w:r w:rsidR="00B46FBD">
        <w:t>Intact polar lipid distribution of the radiocarbon dated polar fraction with depth in the three analyzed cores. BL- betaine lipids, PE- phosphatidylethanolamine, PME- phosphatidyl-(N)-</w:t>
      </w:r>
      <w:proofErr w:type="spellStart"/>
      <w:r w:rsidR="00B46FBD">
        <w:t>monomethylethanolamine</w:t>
      </w:r>
      <w:proofErr w:type="spellEnd"/>
      <w:r w:rsidR="00B46FBD">
        <w:t>, PDME- phosphatidyl-(</w:t>
      </w:r>
      <w:proofErr w:type="gramStart"/>
      <w:r w:rsidR="00B46FBD">
        <w:t>N,N</w:t>
      </w:r>
      <w:proofErr w:type="gramEnd"/>
      <w:r w:rsidR="00B46FBD">
        <w:t xml:space="preserve">)-dimethylethanolamine (PDME), PC- phosphatidylcholine, PG- phosphatidylglycerol, DPG- </w:t>
      </w:r>
      <w:proofErr w:type="spellStart"/>
      <w:r w:rsidR="00B46FBD">
        <w:t>diphosphatidylglycerol</w:t>
      </w:r>
      <w:proofErr w:type="spellEnd"/>
      <w:r w:rsidR="00B46FBD">
        <w:t>.</w:t>
      </w:r>
      <w:r w:rsidR="006079CE" w:rsidRPr="006079CE">
        <w:rPr>
          <w:rFonts w:eastAsia="Times New Roman"/>
          <w:noProof/>
        </w:rPr>
        <w:t xml:space="preserve"> </w:t>
      </w:r>
    </w:p>
    <w:p w14:paraId="7999F87E" w14:textId="22D6778A" w:rsidR="004706F6" w:rsidRDefault="006079CE" w:rsidP="007D6426">
      <w:pPr>
        <w:pStyle w:val="Caption"/>
        <w:jc w:val="both"/>
      </w:pPr>
      <w:r>
        <w:rPr>
          <w:rFonts w:eastAsia="Times New Roman"/>
          <w:noProof/>
        </w:rPr>
        <w:drawing>
          <wp:inline distT="0" distB="0" distL="0" distR="0" wp14:anchorId="7F405097" wp14:editId="4EC2811E">
            <wp:extent cx="5923475" cy="3401568"/>
            <wp:effectExtent l="0" t="0" r="1270" b="8890"/>
            <wp:docPr id="2" name="Picture 2" descr="cid:02F4B8A2-19B3-480C-8485-5F435C1750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6DBFA4-FD50-4582-AC8A-E28FFD36BDB0" descr="cid:02F4B8A2-19B3-480C-8485-5F435C17502E"/>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5952353" cy="3418151"/>
                    </a:xfrm>
                    <a:prstGeom prst="rect">
                      <a:avLst/>
                    </a:prstGeom>
                    <a:noFill/>
                    <a:ln>
                      <a:noFill/>
                    </a:ln>
                  </pic:spPr>
                </pic:pic>
              </a:graphicData>
            </a:graphic>
          </wp:inline>
        </w:drawing>
      </w:r>
    </w:p>
    <w:p w14:paraId="1692888B" w14:textId="77777777" w:rsidR="007D6426" w:rsidRDefault="007D6426">
      <w:pPr>
        <w:rPr>
          <w:i/>
          <w:iCs/>
          <w:color w:val="44546A" w:themeColor="text2"/>
          <w:sz w:val="18"/>
          <w:szCs w:val="18"/>
        </w:rPr>
      </w:pPr>
      <w:bookmarkStart w:id="2" w:name="_Ref109033998"/>
      <w:r>
        <w:br w:type="page"/>
      </w:r>
    </w:p>
    <w:p w14:paraId="614EEC33" w14:textId="6A2D40F9" w:rsidR="006079CE" w:rsidRDefault="003E3038" w:rsidP="007D6426">
      <w:pPr>
        <w:pStyle w:val="Caption"/>
        <w:keepNext/>
        <w:jc w:val="both"/>
      </w:pPr>
      <w:bookmarkStart w:id="3" w:name="_Ref111197996"/>
      <w:r>
        <w:lastRenderedPageBreak/>
        <w:t xml:space="preserve">Figure S </w:t>
      </w:r>
      <w:fldSimple w:instr=" SEQ Figure_S \* ARABIC ">
        <w:r w:rsidR="00DD1C1E">
          <w:rPr>
            <w:noProof/>
          </w:rPr>
          <w:t>2</w:t>
        </w:r>
      </w:fldSimple>
      <w:bookmarkEnd w:id="2"/>
      <w:bookmarkEnd w:id="3"/>
      <w:r>
        <w:t xml:space="preserve">: </w:t>
      </w:r>
      <w:r w:rsidR="00B46FBD">
        <w:t>a) Representative HPLC-MS chromatograms for the investigated sites depicted as heat maps showing the elution order of the detected phospholipids and amino lipids (zoom-in to retention time 6 to 12 min and m/z 550 to 1450) (for abbreviations see figure S 1). b) Distribution of molecular ions in the MS1 in positive mode with the corresponding combined fatty acid chain length for betaine lipids and the most abundant phospholipids. c) Representative negative mode MS2 fragmentation patterns of betaine lipids and phospholipids marked in bold in panel b) showing the presence of the radiocarbon dated C16:1 and C15:0 fatty acids in all of the polar lipids</w:t>
      </w:r>
      <w:r w:rsidR="00FE61A7">
        <w:t>.</w:t>
      </w:r>
    </w:p>
    <w:p w14:paraId="1324B04B" w14:textId="71B91E27" w:rsidR="003E3038" w:rsidRDefault="00B46FBD" w:rsidP="007D6426">
      <w:pPr>
        <w:pStyle w:val="Caption"/>
        <w:keepNext/>
        <w:jc w:val="both"/>
      </w:pPr>
      <w:r>
        <w:rPr>
          <w:noProof/>
        </w:rPr>
        <w:drawing>
          <wp:inline distT="0" distB="0" distL="0" distR="0" wp14:anchorId="49865E3D" wp14:editId="164ED715">
            <wp:extent cx="5306992" cy="6633741"/>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06992" cy="6633741"/>
                    </a:xfrm>
                    <a:prstGeom prst="rect">
                      <a:avLst/>
                    </a:prstGeom>
                    <a:noFill/>
                    <a:ln>
                      <a:noFill/>
                    </a:ln>
                  </pic:spPr>
                </pic:pic>
              </a:graphicData>
            </a:graphic>
          </wp:inline>
        </w:drawing>
      </w:r>
    </w:p>
    <w:p w14:paraId="65C6BC58" w14:textId="77777777" w:rsidR="0042425E" w:rsidRPr="0042425E" w:rsidRDefault="0042425E" w:rsidP="007D6426">
      <w:pPr>
        <w:jc w:val="both"/>
      </w:pPr>
    </w:p>
    <w:p w14:paraId="6AA20D60" w14:textId="5A67A8CE" w:rsidR="0042425E" w:rsidRDefault="00451EE6" w:rsidP="007D6426">
      <w:pPr>
        <w:pStyle w:val="Caption"/>
        <w:keepNext/>
        <w:jc w:val="both"/>
      </w:pPr>
      <w:bookmarkStart w:id="4" w:name="_Ref109034018"/>
      <w:r>
        <w:lastRenderedPageBreak/>
        <w:t xml:space="preserve">Figure S </w:t>
      </w:r>
      <w:fldSimple w:instr=" SEQ Figure_S \* ARABIC ">
        <w:r w:rsidR="00DD1C1E">
          <w:rPr>
            <w:noProof/>
          </w:rPr>
          <w:t>3</w:t>
        </w:r>
      </w:fldSimple>
      <w:bookmarkEnd w:id="4"/>
      <w:r>
        <w:t xml:space="preserve">: </w:t>
      </w:r>
      <w:r w:rsidR="00DB1E1C">
        <w:t>Ch</w:t>
      </w:r>
      <w:r w:rsidR="00B03029">
        <w:t>romatograms for c</w:t>
      </w:r>
      <w:r w:rsidR="00BE3AA6">
        <w:t>haracteristic</w:t>
      </w:r>
      <w:r w:rsidR="00B03029">
        <w:t xml:space="preserve"> alkane distributions th</w:t>
      </w:r>
      <w:r w:rsidR="00AA2388">
        <w:t>r</w:t>
      </w:r>
      <w:r w:rsidR="00B03029">
        <w:t>oughout the three cores</w:t>
      </w:r>
      <w:r w:rsidR="004257B9">
        <w:t xml:space="preserve"> displaying carbon preference index (CPI) values</w:t>
      </w:r>
      <w:r w:rsidR="00B941DC">
        <w:t xml:space="preserve"> which</w:t>
      </w:r>
      <w:r w:rsidR="004257B9">
        <w:t xml:space="preserve"> indicate high (thermal) maturity (close to 1)</w:t>
      </w:r>
      <w:r w:rsidR="00B03029">
        <w:t>. The chromatograms</w:t>
      </w:r>
      <w:r w:rsidR="00AA2388">
        <w:t xml:space="preserve"> shown here </w:t>
      </w:r>
      <w:r w:rsidR="00B03029">
        <w:t>display the radiocarbon dated n-alkanes of the three depth intervals of sediment core HH14-8</w:t>
      </w:r>
      <w:r w:rsidR="005C1220">
        <w:t>9</w:t>
      </w:r>
      <w:r w:rsidR="00B03029">
        <w:t>7-GC-MF.</w:t>
      </w:r>
      <w:r w:rsidR="00695A22">
        <w:t xml:space="preserve"> </w:t>
      </w:r>
    </w:p>
    <w:p w14:paraId="5279FDC3" w14:textId="699DED36" w:rsidR="00451EE6" w:rsidRDefault="00BE3AA6" w:rsidP="007D6426">
      <w:pPr>
        <w:pStyle w:val="Caption"/>
        <w:keepNext/>
        <w:jc w:val="both"/>
      </w:pPr>
      <w:r>
        <w:rPr>
          <w:noProof/>
        </w:rPr>
        <w:drawing>
          <wp:inline distT="0" distB="0" distL="0" distR="0" wp14:anchorId="50A3B9A9" wp14:editId="41ED8D05">
            <wp:extent cx="5943600" cy="36422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642226"/>
                    </a:xfrm>
                    <a:prstGeom prst="rect">
                      <a:avLst/>
                    </a:prstGeom>
                    <a:noFill/>
                    <a:ln>
                      <a:noFill/>
                    </a:ln>
                  </pic:spPr>
                </pic:pic>
              </a:graphicData>
            </a:graphic>
          </wp:inline>
        </w:drawing>
      </w:r>
    </w:p>
    <w:p w14:paraId="7229EC76" w14:textId="77777777" w:rsidR="007D6426" w:rsidRDefault="007D6426">
      <w:pPr>
        <w:rPr>
          <w:i/>
          <w:iCs/>
          <w:color w:val="44546A" w:themeColor="text2"/>
          <w:sz w:val="18"/>
          <w:szCs w:val="18"/>
        </w:rPr>
      </w:pPr>
      <w:bookmarkStart w:id="5" w:name="_Ref109034636"/>
      <w:r>
        <w:br w:type="page"/>
      </w:r>
    </w:p>
    <w:p w14:paraId="0EFBB120" w14:textId="34822D9A" w:rsidR="0042425E" w:rsidRDefault="006079CE" w:rsidP="007D6426">
      <w:pPr>
        <w:pStyle w:val="Caption"/>
        <w:jc w:val="both"/>
      </w:pPr>
      <w:bookmarkStart w:id="6" w:name="_Ref111198029"/>
      <w:r>
        <w:lastRenderedPageBreak/>
        <w:t xml:space="preserve">Figure S </w:t>
      </w:r>
      <w:fldSimple w:instr=" SEQ Figure_S \* ARABIC ">
        <w:r w:rsidR="00DD1C1E">
          <w:rPr>
            <w:noProof/>
          </w:rPr>
          <w:t>4</w:t>
        </w:r>
      </w:fldSimple>
      <w:bookmarkEnd w:id="5"/>
      <w:bookmarkEnd w:id="6"/>
      <w:r>
        <w:t xml:space="preserve">: </w:t>
      </w:r>
      <w:r w:rsidR="00CC0678">
        <w:rPr>
          <w:rFonts w:cstheme="minorHAnsi"/>
        </w:rPr>
        <w:t xml:space="preserve">Short-lived radionuclides measurements, and age depth model for </w:t>
      </w:r>
      <w:r w:rsidR="00CC0678">
        <w:t xml:space="preserve">He519_2-3 </w:t>
      </w:r>
      <w:r w:rsidR="00CC0678">
        <w:rPr>
          <w:rFonts w:cstheme="minorHAnsi"/>
        </w:rPr>
        <w:t xml:space="preserve">core. From left to right: </w:t>
      </w:r>
      <w:r w:rsidR="00CC0678">
        <w:rPr>
          <w:rFonts w:cstheme="minorHAnsi"/>
          <w:vertAlign w:val="superscript"/>
        </w:rPr>
        <w:t>210</w:t>
      </w:r>
      <w:r w:rsidR="00CC0678">
        <w:rPr>
          <w:rFonts w:cstheme="minorHAnsi"/>
        </w:rPr>
        <w:t>Pb</w:t>
      </w:r>
      <w:r w:rsidR="00CC0678">
        <w:rPr>
          <w:rFonts w:cstheme="minorHAnsi"/>
          <w:vertAlign w:val="subscript"/>
        </w:rPr>
        <w:t>ex</w:t>
      </w:r>
      <w:r w:rsidR="00CC0678">
        <w:rPr>
          <w:rFonts w:cstheme="minorHAnsi"/>
        </w:rPr>
        <w:t xml:space="preserve"> (semilogarithmic plot of excess </w:t>
      </w:r>
      <w:r w:rsidR="00CC0678">
        <w:rPr>
          <w:rFonts w:cstheme="minorHAnsi"/>
          <w:vertAlign w:val="superscript"/>
        </w:rPr>
        <w:t>210</w:t>
      </w:r>
      <w:r w:rsidR="00CC0678">
        <w:rPr>
          <w:rFonts w:cstheme="minorHAnsi"/>
        </w:rPr>
        <w:t xml:space="preserve">Pb), </w:t>
      </w:r>
      <w:r w:rsidR="00CC0678">
        <w:rPr>
          <w:rFonts w:cstheme="minorHAnsi"/>
          <w:vertAlign w:val="superscript"/>
        </w:rPr>
        <w:t>137</w:t>
      </w:r>
      <w:r w:rsidR="00CC0678">
        <w:rPr>
          <w:rFonts w:cstheme="minorHAnsi"/>
        </w:rPr>
        <w:t>Cs, the CFCS (constant flux constant sedimentation rate)</w:t>
      </w:r>
      <w:r w:rsidR="00B941DC">
        <w:rPr>
          <w:rFonts w:cstheme="minorHAnsi"/>
        </w:rPr>
        <w:t>,</w:t>
      </w:r>
      <w:r w:rsidR="00CC0678">
        <w:rPr>
          <w:rFonts w:cstheme="minorHAnsi"/>
        </w:rPr>
        <w:t xml:space="preserve"> and CRS (constant rate of supply) age models. SAR – sediment accumulation rate calculated with CFCS model, C 1986 – Chernobyl Nuclear Power Plant disaster in 1986. The surface mixed layer (SML) is in light gray (top 60 mm). The vertical error bars refer to analyzed sediment sample thickness, while the horizontal bars depict 2-sigma uncertainty. The figure was </w:t>
      </w:r>
      <w:r w:rsidR="00DB1E1C">
        <w:rPr>
          <w:rFonts w:cstheme="minorHAnsi"/>
        </w:rPr>
        <w:t>created</w:t>
      </w:r>
      <w:r w:rsidR="00CC0678">
        <w:rPr>
          <w:rFonts w:cstheme="minorHAnsi"/>
        </w:rPr>
        <w:t xml:space="preserve"> in serac R package</w:t>
      </w:r>
      <w:r w:rsidR="00CC0678">
        <w:rPr>
          <w:rFonts w:cstheme="minorHAnsi"/>
        </w:rPr>
        <w:fldChar w:fldCharType="begin" w:fldLock="1"/>
      </w:r>
      <w:r w:rsidR="00CC0678">
        <w:rPr>
          <w:rFonts w:cstheme="minorHAnsi"/>
        </w:rPr>
        <w:instrText>ADDIN CSL_CITATION {"citationItems":[{"id":"ITEM-1","itemData":{"DOI":"10.1016/J.JENVRAD.2020.106449","ISSN":"0265-931X","PMID":"33120029","abstract":"Short-lived radionuclides are measured in surface sediment to provide a geochronology for the past century. Age-depth models are produced from 210Pbex activity-derived sedimentation rates and corroborated by known events, such as 137Cs and 241Am activities that are result of fallout from nuclear weapon tests and the Chernobyl accident. Different methods of age depth modelling using such data require expertise in lake sedimentation processes. Here, we present a package, serac, that allows the user to compute an age-depth model and generate a graph, the age-depth correspondence in a text file, and metadata, using the free open-source statistical software R. serac ensures the reproducibility of age-depth or age-mass depth models and allows testing of several 210Pbex models (CFCS, CIC, CRS, CRS piecewise) and sedimentation hypotheses (changes in sedimentation rates, presence of instantaneous deposits, varved sedimentation, etc.). Using several case studies, including lakes and lagoon in different environments, we demonstrate the use of the program in diverse situations that may be encountered. The rising number of sediment cores in recent palaeo studies and the need to correlate them require reproducible methods. serac is a user-friendly code that enables age model computation for the past century and encourages the standardisation of outputs.","author":[{"dropping-particle":"","family":"Bruel","given":"Rosalie","non-dropping-particle":"","parse-names":false,"suffix":""},{"dropping-particle":"","family":"Sabatier","given":"Pierre","non-dropping-particle":"","parse-names":false,"suffix":""}],"container-title":"Journal of Environmental Radioactivity","id":"ITEM-1","issued":{"date-parts":[["2020","12","1"]]},"page":"106449","publisher":"Elsevier","title":"serac: an R package for ShortlivEd RAdionuclide chronology of recent sediment cores","type":"article-journal","volume":"225"},"uris":["http://www.mendeley.com/documents/?uuid=927d293b-6379-369a-a02d-aeab8c5cddd4"]}],"mendeley":{"formattedCitation":"&lt;sup&gt;7&lt;/sup&gt;","plainTextFormattedCitation":"7"},"properties":{"noteIndex":0},"schema":"https://github.com/citation-style-language/schema/raw/master/csl-citation.json"}</w:instrText>
      </w:r>
      <w:r w:rsidR="00CC0678">
        <w:rPr>
          <w:rFonts w:cstheme="minorHAnsi"/>
        </w:rPr>
        <w:fldChar w:fldCharType="separate"/>
      </w:r>
      <w:r w:rsidR="00CC0678" w:rsidRPr="00CC0678">
        <w:rPr>
          <w:rFonts w:cstheme="minorHAnsi"/>
          <w:i w:val="0"/>
          <w:noProof/>
          <w:vertAlign w:val="superscript"/>
        </w:rPr>
        <w:t>7</w:t>
      </w:r>
      <w:r w:rsidR="00CC0678">
        <w:rPr>
          <w:rFonts w:cstheme="minorHAnsi"/>
        </w:rPr>
        <w:fldChar w:fldCharType="end"/>
      </w:r>
      <w:r>
        <w:t>.</w:t>
      </w:r>
    </w:p>
    <w:p w14:paraId="28A22416" w14:textId="3E5CF3A4" w:rsidR="006079CE" w:rsidRDefault="006079CE" w:rsidP="007D6426">
      <w:pPr>
        <w:pStyle w:val="Caption"/>
        <w:jc w:val="both"/>
      </w:pPr>
      <w:r>
        <w:rPr>
          <w:noProof/>
        </w:rPr>
        <w:drawing>
          <wp:inline distT="0" distB="0" distL="0" distR="0" wp14:anchorId="4B4E0A5D" wp14:editId="0BF072D2">
            <wp:extent cx="4818937" cy="3727468"/>
            <wp:effectExtent l="0" t="0" r="127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28114" cy="3734566"/>
                    </a:xfrm>
                    <a:prstGeom prst="rect">
                      <a:avLst/>
                    </a:prstGeom>
                    <a:noFill/>
                    <a:ln>
                      <a:noFill/>
                    </a:ln>
                  </pic:spPr>
                </pic:pic>
              </a:graphicData>
            </a:graphic>
          </wp:inline>
        </w:drawing>
      </w:r>
    </w:p>
    <w:p w14:paraId="710688F5" w14:textId="77777777" w:rsidR="007D6426" w:rsidRDefault="007D6426">
      <w:pPr>
        <w:rPr>
          <w:i/>
          <w:iCs/>
          <w:color w:val="44546A" w:themeColor="text2"/>
          <w:sz w:val="18"/>
          <w:szCs w:val="18"/>
        </w:rPr>
      </w:pPr>
      <w:bookmarkStart w:id="7" w:name="_Ref109034646"/>
      <w:r>
        <w:br w:type="page"/>
      </w:r>
    </w:p>
    <w:p w14:paraId="5C0A2671" w14:textId="2406337A" w:rsidR="006079CE" w:rsidRDefault="006079CE" w:rsidP="007D6426">
      <w:pPr>
        <w:pStyle w:val="Caption"/>
        <w:jc w:val="both"/>
      </w:pPr>
      <w:bookmarkStart w:id="8" w:name="_Ref111198046"/>
      <w:r>
        <w:lastRenderedPageBreak/>
        <w:t xml:space="preserve">Figure S </w:t>
      </w:r>
      <w:fldSimple w:instr=" SEQ Figure_S \* ARABIC ">
        <w:r w:rsidR="00DD1C1E">
          <w:rPr>
            <w:noProof/>
          </w:rPr>
          <w:t>5</w:t>
        </w:r>
      </w:fldSimple>
      <w:bookmarkEnd w:id="7"/>
      <w:bookmarkEnd w:id="8"/>
      <w:r>
        <w:t>:</w:t>
      </w:r>
      <w:r w:rsidR="00D859A4">
        <w:t xml:space="preserve"> </w:t>
      </w:r>
      <w:r w:rsidR="00D859A4">
        <w:rPr>
          <w:rFonts w:cstheme="minorHAnsi"/>
        </w:rPr>
        <w:t xml:space="preserve">Short-lived radionuclides measurements and age depth model for </w:t>
      </w:r>
      <w:r w:rsidR="00D859A4">
        <w:t>HH14-897-GC-MF</w:t>
      </w:r>
      <w:r w:rsidR="00D859A4">
        <w:rPr>
          <w:rFonts w:cstheme="minorHAnsi"/>
        </w:rPr>
        <w:t xml:space="preserve"> core. From left to right: </w:t>
      </w:r>
      <w:r w:rsidR="00D859A4">
        <w:rPr>
          <w:rFonts w:cstheme="minorHAnsi"/>
          <w:vertAlign w:val="superscript"/>
        </w:rPr>
        <w:t>210</w:t>
      </w:r>
      <w:r w:rsidR="00D859A4">
        <w:rPr>
          <w:rFonts w:cstheme="minorHAnsi"/>
        </w:rPr>
        <w:t>Pb</w:t>
      </w:r>
      <w:r w:rsidR="00D859A4">
        <w:rPr>
          <w:rFonts w:cstheme="minorHAnsi"/>
          <w:vertAlign w:val="subscript"/>
        </w:rPr>
        <w:t>ex</w:t>
      </w:r>
      <w:r w:rsidR="00D859A4">
        <w:rPr>
          <w:rFonts w:cstheme="minorHAnsi"/>
        </w:rPr>
        <w:t xml:space="preserve"> (semilogarithmic plot of excess </w:t>
      </w:r>
      <w:r w:rsidR="00D859A4">
        <w:rPr>
          <w:rFonts w:cstheme="minorHAnsi"/>
          <w:vertAlign w:val="superscript"/>
        </w:rPr>
        <w:t>210</w:t>
      </w:r>
      <w:r w:rsidR="00D859A4">
        <w:rPr>
          <w:rFonts w:cstheme="minorHAnsi"/>
        </w:rPr>
        <w:t xml:space="preserve">Pb), </w:t>
      </w:r>
      <w:r w:rsidR="00D859A4">
        <w:rPr>
          <w:rFonts w:cstheme="minorHAnsi"/>
          <w:vertAlign w:val="superscript"/>
        </w:rPr>
        <w:t>137</w:t>
      </w:r>
      <w:r w:rsidR="00D859A4">
        <w:rPr>
          <w:rFonts w:cstheme="minorHAnsi"/>
        </w:rPr>
        <w:t>Cs, and the CFCS (constant flux constant sedimentation rate) with assumption of two periods of various accumulation rate, and CIC (constant initial concentration) age model. SAR – sediment accumulation rate calculated with CFCS model, C 1986 – Chernobyl Nuclear Power Plant disaster in 1986, NWT 1963 – Nuclear Weapon Tests fallout maximum in 1963. The coring site was deglaciated after 1920</w:t>
      </w:r>
      <w:r w:rsidR="00D859A4">
        <w:rPr>
          <w:rFonts w:cstheme="minorHAnsi"/>
        </w:rPr>
        <w:fldChar w:fldCharType="begin" w:fldLock="1"/>
      </w:r>
      <w:r w:rsidR="00CC0678">
        <w:rPr>
          <w:rFonts w:cstheme="minorHAnsi"/>
        </w:rPr>
        <w:instrText>ADDIN CSL_CITATION {"citationItems":[{"id":"ITEM-1","itemData":{"DOI":"10.2478/popore-2013-0024","ISBN":"2081-8262\r0138-0338","abstract":"Significant retreat of glaciers terminating in Hornsund Fjord (Southern Spits− bergen, Svalbard) has been observed during the 20th century and in the first decade of the 21st century. The objective of this paper is to present, as complete as possible, a record of front positions changes of 14 tidewater glaciers during this period and to distinguish the main factors influencing their fluctuations. Results are based on a GIS analysis of archival maps, field measurements, and aerial and satellite images. Accuracy was based on an as− sessment of seasonal fluctuations of a glacier’s ice cliff position with respect to its mini− mum length in winter (November–December) and its maximum advance position in June or July. Morphometric features and the environmental setting of each glacier are also pre− sented. The total area of the glacier cover in Hornsund Fjord in the period of 1899–2010 diminished approximately 172 km2, with an average areal retreat rate of 1.6 km2a−1. The recession rate increased from ~1 km2a−1 in first decades of the 20th century up to ~3 km2a−1 in years 2001–2010. The latest period was more thoroughly studied using optical satellite images acquired almost every year. The importance of glacier morphology and hypso− metry, as well as fjord bathymetry and topography is analyzed. Large glacier systems with low slopes terminating in deeper waters are retreating faster than small steep glaciers ter− minating in shallower water. A relation between mean annual air temperature and aerial retreat rate of tidewater glaciers was found for long time scales. A sudden temperature in− crease, known as the early 20th century warming in Svalbard, and an increase in tempera− tures during recent decades are well reflected in deglaciation rate. Influence of sea water temperatures on calving and retreat of glaciers was considered and is significant in short−time intervals of the last decade. Surge events are non−climatic factors which com− plicate the record. They are reflected in front advance or fast retreat due to a massive calv− ing depending on the relation between ice thickness and water depth. Despite the influ− ence of many factors, the response of tidewater glaciers to climate change is evident. The average linear retreat rate of all the tidewater glaciers in Hornsund amounted to ~70 ma−1 in 2001–2010 and was higher than the average retreat of other Svalbard tidewater glaciers (~45 ma−1). Thus, glaciers of this basin can be considered as more sensitive t…","author":[{"dropping-particle":"","family":"Błaszczyk","given":"Małgorzata","non-dropping-particle":"","parse-names":false,"suffix":""},{"dropping-particle":"","family":"Jania","given":"Jacek A","non-dropping-particle":"","parse-names":false,"suffix":""},{"dropping-particle":"","family":"Kolondra","given":"Leszek","non-dropping-particle":"","parse-names":false,"suffix":""}],"chapter-number":"327","container-title":"Polish Polar Research","id":"ITEM-1","issue":"4","issued":{"date-parts":[["2013"]]},"language":"en","page":"327-352","title":"Fluctuations of tidewater glaciers in Hornsund Fjord (Southern Svalbard) since the beginning of the 20th century","type":"article-journal","volume":"34"},"uris":["http://www.mendeley.com/documents/?uuid=31b5154d-4dce-4c18-9220-5c962412b62a"]}],"mendeley":{"formattedCitation":"&lt;sup&gt;8&lt;/sup&gt;","plainTextFormattedCitation":"8","previouslyFormattedCitation":"&lt;sup&gt;7&lt;/sup&gt;"},"properties":{"noteIndex":0},"schema":"https://github.com/citation-style-language/schema/raw/master/csl-citation.json"}</w:instrText>
      </w:r>
      <w:r w:rsidR="00D859A4">
        <w:rPr>
          <w:rFonts w:cstheme="minorHAnsi"/>
        </w:rPr>
        <w:fldChar w:fldCharType="separate"/>
      </w:r>
      <w:r w:rsidR="00CC0678" w:rsidRPr="00CC0678">
        <w:rPr>
          <w:rFonts w:cstheme="minorHAnsi"/>
          <w:i w:val="0"/>
          <w:noProof/>
          <w:vertAlign w:val="superscript"/>
        </w:rPr>
        <w:t>8</w:t>
      </w:r>
      <w:r w:rsidR="00D859A4">
        <w:rPr>
          <w:rFonts w:cstheme="minorHAnsi"/>
        </w:rPr>
        <w:fldChar w:fldCharType="end"/>
      </w:r>
      <w:r w:rsidR="00D859A4">
        <w:rPr>
          <w:rFonts w:cstheme="minorHAnsi"/>
        </w:rPr>
        <w:t xml:space="preserve">. The vertical error bars refer to </w:t>
      </w:r>
      <w:r w:rsidR="00CC0678">
        <w:rPr>
          <w:rFonts w:cstheme="minorHAnsi"/>
        </w:rPr>
        <w:t>analyzed</w:t>
      </w:r>
      <w:r w:rsidR="00D859A4">
        <w:rPr>
          <w:rFonts w:cstheme="minorHAnsi"/>
        </w:rPr>
        <w:t xml:space="preserve"> sediment sample thickness, while the horizontal bars depict 2-sigma uncertainty. The figure was </w:t>
      </w:r>
      <w:r w:rsidR="00DB1E1C">
        <w:rPr>
          <w:rFonts w:cstheme="minorHAnsi"/>
        </w:rPr>
        <w:t>created</w:t>
      </w:r>
      <w:r w:rsidR="00D859A4">
        <w:rPr>
          <w:rFonts w:cstheme="minorHAnsi"/>
        </w:rPr>
        <w:t xml:space="preserve"> in serac R package</w:t>
      </w:r>
      <w:r w:rsidR="00D859A4">
        <w:rPr>
          <w:rFonts w:cstheme="minorHAnsi"/>
        </w:rPr>
        <w:fldChar w:fldCharType="begin" w:fldLock="1"/>
      </w:r>
      <w:r w:rsidR="00CC0678">
        <w:rPr>
          <w:rFonts w:cstheme="minorHAnsi"/>
        </w:rPr>
        <w:instrText>ADDIN CSL_CITATION {"citationItems":[{"id":"ITEM-1","itemData":{"DOI":"10.1016/J.JENVRAD.2020.106449","ISSN":"0265-931X","PMID":"33120029","abstract":"Short-lived radionuclides are measured in surface sediment to provide a geochronology for the past century. Age-depth models are produced from 210Pbex activity-derived sedimentation rates and corroborated by known events, such as 137Cs and 241Am activities that are result of fallout from nuclear weapon tests and the Chernobyl accident. Different methods of age depth modelling using such data require expertise in lake sedimentation processes. Here, we present a package, serac, that allows the user to compute an age-depth model and generate a graph, the age-depth correspondence in a text file, and metadata, using the free open-source statistical software R. serac ensures the reproducibility of age-depth or age-mass depth models and allows testing of several 210Pbex models (CFCS, CIC, CRS, CRS piecewise) and sedimentation hypotheses (changes in sedimentation rates, presence of instantaneous deposits, varved sedimentation, etc.). Using several case studies, including lakes and lagoon in different environments, we demonstrate the use of the program in diverse situations that may be encountered. The rising number of sediment cores in recent palaeo studies and the need to correlate them require reproducible methods. serac is a user-friendly code that enables age model computation for the past century and encourages the standardisation of outputs.","author":[{"dropping-particle":"","family":"Bruel","given":"Rosalie","non-dropping-particle":"","parse-names":false,"suffix":""},{"dropping-particle":"","family":"Sabatier","given":"Pierre","non-dropping-particle":"","parse-names":false,"suffix":""}],"container-title":"Journal of Environmental Radioactivity","id":"ITEM-1","issued":{"date-parts":[["2020","12","1"]]},"page":"106449","publisher":"Elsevier","title":"serac: an R package for ShortlivEd RAdionuclide chronology of recent sediment cores","type":"article-journal","volume":"225"},"uris":["http://www.mendeley.com/documents/?uuid=927d293b-6379-369a-a02d-aeab8c5cddd4"]}],"mendeley":{"formattedCitation":"&lt;sup&gt;7&lt;/sup&gt;","plainTextFormattedCitation":"7","previouslyFormattedCitation":"&lt;sup&gt;8&lt;/sup&gt;"},"properties":{"noteIndex":0},"schema":"https://github.com/citation-style-language/schema/raw/master/csl-citation.json"}</w:instrText>
      </w:r>
      <w:r w:rsidR="00D859A4">
        <w:rPr>
          <w:rFonts w:cstheme="minorHAnsi"/>
        </w:rPr>
        <w:fldChar w:fldCharType="separate"/>
      </w:r>
      <w:r w:rsidR="00CC0678" w:rsidRPr="00CC0678">
        <w:rPr>
          <w:rFonts w:cstheme="minorHAnsi"/>
          <w:i w:val="0"/>
          <w:noProof/>
          <w:vertAlign w:val="superscript"/>
        </w:rPr>
        <w:t>7</w:t>
      </w:r>
      <w:r w:rsidR="00D859A4">
        <w:rPr>
          <w:rFonts w:cstheme="minorHAnsi"/>
        </w:rPr>
        <w:fldChar w:fldCharType="end"/>
      </w:r>
      <w:r w:rsidR="00D859A4">
        <w:rPr>
          <w:rFonts w:cstheme="minorHAnsi"/>
        </w:rPr>
        <w:t>.</w:t>
      </w:r>
    </w:p>
    <w:p w14:paraId="1EA592F8" w14:textId="3DCA1D4E" w:rsidR="009F3200" w:rsidRDefault="009F3200" w:rsidP="007D6426">
      <w:pPr>
        <w:pStyle w:val="Caption"/>
        <w:jc w:val="both"/>
      </w:pPr>
      <w:r>
        <w:rPr>
          <w:noProof/>
        </w:rPr>
        <w:drawing>
          <wp:inline distT="0" distB="0" distL="0" distR="0" wp14:anchorId="11466D20" wp14:editId="4B6F5DD4">
            <wp:extent cx="4717457" cy="3623773"/>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36661" cy="3638525"/>
                    </a:xfrm>
                    <a:prstGeom prst="rect">
                      <a:avLst/>
                    </a:prstGeom>
                    <a:noFill/>
                    <a:ln>
                      <a:noFill/>
                    </a:ln>
                  </pic:spPr>
                </pic:pic>
              </a:graphicData>
            </a:graphic>
          </wp:inline>
        </w:drawing>
      </w:r>
    </w:p>
    <w:p w14:paraId="025616D6" w14:textId="77777777" w:rsidR="007D6426" w:rsidRDefault="007D6426">
      <w:pPr>
        <w:rPr>
          <w:i/>
          <w:iCs/>
          <w:color w:val="44546A" w:themeColor="text2"/>
          <w:sz w:val="18"/>
          <w:szCs w:val="18"/>
        </w:rPr>
      </w:pPr>
      <w:bookmarkStart w:id="9" w:name="_Ref109034653"/>
      <w:r>
        <w:br w:type="page"/>
      </w:r>
    </w:p>
    <w:p w14:paraId="40770C2A" w14:textId="297D1AD6" w:rsidR="006079CE" w:rsidRDefault="006079CE" w:rsidP="007D6426">
      <w:pPr>
        <w:pStyle w:val="Caption"/>
        <w:jc w:val="both"/>
      </w:pPr>
      <w:bookmarkStart w:id="10" w:name="_Ref111198063"/>
      <w:r>
        <w:lastRenderedPageBreak/>
        <w:t xml:space="preserve">Figure S </w:t>
      </w:r>
      <w:fldSimple w:instr=" SEQ Figure_S \* ARABIC ">
        <w:r w:rsidR="00DD1C1E">
          <w:rPr>
            <w:noProof/>
          </w:rPr>
          <w:t>6</w:t>
        </w:r>
      </w:fldSimple>
      <w:bookmarkEnd w:id="9"/>
      <w:bookmarkEnd w:id="10"/>
      <w:r>
        <w:t xml:space="preserve">: </w:t>
      </w:r>
      <w:r w:rsidR="00D859A4">
        <w:rPr>
          <w:rFonts w:cstheme="minorHAnsi"/>
        </w:rPr>
        <w:t xml:space="preserve">Short-lived radionuclides measurements and age depth model for He560_26-2-K1 core. From left to right: </w:t>
      </w:r>
      <w:r w:rsidR="00D859A4">
        <w:rPr>
          <w:rFonts w:cstheme="minorHAnsi"/>
          <w:vertAlign w:val="superscript"/>
        </w:rPr>
        <w:t>210</w:t>
      </w:r>
      <w:r w:rsidR="00D859A4">
        <w:rPr>
          <w:rFonts w:cstheme="minorHAnsi"/>
        </w:rPr>
        <w:t>Pb</w:t>
      </w:r>
      <w:r w:rsidR="00D859A4">
        <w:rPr>
          <w:rFonts w:cstheme="minorHAnsi"/>
          <w:vertAlign w:val="subscript"/>
        </w:rPr>
        <w:t>ex</w:t>
      </w:r>
      <w:r w:rsidR="00D859A4">
        <w:rPr>
          <w:rFonts w:cstheme="minorHAnsi"/>
        </w:rPr>
        <w:t xml:space="preserve"> (semilogarithmic plot of excess </w:t>
      </w:r>
      <w:r w:rsidR="00D859A4">
        <w:rPr>
          <w:rFonts w:cstheme="minorHAnsi"/>
          <w:vertAlign w:val="superscript"/>
        </w:rPr>
        <w:t>210</w:t>
      </w:r>
      <w:r w:rsidR="00D859A4">
        <w:rPr>
          <w:rFonts w:cstheme="minorHAnsi"/>
        </w:rPr>
        <w:t xml:space="preserve">Pb), </w:t>
      </w:r>
      <w:r w:rsidR="00D859A4">
        <w:rPr>
          <w:rFonts w:cstheme="minorHAnsi"/>
          <w:vertAlign w:val="superscript"/>
        </w:rPr>
        <w:t>137</w:t>
      </w:r>
      <w:r w:rsidR="00D859A4">
        <w:rPr>
          <w:rFonts w:cstheme="minorHAnsi"/>
        </w:rPr>
        <w:t xml:space="preserve">Cs, and the CFCS (constant flux constant sedimentation rate) age model. SAR – sediment accumulation rate. The vertical error bars refer to </w:t>
      </w:r>
      <w:r w:rsidR="00CC0678">
        <w:rPr>
          <w:rFonts w:cstheme="minorHAnsi"/>
        </w:rPr>
        <w:t>analyzed</w:t>
      </w:r>
      <w:r w:rsidR="00D859A4">
        <w:rPr>
          <w:rFonts w:cstheme="minorHAnsi"/>
        </w:rPr>
        <w:t xml:space="preserve"> sediment sample thickness, while the horizontal bars depict 2-sigma uncertainty. The figure was </w:t>
      </w:r>
      <w:r w:rsidR="00DB1E1C">
        <w:rPr>
          <w:rFonts w:cstheme="minorHAnsi"/>
        </w:rPr>
        <w:t>created</w:t>
      </w:r>
      <w:r w:rsidR="00D859A4">
        <w:rPr>
          <w:rFonts w:cstheme="minorHAnsi"/>
        </w:rPr>
        <w:t xml:space="preserve"> in </w:t>
      </w:r>
      <w:r w:rsidR="00D859A4" w:rsidRPr="00DB1E1C">
        <w:rPr>
          <w:rFonts w:cstheme="minorHAnsi"/>
        </w:rPr>
        <w:t>serac</w:t>
      </w:r>
      <w:r w:rsidR="00D859A4">
        <w:rPr>
          <w:rFonts w:cstheme="minorHAnsi"/>
        </w:rPr>
        <w:t xml:space="preserve"> R package</w:t>
      </w:r>
      <w:r w:rsidR="00D859A4">
        <w:rPr>
          <w:rFonts w:cstheme="minorHAnsi"/>
        </w:rPr>
        <w:fldChar w:fldCharType="begin" w:fldLock="1"/>
      </w:r>
      <w:r w:rsidR="00CC0678">
        <w:rPr>
          <w:rFonts w:cstheme="minorHAnsi"/>
        </w:rPr>
        <w:instrText>ADDIN CSL_CITATION {"citationItems":[{"id":"ITEM-1","itemData":{"DOI":"10.1016/J.JENVRAD.2020.106449","ISSN":"0265-931X","PMID":"33120029","abstract":"Short-lived radionuclides are measured in surface sediment to provide a geochronology for the past century. Age-depth models are produced from 210Pbex activity-derived sedimentation rates and corroborated by known events, such as 137Cs and 241Am activities that are result of fallout from nuclear weapon tests and the Chernobyl accident. Different methods of age depth modelling using such data require expertise in lake sedimentation processes. Here, we present a package, serac, that allows the user to compute an age-depth model and generate a graph, the age-depth correspondence in a text file, and metadata, using the free open-source statistical software R. serac ensures the reproducibility of age-depth or age-mass depth models and allows testing of several 210Pbex models (CFCS, CIC, CRS, CRS piecewise) and sedimentation hypotheses (changes in sedimentation rates, presence of instantaneous deposits, varved sedimentation, etc.). Using several case studies, including lakes and lagoon in different environments, we demonstrate the use of the program in diverse situations that may be encountered. The rising number of sediment cores in recent palaeo studies and the need to correlate them require reproducible methods. serac is a user-friendly code that enables age model computation for the past century and encourages the standardisation of outputs.","author":[{"dropping-particle":"","family":"Bruel","given":"Rosalie","non-dropping-particle":"","parse-names":false,"suffix":""},{"dropping-particle":"","family":"Sabatier","given":"Pierre","non-dropping-particle":"","parse-names":false,"suffix":""}],"container-title":"Journal of Environmental Radioactivity","id":"ITEM-1","issued":{"date-parts":[["2020","12","1"]]},"page":"106449","publisher":"Elsevier","title":"serac: an R package for ShortlivEd RAdionuclide chronology of recent sediment cores","type":"article-journal","volume":"225"},"uris":["http://www.mendeley.com/documents/?uuid=927d293b-6379-369a-a02d-aeab8c5cddd4"]}],"mendeley":{"formattedCitation":"&lt;sup&gt;7&lt;/sup&gt;","plainTextFormattedCitation":"7","previouslyFormattedCitation":"&lt;sup&gt;8&lt;/sup&gt;"},"properties":{"noteIndex":0},"schema":"https://github.com/citation-style-language/schema/raw/master/csl-citation.json"}</w:instrText>
      </w:r>
      <w:r w:rsidR="00D859A4">
        <w:rPr>
          <w:rFonts w:cstheme="minorHAnsi"/>
        </w:rPr>
        <w:fldChar w:fldCharType="separate"/>
      </w:r>
      <w:r w:rsidR="00CC0678" w:rsidRPr="00CC0678">
        <w:rPr>
          <w:rFonts w:cstheme="minorHAnsi"/>
          <w:i w:val="0"/>
          <w:noProof/>
          <w:vertAlign w:val="superscript"/>
        </w:rPr>
        <w:t>7</w:t>
      </w:r>
      <w:r w:rsidR="00D859A4">
        <w:rPr>
          <w:rFonts w:cstheme="minorHAnsi"/>
        </w:rPr>
        <w:fldChar w:fldCharType="end"/>
      </w:r>
      <w:r>
        <w:t>.</w:t>
      </w:r>
    </w:p>
    <w:p w14:paraId="321A8718" w14:textId="77777777" w:rsidR="006079CE" w:rsidRDefault="006079CE" w:rsidP="007D6426">
      <w:pPr>
        <w:pStyle w:val="Caption"/>
        <w:jc w:val="both"/>
      </w:pPr>
      <w:r>
        <w:rPr>
          <w:noProof/>
        </w:rPr>
        <w:drawing>
          <wp:inline distT="0" distB="0" distL="0" distR="0" wp14:anchorId="029B75C3" wp14:editId="21015950">
            <wp:extent cx="4625671" cy="3563151"/>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37816" cy="3572506"/>
                    </a:xfrm>
                    <a:prstGeom prst="rect">
                      <a:avLst/>
                    </a:prstGeom>
                    <a:noFill/>
                    <a:ln>
                      <a:noFill/>
                    </a:ln>
                  </pic:spPr>
                </pic:pic>
              </a:graphicData>
            </a:graphic>
          </wp:inline>
        </w:drawing>
      </w:r>
    </w:p>
    <w:p w14:paraId="48347F4D" w14:textId="24B75A70" w:rsidR="006079CE" w:rsidRDefault="006079CE" w:rsidP="007D6426">
      <w:pPr>
        <w:pStyle w:val="Caption"/>
        <w:keepNext/>
        <w:jc w:val="both"/>
        <w:rPr>
          <w:rFonts w:cstheme="minorHAnsi"/>
        </w:rPr>
      </w:pPr>
      <w:r>
        <w:lastRenderedPageBreak/>
        <w:t xml:space="preserve">Figure S </w:t>
      </w:r>
      <w:fldSimple w:instr=" SEQ Figure_S \* ARABIC ">
        <w:r w:rsidR="00DD1C1E">
          <w:rPr>
            <w:noProof/>
          </w:rPr>
          <w:t>7</w:t>
        </w:r>
      </w:fldSimple>
      <w:r>
        <w:t>: Estimated surface DIC age displayed in fraction of modern carbon (F</w:t>
      </w:r>
      <w:r w:rsidRPr="006A0F8D">
        <w:rPr>
          <w:vertAlign w:val="superscript"/>
        </w:rPr>
        <w:t>14</w:t>
      </w:r>
      <w:r>
        <w:t xml:space="preserve">C), based on a radiocarbon equipped </w:t>
      </w:r>
      <w:r w:rsidRPr="00CB13DB">
        <w:rPr>
          <w:rFonts w:cstheme="minorHAnsi"/>
        </w:rPr>
        <w:t>Finite-</w:t>
      </w:r>
      <w:proofErr w:type="spellStart"/>
      <w:r w:rsidRPr="00CB13DB">
        <w:rPr>
          <w:rFonts w:cstheme="minorHAnsi"/>
        </w:rPr>
        <w:t>volumE</w:t>
      </w:r>
      <w:proofErr w:type="spellEnd"/>
      <w:r w:rsidRPr="00CB13DB">
        <w:rPr>
          <w:rFonts w:cstheme="minorHAnsi"/>
        </w:rPr>
        <w:t xml:space="preserve"> Sea ice-Ocean Model FESOM2</w:t>
      </w:r>
      <w:r>
        <w:rPr>
          <w:rFonts w:cstheme="minorHAnsi"/>
        </w:rPr>
        <w:t xml:space="preserve"> (see methods).</w:t>
      </w:r>
    </w:p>
    <w:p w14:paraId="5501E37A" w14:textId="3241C9BF" w:rsidR="00CA2110" w:rsidRPr="00CA2110" w:rsidRDefault="006A0F8D" w:rsidP="007D6426">
      <w:pPr>
        <w:jc w:val="both"/>
      </w:pPr>
      <w:r>
        <w:rPr>
          <w:noProof/>
        </w:rPr>
        <w:drawing>
          <wp:inline distT="0" distB="0" distL="0" distR="0" wp14:anchorId="7590C525" wp14:editId="33CC0F53">
            <wp:extent cx="3759475" cy="383852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80601" cy="3860094"/>
                    </a:xfrm>
                    <a:prstGeom prst="rect">
                      <a:avLst/>
                    </a:prstGeom>
                    <a:noFill/>
                    <a:ln>
                      <a:noFill/>
                    </a:ln>
                  </pic:spPr>
                </pic:pic>
              </a:graphicData>
            </a:graphic>
          </wp:inline>
        </w:drawing>
      </w:r>
    </w:p>
    <w:p w14:paraId="3CC39176" w14:textId="77777777" w:rsidR="003E4683" w:rsidRDefault="003E4683">
      <w:pPr>
        <w:rPr>
          <w:rFonts w:asciiTheme="majorHAnsi" w:eastAsiaTheme="majorEastAsia" w:hAnsiTheme="majorHAnsi" w:cstheme="majorBidi"/>
          <w:color w:val="2F5496" w:themeColor="accent1" w:themeShade="BF"/>
          <w:sz w:val="32"/>
          <w:szCs w:val="32"/>
        </w:rPr>
      </w:pPr>
      <w:r>
        <w:br w:type="page"/>
      </w:r>
    </w:p>
    <w:p w14:paraId="482C28B1" w14:textId="2515F617" w:rsidR="00B03029" w:rsidRDefault="00B03029" w:rsidP="007D6426">
      <w:pPr>
        <w:pStyle w:val="Heading1"/>
        <w:jc w:val="both"/>
      </w:pPr>
      <w:r>
        <w:lastRenderedPageBreak/>
        <w:t>References</w:t>
      </w:r>
    </w:p>
    <w:p w14:paraId="20B24375" w14:textId="03155CD5" w:rsidR="00CC0678" w:rsidRPr="00CC0678" w:rsidRDefault="00B03029" w:rsidP="007D6426">
      <w:pPr>
        <w:widowControl w:val="0"/>
        <w:autoSpaceDE w:val="0"/>
        <w:autoSpaceDN w:val="0"/>
        <w:adjustRightInd w:val="0"/>
        <w:spacing w:line="240" w:lineRule="auto"/>
        <w:ind w:left="640" w:hanging="640"/>
        <w:jc w:val="both"/>
        <w:rPr>
          <w:rFonts w:ascii="Calibri" w:hAnsi="Calibri" w:cs="Calibri"/>
          <w:noProof/>
          <w:szCs w:val="24"/>
        </w:rPr>
      </w:pPr>
      <w:r>
        <w:fldChar w:fldCharType="begin" w:fldLock="1"/>
      </w:r>
      <w:r>
        <w:instrText xml:space="preserve">ADDIN Mendeley Bibliography CSL_BIBLIOGRAPHY </w:instrText>
      </w:r>
      <w:r>
        <w:fldChar w:fldCharType="separate"/>
      </w:r>
      <w:r w:rsidR="00CC0678" w:rsidRPr="00CC0678">
        <w:rPr>
          <w:rFonts w:ascii="Calibri" w:hAnsi="Calibri" w:cs="Calibri"/>
          <w:noProof/>
          <w:szCs w:val="24"/>
        </w:rPr>
        <w:t>1.</w:t>
      </w:r>
      <w:r w:rsidR="00CC0678" w:rsidRPr="00CC0678">
        <w:rPr>
          <w:rFonts w:ascii="Calibri" w:hAnsi="Calibri" w:cs="Calibri"/>
          <w:noProof/>
          <w:szCs w:val="24"/>
        </w:rPr>
        <w:tab/>
        <w:t xml:space="preserve">Sohlenkamp, C. &amp; Geiger, O. Bacterial membrane lipids: diversity in structures and pathways. </w:t>
      </w:r>
      <w:r w:rsidR="00CC0678" w:rsidRPr="00CC0678">
        <w:rPr>
          <w:rFonts w:ascii="Calibri" w:hAnsi="Calibri" w:cs="Calibri"/>
          <w:i/>
          <w:iCs/>
          <w:noProof/>
          <w:szCs w:val="24"/>
        </w:rPr>
        <w:t>FEMS Microbiol Rev</w:t>
      </w:r>
      <w:r w:rsidR="00CC0678" w:rsidRPr="00CC0678">
        <w:rPr>
          <w:rFonts w:ascii="Calibri" w:hAnsi="Calibri" w:cs="Calibri"/>
          <w:noProof/>
          <w:szCs w:val="24"/>
        </w:rPr>
        <w:t xml:space="preserve"> </w:t>
      </w:r>
      <w:r w:rsidR="00CC0678" w:rsidRPr="00CC0678">
        <w:rPr>
          <w:rFonts w:ascii="Calibri" w:hAnsi="Calibri" w:cs="Calibri"/>
          <w:b/>
          <w:bCs/>
          <w:noProof/>
          <w:szCs w:val="24"/>
        </w:rPr>
        <w:t>40</w:t>
      </w:r>
      <w:r w:rsidR="00CC0678" w:rsidRPr="00CC0678">
        <w:rPr>
          <w:rFonts w:ascii="Calibri" w:hAnsi="Calibri" w:cs="Calibri"/>
          <w:noProof/>
          <w:szCs w:val="24"/>
        </w:rPr>
        <w:t>, 133–159 (2016).</w:t>
      </w:r>
    </w:p>
    <w:p w14:paraId="71D2B12C"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2.</w:t>
      </w:r>
      <w:r w:rsidRPr="00CC0678">
        <w:rPr>
          <w:rFonts w:ascii="Calibri" w:hAnsi="Calibri" w:cs="Calibri"/>
          <w:noProof/>
          <w:szCs w:val="24"/>
        </w:rPr>
        <w:tab/>
        <w:t xml:space="preserve">Lipp, J. S. &amp; Hinrichs, K. U. Structural diversity and fate of intact polar lipids in marine sediments. </w:t>
      </w:r>
      <w:r w:rsidRPr="00CC0678">
        <w:rPr>
          <w:rFonts w:ascii="Calibri" w:hAnsi="Calibri" w:cs="Calibri"/>
          <w:i/>
          <w:iCs/>
          <w:noProof/>
          <w:szCs w:val="24"/>
        </w:rPr>
        <w:t>Geochim. Cosmochim. Acta</w:t>
      </w:r>
      <w:r w:rsidRPr="00CC0678">
        <w:rPr>
          <w:rFonts w:ascii="Calibri" w:hAnsi="Calibri" w:cs="Calibri"/>
          <w:noProof/>
          <w:szCs w:val="24"/>
        </w:rPr>
        <w:t xml:space="preserve"> </w:t>
      </w:r>
      <w:r w:rsidRPr="00CC0678">
        <w:rPr>
          <w:rFonts w:ascii="Calibri" w:hAnsi="Calibri" w:cs="Calibri"/>
          <w:b/>
          <w:bCs/>
          <w:noProof/>
          <w:szCs w:val="24"/>
        </w:rPr>
        <w:t>73</w:t>
      </w:r>
      <w:r w:rsidRPr="00CC0678">
        <w:rPr>
          <w:rFonts w:ascii="Calibri" w:hAnsi="Calibri" w:cs="Calibri"/>
          <w:noProof/>
          <w:szCs w:val="24"/>
        </w:rPr>
        <w:t>, 6816–6833 (2009).</w:t>
      </w:r>
    </w:p>
    <w:p w14:paraId="3AE3E4BD"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3.</w:t>
      </w:r>
      <w:r w:rsidRPr="00CC0678">
        <w:rPr>
          <w:rFonts w:ascii="Calibri" w:hAnsi="Calibri" w:cs="Calibri"/>
          <w:noProof/>
          <w:szCs w:val="24"/>
        </w:rPr>
        <w:tab/>
        <w:t xml:space="preserve">Schubotz, F. </w:t>
      </w:r>
      <w:r w:rsidRPr="00CC0678">
        <w:rPr>
          <w:rFonts w:ascii="Calibri" w:hAnsi="Calibri" w:cs="Calibri"/>
          <w:i/>
          <w:iCs/>
          <w:noProof/>
          <w:szCs w:val="24"/>
        </w:rPr>
        <w:t>et al.</w:t>
      </w:r>
      <w:r w:rsidRPr="00CC0678">
        <w:rPr>
          <w:rFonts w:ascii="Calibri" w:hAnsi="Calibri" w:cs="Calibri"/>
          <w:noProof/>
          <w:szCs w:val="24"/>
        </w:rPr>
        <w:t xml:space="preserve"> Petroleum degradation and associated microbial signatures at the Chapopote asphalt volcano, Southern Gulf of Mexico. </w:t>
      </w:r>
      <w:r w:rsidRPr="00CC0678">
        <w:rPr>
          <w:rFonts w:ascii="Calibri" w:hAnsi="Calibri" w:cs="Calibri"/>
          <w:i/>
          <w:iCs/>
          <w:noProof/>
          <w:szCs w:val="24"/>
        </w:rPr>
        <w:t>Geochim. Cosmochim. Acta</w:t>
      </w:r>
      <w:r w:rsidRPr="00CC0678">
        <w:rPr>
          <w:rFonts w:ascii="Calibri" w:hAnsi="Calibri" w:cs="Calibri"/>
          <w:noProof/>
          <w:szCs w:val="24"/>
        </w:rPr>
        <w:t xml:space="preserve"> </w:t>
      </w:r>
      <w:r w:rsidRPr="00CC0678">
        <w:rPr>
          <w:rFonts w:ascii="Calibri" w:hAnsi="Calibri" w:cs="Calibri"/>
          <w:b/>
          <w:bCs/>
          <w:noProof/>
          <w:szCs w:val="24"/>
        </w:rPr>
        <w:t>75</w:t>
      </w:r>
      <w:r w:rsidRPr="00CC0678">
        <w:rPr>
          <w:rFonts w:ascii="Calibri" w:hAnsi="Calibri" w:cs="Calibri"/>
          <w:noProof/>
          <w:szCs w:val="24"/>
        </w:rPr>
        <w:t>, 4377–4398 (2011).</w:t>
      </w:r>
    </w:p>
    <w:p w14:paraId="53CAF4F6"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4.</w:t>
      </w:r>
      <w:r w:rsidRPr="00CC0678">
        <w:rPr>
          <w:rFonts w:ascii="Calibri" w:hAnsi="Calibri" w:cs="Calibri"/>
          <w:noProof/>
          <w:szCs w:val="24"/>
        </w:rPr>
        <w:tab/>
        <w:t xml:space="preserve">Sohlenkamp, C., López-Lara, I. M. &amp; Geiger, O. Biosynthesis of phosphatidylcholine in bacteria. </w:t>
      </w:r>
      <w:r w:rsidRPr="00CC0678">
        <w:rPr>
          <w:rFonts w:ascii="Calibri" w:hAnsi="Calibri" w:cs="Calibri"/>
          <w:i/>
          <w:iCs/>
          <w:noProof/>
          <w:szCs w:val="24"/>
        </w:rPr>
        <w:t>Prog. Lipid Res.</w:t>
      </w:r>
      <w:r w:rsidRPr="00CC0678">
        <w:rPr>
          <w:rFonts w:ascii="Calibri" w:hAnsi="Calibri" w:cs="Calibri"/>
          <w:noProof/>
          <w:szCs w:val="24"/>
        </w:rPr>
        <w:t xml:space="preserve"> </w:t>
      </w:r>
      <w:r w:rsidRPr="00CC0678">
        <w:rPr>
          <w:rFonts w:ascii="Calibri" w:hAnsi="Calibri" w:cs="Calibri"/>
          <w:b/>
          <w:bCs/>
          <w:noProof/>
          <w:szCs w:val="24"/>
        </w:rPr>
        <w:t>42</w:t>
      </w:r>
      <w:r w:rsidRPr="00CC0678">
        <w:rPr>
          <w:rFonts w:ascii="Calibri" w:hAnsi="Calibri" w:cs="Calibri"/>
          <w:noProof/>
          <w:szCs w:val="24"/>
        </w:rPr>
        <w:t>, 115–162 (2003).</w:t>
      </w:r>
    </w:p>
    <w:p w14:paraId="2C245417"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5.</w:t>
      </w:r>
      <w:r w:rsidRPr="00CC0678">
        <w:rPr>
          <w:rFonts w:ascii="Calibri" w:hAnsi="Calibri" w:cs="Calibri"/>
          <w:noProof/>
          <w:szCs w:val="24"/>
        </w:rPr>
        <w:tab/>
        <w:t xml:space="preserve">Dembitsky, V. M. Betaine ether-linked glycerolipids: Chemistry and biology. </w:t>
      </w:r>
      <w:r w:rsidRPr="00CC0678">
        <w:rPr>
          <w:rFonts w:ascii="Calibri" w:hAnsi="Calibri" w:cs="Calibri"/>
          <w:i/>
          <w:iCs/>
          <w:noProof/>
          <w:szCs w:val="24"/>
        </w:rPr>
        <w:t>Prog. Lipid Res.</w:t>
      </w:r>
      <w:r w:rsidRPr="00CC0678">
        <w:rPr>
          <w:rFonts w:ascii="Calibri" w:hAnsi="Calibri" w:cs="Calibri"/>
          <w:noProof/>
          <w:szCs w:val="24"/>
        </w:rPr>
        <w:t xml:space="preserve"> </w:t>
      </w:r>
      <w:r w:rsidRPr="00CC0678">
        <w:rPr>
          <w:rFonts w:ascii="Calibri" w:hAnsi="Calibri" w:cs="Calibri"/>
          <w:b/>
          <w:bCs/>
          <w:noProof/>
          <w:szCs w:val="24"/>
        </w:rPr>
        <w:t>35</w:t>
      </w:r>
      <w:r w:rsidRPr="00CC0678">
        <w:rPr>
          <w:rFonts w:ascii="Calibri" w:hAnsi="Calibri" w:cs="Calibri"/>
          <w:noProof/>
          <w:szCs w:val="24"/>
        </w:rPr>
        <w:t>, 1–51 (1996).</w:t>
      </w:r>
    </w:p>
    <w:p w14:paraId="08BABE37"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6.</w:t>
      </w:r>
      <w:r w:rsidRPr="00CC0678">
        <w:rPr>
          <w:rFonts w:ascii="Calibri" w:hAnsi="Calibri" w:cs="Calibri"/>
          <w:noProof/>
          <w:szCs w:val="24"/>
        </w:rPr>
        <w:tab/>
        <w:t xml:space="preserve">Mollenhauer, G., Grotheer, H., Gentz, T., Bonk, E. &amp; Hefter, J. Standard operation procedures and performance of the MICADAS radiocarbon laboratory at Alfred Wegener Institute (AWI), Germany. </w:t>
      </w:r>
      <w:r w:rsidRPr="00CC0678">
        <w:rPr>
          <w:rFonts w:ascii="Calibri" w:hAnsi="Calibri" w:cs="Calibri"/>
          <w:i/>
          <w:iCs/>
          <w:noProof/>
          <w:szCs w:val="24"/>
        </w:rPr>
        <w:t>Nucl. Instruments Methods Phys. Res. Sect. B Beam Interact. with Mater. Atoms</w:t>
      </w:r>
      <w:r w:rsidRPr="00CC0678">
        <w:rPr>
          <w:rFonts w:ascii="Calibri" w:hAnsi="Calibri" w:cs="Calibri"/>
          <w:noProof/>
          <w:szCs w:val="24"/>
        </w:rPr>
        <w:t xml:space="preserve"> </w:t>
      </w:r>
      <w:r w:rsidRPr="00CC0678">
        <w:rPr>
          <w:rFonts w:ascii="Calibri" w:hAnsi="Calibri" w:cs="Calibri"/>
          <w:b/>
          <w:bCs/>
          <w:noProof/>
          <w:szCs w:val="24"/>
        </w:rPr>
        <w:t>496</w:t>
      </w:r>
      <w:r w:rsidRPr="00CC0678">
        <w:rPr>
          <w:rFonts w:ascii="Calibri" w:hAnsi="Calibri" w:cs="Calibri"/>
          <w:noProof/>
          <w:szCs w:val="24"/>
        </w:rPr>
        <w:t>, 45–51 (2021).</w:t>
      </w:r>
    </w:p>
    <w:p w14:paraId="7F1FFEDF"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szCs w:val="24"/>
        </w:rPr>
      </w:pPr>
      <w:r w:rsidRPr="00CC0678">
        <w:rPr>
          <w:rFonts w:ascii="Calibri" w:hAnsi="Calibri" w:cs="Calibri"/>
          <w:noProof/>
          <w:szCs w:val="24"/>
        </w:rPr>
        <w:t>7.</w:t>
      </w:r>
      <w:r w:rsidRPr="00CC0678">
        <w:rPr>
          <w:rFonts w:ascii="Calibri" w:hAnsi="Calibri" w:cs="Calibri"/>
          <w:noProof/>
          <w:szCs w:val="24"/>
        </w:rPr>
        <w:tab/>
        <w:t xml:space="preserve">Bruel, R. &amp; Sabatier, P. serac: an R package for ShortlivEd RAdionuclide chronology of recent sediment cores. </w:t>
      </w:r>
      <w:r w:rsidRPr="00CC0678">
        <w:rPr>
          <w:rFonts w:ascii="Calibri" w:hAnsi="Calibri" w:cs="Calibri"/>
          <w:i/>
          <w:iCs/>
          <w:noProof/>
          <w:szCs w:val="24"/>
        </w:rPr>
        <w:t>J. Environ. Radioact.</w:t>
      </w:r>
      <w:r w:rsidRPr="00CC0678">
        <w:rPr>
          <w:rFonts w:ascii="Calibri" w:hAnsi="Calibri" w:cs="Calibri"/>
          <w:noProof/>
          <w:szCs w:val="24"/>
        </w:rPr>
        <w:t xml:space="preserve"> </w:t>
      </w:r>
      <w:r w:rsidRPr="00CC0678">
        <w:rPr>
          <w:rFonts w:ascii="Calibri" w:hAnsi="Calibri" w:cs="Calibri"/>
          <w:b/>
          <w:bCs/>
          <w:noProof/>
          <w:szCs w:val="24"/>
        </w:rPr>
        <w:t>225</w:t>
      </w:r>
      <w:r w:rsidRPr="00CC0678">
        <w:rPr>
          <w:rFonts w:ascii="Calibri" w:hAnsi="Calibri" w:cs="Calibri"/>
          <w:noProof/>
          <w:szCs w:val="24"/>
        </w:rPr>
        <w:t>, 106449 (2020).</w:t>
      </w:r>
    </w:p>
    <w:p w14:paraId="0981A860" w14:textId="77777777" w:rsidR="00CC0678" w:rsidRPr="00CC0678" w:rsidRDefault="00CC0678" w:rsidP="007D6426">
      <w:pPr>
        <w:widowControl w:val="0"/>
        <w:autoSpaceDE w:val="0"/>
        <w:autoSpaceDN w:val="0"/>
        <w:adjustRightInd w:val="0"/>
        <w:spacing w:line="240" w:lineRule="auto"/>
        <w:ind w:left="640" w:hanging="640"/>
        <w:jc w:val="both"/>
        <w:rPr>
          <w:rFonts w:ascii="Calibri" w:hAnsi="Calibri" w:cs="Calibri"/>
          <w:noProof/>
        </w:rPr>
      </w:pPr>
      <w:r w:rsidRPr="00CC0678">
        <w:rPr>
          <w:rFonts w:ascii="Calibri" w:hAnsi="Calibri" w:cs="Calibri"/>
          <w:noProof/>
          <w:szCs w:val="24"/>
        </w:rPr>
        <w:t>8.</w:t>
      </w:r>
      <w:r w:rsidRPr="00CC0678">
        <w:rPr>
          <w:rFonts w:ascii="Calibri" w:hAnsi="Calibri" w:cs="Calibri"/>
          <w:noProof/>
          <w:szCs w:val="24"/>
        </w:rPr>
        <w:tab/>
        <w:t xml:space="preserve">Błaszczyk, M., Jania, J. A. &amp; Kolondra, L. Fluctuations of tidewater glaciers in Hornsund Fjord (Southern Svalbard) since the beginning of the 20th century. </w:t>
      </w:r>
      <w:r w:rsidRPr="00CC0678">
        <w:rPr>
          <w:rFonts w:ascii="Calibri" w:hAnsi="Calibri" w:cs="Calibri"/>
          <w:i/>
          <w:iCs/>
          <w:noProof/>
          <w:szCs w:val="24"/>
        </w:rPr>
        <w:t>Polish Polar Res.</w:t>
      </w:r>
      <w:r w:rsidRPr="00CC0678">
        <w:rPr>
          <w:rFonts w:ascii="Calibri" w:hAnsi="Calibri" w:cs="Calibri"/>
          <w:noProof/>
          <w:szCs w:val="24"/>
        </w:rPr>
        <w:t xml:space="preserve"> </w:t>
      </w:r>
      <w:r w:rsidRPr="00CC0678">
        <w:rPr>
          <w:rFonts w:ascii="Calibri" w:hAnsi="Calibri" w:cs="Calibri"/>
          <w:b/>
          <w:bCs/>
          <w:noProof/>
          <w:szCs w:val="24"/>
        </w:rPr>
        <w:t>34</w:t>
      </w:r>
      <w:r w:rsidRPr="00CC0678">
        <w:rPr>
          <w:rFonts w:ascii="Calibri" w:hAnsi="Calibri" w:cs="Calibri"/>
          <w:noProof/>
          <w:szCs w:val="24"/>
        </w:rPr>
        <w:t>, 327–352 (2013).</w:t>
      </w:r>
    </w:p>
    <w:p w14:paraId="43B2F0C4" w14:textId="2A9305DC" w:rsidR="00B03029" w:rsidRPr="00B03029" w:rsidRDefault="00B03029" w:rsidP="007D6426">
      <w:pPr>
        <w:jc w:val="both"/>
      </w:pPr>
      <w:r>
        <w:fldChar w:fldCharType="end"/>
      </w:r>
    </w:p>
    <w:sectPr w:rsidR="00B03029" w:rsidRPr="00B03029" w:rsidSect="007D6426">
      <w:pgSz w:w="12240" w:h="15840"/>
      <w:pgMar w:top="1440" w:right="1440" w:bottom="1440" w:left="1440"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69EA4B9" w16cex:dateUtc="2022-08-10T19:4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98352D" w14:textId="77777777" w:rsidR="00A77125" w:rsidRDefault="00A77125" w:rsidP="00274B22">
      <w:pPr>
        <w:spacing w:after="0" w:line="240" w:lineRule="auto"/>
      </w:pPr>
      <w:r>
        <w:separator/>
      </w:r>
    </w:p>
  </w:endnote>
  <w:endnote w:type="continuationSeparator" w:id="0">
    <w:p w14:paraId="0F390C03" w14:textId="77777777" w:rsidR="00A77125" w:rsidRDefault="00A77125" w:rsidP="00274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75FEE0" w14:textId="77777777" w:rsidR="00A77125" w:rsidRDefault="00A77125" w:rsidP="00274B22">
      <w:pPr>
        <w:spacing w:after="0" w:line="240" w:lineRule="auto"/>
      </w:pPr>
      <w:r>
        <w:separator/>
      </w:r>
    </w:p>
  </w:footnote>
  <w:footnote w:type="continuationSeparator" w:id="0">
    <w:p w14:paraId="762BAC8A" w14:textId="77777777" w:rsidR="00A77125" w:rsidRDefault="00A77125" w:rsidP="00274B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DA51AD"/>
    <w:multiLevelType w:val="hybridMultilevel"/>
    <w:tmpl w:val="965814EA"/>
    <w:lvl w:ilvl="0" w:tplc="5EEAAC4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D04"/>
    <w:rsid w:val="00025D04"/>
    <w:rsid w:val="0007193C"/>
    <w:rsid w:val="00072957"/>
    <w:rsid w:val="000D28ED"/>
    <w:rsid w:val="000D430C"/>
    <w:rsid w:val="00182EF4"/>
    <w:rsid w:val="00185C7D"/>
    <w:rsid w:val="00186E1C"/>
    <w:rsid w:val="001A2C79"/>
    <w:rsid w:val="00231B99"/>
    <w:rsid w:val="002628C3"/>
    <w:rsid w:val="00274B22"/>
    <w:rsid w:val="00294A2C"/>
    <w:rsid w:val="00296C62"/>
    <w:rsid w:val="002D0E46"/>
    <w:rsid w:val="00382BCD"/>
    <w:rsid w:val="003934D1"/>
    <w:rsid w:val="003C6E72"/>
    <w:rsid w:val="003E3038"/>
    <w:rsid w:val="003E4683"/>
    <w:rsid w:val="003F33C7"/>
    <w:rsid w:val="0042425E"/>
    <w:rsid w:val="004257B9"/>
    <w:rsid w:val="00451EE6"/>
    <w:rsid w:val="00453D87"/>
    <w:rsid w:val="00466D58"/>
    <w:rsid w:val="004706F6"/>
    <w:rsid w:val="004C4F54"/>
    <w:rsid w:val="004C7FC2"/>
    <w:rsid w:val="00537445"/>
    <w:rsid w:val="005844F7"/>
    <w:rsid w:val="00594DC3"/>
    <w:rsid w:val="00596D33"/>
    <w:rsid w:val="005B35FD"/>
    <w:rsid w:val="005C1220"/>
    <w:rsid w:val="005F74F9"/>
    <w:rsid w:val="006079CE"/>
    <w:rsid w:val="006451CD"/>
    <w:rsid w:val="0065272F"/>
    <w:rsid w:val="00661E56"/>
    <w:rsid w:val="006754EE"/>
    <w:rsid w:val="00686AF1"/>
    <w:rsid w:val="00695A22"/>
    <w:rsid w:val="006A0F8D"/>
    <w:rsid w:val="006A3367"/>
    <w:rsid w:val="006D1961"/>
    <w:rsid w:val="00721E94"/>
    <w:rsid w:val="007A7106"/>
    <w:rsid w:val="007D6426"/>
    <w:rsid w:val="007D7271"/>
    <w:rsid w:val="0083189F"/>
    <w:rsid w:val="00842579"/>
    <w:rsid w:val="00862200"/>
    <w:rsid w:val="008C0A9B"/>
    <w:rsid w:val="008C3F34"/>
    <w:rsid w:val="008C74A6"/>
    <w:rsid w:val="008D3BD2"/>
    <w:rsid w:val="008F4C86"/>
    <w:rsid w:val="008F5FA3"/>
    <w:rsid w:val="0091721F"/>
    <w:rsid w:val="00937671"/>
    <w:rsid w:val="0099520E"/>
    <w:rsid w:val="009D5C65"/>
    <w:rsid w:val="009F3200"/>
    <w:rsid w:val="00A33F0A"/>
    <w:rsid w:val="00A72A58"/>
    <w:rsid w:val="00A77125"/>
    <w:rsid w:val="00A90191"/>
    <w:rsid w:val="00A904A7"/>
    <w:rsid w:val="00AA2388"/>
    <w:rsid w:val="00AA565B"/>
    <w:rsid w:val="00AE5C3D"/>
    <w:rsid w:val="00AF220B"/>
    <w:rsid w:val="00B03029"/>
    <w:rsid w:val="00B362F8"/>
    <w:rsid w:val="00B46FBD"/>
    <w:rsid w:val="00B75A6E"/>
    <w:rsid w:val="00B941DC"/>
    <w:rsid w:val="00BE3AA6"/>
    <w:rsid w:val="00BE64DF"/>
    <w:rsid w:val="00BE7E26"/>
    <w:rsid w:val="00C228F4"/>
    <w:rsid w:val="00C376D3"/>
    <w:rsid w:val="00C41F9A"/>
    <w:rsid w:val="00CA2110"/>
    <w:rsid w:val="00CB6698"/>
    <w:rsid w:val="00CC0678"/>
    <w:rsid w:val="00CC58A6"/>
    <w:rsid w:val="00D140FA"/>
    <w:rsid w:val="00D506C6"/>
    <w:rsid w:val="00D51571"/>
    <w:rsid w:val="00D65C43"/>
    <w:rsid w:val="00D859A4"/>
    <w:rsid w:val="00DB1E1C"/>
    <w:rsid w:val="00DC67CA"/>
    <w:rsid w:val="00DD1C1E"/>
    <w:rsid w:val="00E16DAE"/>
    <w:rsid w:val="00E24493"/>
    <w:rsid w:val="00E46F42"/>
    <w:rsid w:val="00E47EE7"/>
    <w:rsid w:val="00E60B48"/>
    <w:rsid w:val="00E716F3"/>
    <w:rsid w:val="00E86965"/>
    <w:rsid w:val="00EF2869"/>
    <w:rsid w:val="00EF565C"/>
    <w:rsid w:val="00FC53B0"/>
    <w:rsid w:val="00FE6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346F3"/>
  <w15:chartTrackingRefBased/>
  <w15:docId w15:val="{D62EDBA6-B99A-4305-A6A5-3C9E7D55A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669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B669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669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B6698"/>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unhideWhenUsed/>
    <w:qFormat/>
    <w:rsid w:val="00AF220B"/>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6D1961"/>
    <w:rPr>
      <w:sz w:val="16"/>
      <w:szCs w:val="16"/>
    </w:rPr>
  </w:style>
  <w:style w:type="paragraph" w:styleId="CommentText">
    <w:name w:val="annotation text"/>
    <w:basedOn w:val="Normal"/>
    <w:link w:val="CommentTextChar"/>
    <w:uiPriority w:val="99"/>
    <w:semiHidden/>
    <w:unhideWhenUsed/>
    <w:rsid w:val="006D1961"/>
    <w:pPr>
      <w:spacing w:line="240" w:lineRule="auto"/>
    </w:pPr>
    <w:rPr>
      <w:sz w:val="20"/>
      <w:szCs w:val="20"/>
    </w:rPr>
  </w:style>
  <w:style w:type="character" w:customStyle="1" w:styleId="CommentTextChar">
    <w:name w:val="Comment Text Char"/>
    <w:basedOn w:val="DefaultParagraphFont"/>
    <w:link w:val="CommentText"/>
    <w:uiPriority w:val="99"/>
    <w:semiHidden/>
    <w:rsid w:val="006D1961"/>
    <w:rPr>
      <w:sz w:val="20"/>
      <w:szCs w:val="20"/>
    </w:rPr>
  </w:style>
  <w:style w:type="paragraph" w:styleId="BalloonText">
    <w:name w:val="Balloon Text"/>
    <w:basedOn w:val="Normal"/>
    <w:link w:val="BalloonTextChar"/>
    <w:uiPriority w:val="99"/>
    <w:semiHidden/>
    <w:unhideWhenUsed/>
    <w:rsid w:val="006D19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96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51EE6"/>
    <w:rPr>
      <w:b/>
      <w:bCs/>
    </w:rPr>
  </w:style>
  <w:style w:type="character" w:customStyle="1" w:styleId="CommentSubjectChar">
    <w:name w:val="Comment Subject Char"/>
    <w:basedOn w:val="CommentTextChar"/>
    <w:link w:val="CommentSubject"/>
    <w:uiPriority w:val="99"/>
    <w:semiHidden/>
    <w:rsid w:val="00451EE6"/>
    <w:rPr>
      <w:b/>
      <w:bCs/>
      <w:sz w:val="20"/>
      <w:szCs w:val="20"/>
    </w:rPr>
  </w:style>
  <w:style w:type="paragraph" w:styleId="Revision">
    <w:name w:val="Revision"/>
    <w:hidden/>
    <w:uiPriority w:val="99"/>
    <w:semiHidden/>
    <w:rsid w:val="008C3F34"/>
    <w:pPr>
      <w:spacing w:after="0" w:line="240" w:lineRule="auto"/>
    </w:pPr>
  </w:style>
  <w:style w:type="character" w:styleId="LineNumber">
    <w:name w:val="line number"/>
    <w:basedOn w:val="DefaultParagraphFont"/>
    <w:uiPriority w:val="99"/>
    <w:semiHidden/>
    <w:unhideWhenUsed/>
    <w:rsid w:val="007D6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490585">
      <w:bodyDiv w:val="1"/>
      <w:marLeft w:val="0"/>
      <w:marRight w:val="0"/>
      <w:marTop w:val="0"/>
      <w:marBottom w:val="0"/>
      <w:divBdr>
        <w:top w:val="none" w:sz="0" w:space="0" w:color="auto"/>
        <w:left w:val="none" w:sz="0" w:space="0" w:color="auto"/>
        <w:bottom w:val="none" w:sz="0" w:space="0" w:color="auto"/>
        <w:right w:val="none" w:sz="0" w:space="0" w:color="auto"/>
      </w:divBdr>
    </w:div>
    <w:div w:id="1623073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cid:02F4B8A2-19B3-480C-8485-5F435C17502E"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B842C7-EA39-4433-A1D7-DF3405D75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5737</Words>
  <Characters>32706</Characters>
  <Application>Microsoft Office Word</Application>
  <DocSecurity>0</DocSecurity>
  <Lines>272</Lines>
  <Paragraphs>76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Ruben</dc:creator>
  <cp:keywords/>
  <dc:description/>
  <cp:lastModifiedBy>Manuel Ruben</cp:lastModifiedBy>
  <cp:revision>7</cp:revision>
  <cp:lastPrinted>2022-08-12T10:03:00Z</cp:lastPrinted>
  <dcterms:created xsi:type="dcterms:W3CDTF">2022-08-12T08:47:00Z</dcterms:created>
  <dcterms:modified xsi:type="dcterms:W3CDTF">2022-08-12T10:10:00Z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33d6c841-af0a-30b1-9c58-84ce90a4b5e7</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http://www.zotero.org/styles/begell-house-chicago-author-date</vt:lpwstr>
  </property>
  <property fmtid="{D5CDD505-2E9C-101B-9397-08002B2CF9AE}" pid="14" name="Mendeley Recent Style Name 4_1">
    <vt:lpwstr>Begell House - Chicago Manual of Style</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http://csl.mendeley.com/styles/598251651/chicago-author-date</vt:lpwstr>
  </property>
  <property fmtid="{D5CDD505-2E9C-101B-9397-08002B2CF9AE}" pid="18" name="Mendeley Recent Style Name 6_1">
    <vt:lpwstr>Chicago Manual of Style 17th edition (author-date) - Manuel Ruben</vt:lpwstr>
  </property>
  <property fmtid="{D5CDD505-2E9C-101B-9397-08002B2CF9AE}" pid="19" name="Mendeley Recent Style Id 7_1">
    <vt:lpwstr>http://www.zotero.org/styles/chicago-note-bibliography</vt:lpwstr>
  </property>
  <property fmtid="{D5CDD505-2E9C-101B-9397-08002B2CF9AE}" pid="20" name="Mendeley Recent Style Name 7_1">
    <vt:lpwstr>Chicago Manual of Style 17th edition (note)</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