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83F1E" w14:textId="77777777" w:rsidR="004071E7" w:rsidRPr="007920A9" w:rsidRDefault="00000000">
      <w:pPr>
        <w:spacing w:line="360" w:lineRule="auto"/>
        <w:rPr>
          <w:b/>
          <w:bCs/>
          <w:sz w:val="32"/>
          <w:szCs w:val="32"/>
        </w:rPr>
      </w:pPr>
      <w:r w:rsidRPr="007920A9">
        <w:rPr>
          <w:b/>
          <w:bCs/>
          <w:sz w:val="32"/>
          <w:szCs w:val="32"/>
        </w:rPr>
        <w:t>Supplementary Information</w:t>
      </w:r>
    </w:p>
    <w:p w14:paraId="472A32AC" w14:textId="77777777" w:rsidR="004071E7" w:rsidRDefault="00000000">
      <w:pPr>
        <w:pStyle w:val="Heading2"/>
        <w:spacing w:line="360" w:lineRule="auto"/>
      </w:pPr>
      <w:bookmarkStart w:id="0" w:name="_aycua6dynkoi" w:colFirst="0" w:colLast="0"/>
      <w:bookmarkEnd w:id="0"/>
      <w:r>
        <w:t xml:space="preserve">Impact of microbial genome completeness on functional metagenomics </w:t>
      </w:r>
    </w:p>
    <w:p w14:paraId="374F937B" w14:textId="77777777" w:rsidR="002C33B9" w:rsidRDefault="002C33B9" w:rsidP="002C33B9">
      <w:pPr>
        <w:spacing w:line="360" w:lineRule="auto"/>
      </w:pPr>
      <w:bookmarkStart w:id="1" w:name="_7cc6effd88i3" w:colFirst="0" w:colLast="0"/>
      <w:bookmarkEnd w:id="1"/>
      <w:r>
        <w:t>Raphael Eisenhofer*, Iñaki Odriozola*, Antton Alberdi</w:t>
      </w:r>
      <w:r>
        <w:br/>
        <w:t>Globe Institute, University of Copenhagen, Denmark</w:t>
      </w:r>
    </w:p>
    <w:p w14:paraId="02D9A137" w14:textId="77777777" w:rsidR="002C33B9" w:rsidRDefault="002C33B9" w:rsidP="002C33B9">
      <w:pPr>
        <w:spacing w:line="360" w:lineRule="auto"/>
        <w:ind w:left="4320" w:firstLine="720"/>
      </w:pPr>
      <w:r>
        <w:t>*These two authors contributed equally</w:t>
      </w:r>
    </w:p>
    <w:p w14:paraId="07D2F080" w14:textId="77777777" w:rsidR="004071E7" w:rsidRDefault="00000000">
      <w:pPr>
        <w:pStyle w:val="Heading2"/>
        <w:spacing w:line="360" w:lineRule="auto"/>
      </w:pPr>
      <w:r>
        <w:t>Online Methods</w:t>
      </w:r>
    </w:p>
    <w:p w14:paraId="426125C2" w14:textId="77777777" w:rsidR="004071E7" w:rsidRDefault="00000000">
      <w:pPr>
        <w:pStyle w:val="Heading3"/>
        <w:spacing w:line="360" w:lineRule="auto"/>
      </w:pPr>
      <w:bookmarkStart w:id="2" w:name="_e3a6a25vx381" w:colFirst="0" w:colLast="0"/>
      <w:bookmarkEnd w:id="2"/>
      <w:r>
        <w:t>Data generation</w:t>
      </w:r>
    </w:p>
    <w:p w14:paraId="23F2535A" w14:textId="77777777" w:rsidR="004071E7" w:rsidRDefault="00000000">
      <w:pPr>
        <w:spacing w:line="360" w:lineRule="auto"/>
      </w:pPr>
      <w:r>
        <w:t xml:space="preserve">Faecal and intestinal samples were collected from hundreds of specimens of five host species within different research projects with different research aims and study designs, yet employing similar procedures for data generation. Details of data generation are shown elsewhere and the overview of the main design and technical differences among studies is summarised in Table S1. In short, faecal and intestinal samples were preserved to minimise microbial community distortion and DNA quality decay before nucleic acid extraction. All DNA extractions were conducted at different time points in the same dedicated amplification-free laboratory at the Globe Institute (University of Copenhagen) and included negative controls. DNA was sheared to the desired fragment length (350-450 bp) using a Covaris LE220 instrument, and sequencing libraries prepared from 200 ng of starting template using the in-house developed BEST </w:t>
      </w:r>
      <w:hyperlink r:id="rId4">
        <w:r>
          <w:rPr>
            <w:color w:val="000000"/>
            <w:vertAlign w:val="superscript"/>
          </w:rPr>
          <w:t>1</w:t>
        </w:r>
      </w:hyperlink>
      <w:r>
        <w:t xml:space="preserve"> protocol. Sequencing was conducted using BGI and Illumina platforms to produce 150 nucleotide-long paired-end reads.</w:t>
      </w:r>
    </w:p>
    <w:p w14:paraId="22746F4D" w14:textId="77777777" w:rsidR="004071E7" w:rsidRDefault="00000000">
      <w:pPr>
        <w:pStyle w:val="Heading3"/>
        <w:spacing w:line="360" w:lineRule="auto"/>
      </w:pPr>
      <w:bookmarkStart w:id="3" w:name="_1h50nc7eu8i1" w:colFirst="0" w:colLast="0"/>
      <w:bookmarkEnd w:id="3"/>
      <w:r>
        <w:t>Bioinformatics</w:t>
      </w:r>
    </w:p>
    <w:p w14:paraId="67DE9B03" w14:textId="77777777" w:rsidR="004071E7" w:rsidRDefault="00000000">
      <w:pPr>
        <w:spacing w:line="360" w:lineRule="auto"/>
      </w:pPr>
      <w:r>
        <w:t xml:space="preserve">Fastp (0.23.1) </w:t>
      </w:r>
      <w:hyperlink r:id="rId5">
        <w:r>
          <w:rPr>
            <w:color w:val="000000"/>
            <w:vertAlign w:val="superscript"/>
          </w:rPr>
          <w:t>2</w:t>
        </w:r>
      </w:hyperlink>
      <w:r>
        <w:t xml:space="preserve"> was used to remove adapter sequences and filter low quality reads (&lt;60 bp, &lt;20 phred score, &gt;5 Ns). Host reads were removed by mapped to their appropriate host genome using Bowtie2 (2.4.4, default settings) </w:t>
      </w:r>
      <w:hyperlink r:id="rId6">
        <w:r>
          <w:rPr>
            <w:color w:val="000000"/>
            <w:vertAlign w:val="superscript"/>
          </w:rPr>
          <w:t>3</w:t>
        </w:r>
      </w:hyperlink>
      <w:r>
        <w:t xml:space="preserve"> and outputting the unmapped reads using samtools (1.12) </w:t>
      </w:r>
      <w:hyperlink r:id="rId7">
        <w:r>
          <w:rPr>
            <w:color w:val="000000"/>
            <w:vertAlign w:val="superscript"/>
          </w:rPr>
          <w:t>4</w:t>
        </w:r>
      </w:hyperlink>
      <w:r>
        <w:t xml:space="preserve">. Assembly and binning was conducted using metaWRAP </w:t>
      </w:r>
      <w:hyperlink r:id="rId8">
        <w:r>
          <w:rPr>
            <w:color w:val="000000"/>
            <w:vertAlign w:val="superscript"/>
          </w:rPr>
          <w:t>5</w:t>
        </w:r>
      </w:hyperlink>
      <w:r>
        <w:t xml:space="preserve"> (see Table S1 for details on (co)assembly strategy). MAGs were dereplicated using dRep (3.0.0) </w:t>
      </w:r>
      <w:hyperlink r:id="rId9">
        <w:r>
          <w:rPr>
            <w:color w:val="000000"/>
            <w:vertAlign w:val="superscript"/>
          </w:rPr>
          <w:t>6</w:t>
        </w:r>
      </w:hyperlink>
      <w:r>
        <w:t xml:space="preserve"> at 98% average nucleotide identity, before being taxonomically annotated using GTDB-tk (1.7.0) </w:t>
      </w:r>
      <w:hyperlink r:id="rId10">
        <w:r>
          <w:rPr>
            <w:color w:val="000000"/>
            <w:vertAlign w:val="superscript"/>
          </w:rPr>
          <w:t>7</w:t>
        </w:r>
      </w:hyperlink>
      <w:r>
        <w:t xml:space="preserve">. </w:t>
      </w:r>
      <w:r>
        <w:lastRenderedPageBreak/>
        <w:t xml:space="preserve">DRAM (1.2.4) </w:t>
      </w:r>
      <w:hyperlink r:id="rId11">
        <w:r>
          <w:rPr>
            <w:color w:val="000000"/>
            <w:vertAlign w:val="superscript"/>
          </w:rPr>
          <w:t>8</w:t>
        </w:r>
      </w:hyperlink>
      <w:r>
        <w:t xml:space="preserve"> was used to annotate functions to MAGs and group functions into KEGG modules. The summarise_genomes.py script was modified to output all modules and module numbers (</w:t>
      </w:r>
      <w:hyperlink r:id="rId12">
        <w:r>
          <w:rPr>
            <w:color w:val="1155CC"/>
            <w:u w:val="single"/>
          </w:rPr>
          <w:t>https://github.com/EisenRa/DRAM_more_modules/tree/1.2.4_more_modules</w:t>
        </w:r>
      </w:hyperlink>
      <w:r>
        <w:t>).</w:t>
      </w:r>
    </w:p>
    <w:p w14:paraId="61EDAB36" w14:textId="77777777" w:rsidR="004071E7" w:rsidRDefault="00000000">
      <w:pPr>
        <w:pStyle w:val="Heading3"/>
        <w:spacing w:line="360" w:lineRule="auto"/>
      </w:pPr>
      <w:bookmarkStart w:id="4" w:name="_qh2uz0ym7td" w:colFirst="0" w:colLast="0"/>
      <w:bookmarkEnd w:id="4"/>
      <w:r>
        <w:t>Statistics and visualisation</w:t>
      </w:r>
    </w:p>
    <w:p w14:paraId="75CE30BF" w14:textId="77777777" w:rsidR="004071E7" w:rsidRDefault="00000000">
      <w:pPr>
        <w:spacing w:line="360" w:lineRule="auto"/>
      </w:pPr>
      <w:r>
        <w:t>Statistical analyses were conducted on KEGG module fullness data. Aimed at building robust models, only bacterial Phyla with more than five MAGs in each dataset were considered; namely, Actinobacteriota, Bacteroidota, Firmicutes and Proteobacteria. Similarly, only widespread KEGG modules present in at least five MAGs in each Phylum and dataset were used for statistical modelling. This filtering resulted in 138 KEGG modules observed across 1554 MAGs. Statistical analyses were conducted in two consecutive steps.</w:t>
      </w:r>
    </w:p>
    <w:p w14:paraId="02311271" w14:textId="77777777" w:rsidR="004071E7" w:rsidRDefault="004071E7">
      <w:pPr>
        <w:spacing w:line="360" w:lineRule="auto"/>
      </w:pPr>
    </w:p>
    <w:p w14:paraId="2F9D20B0" w14:textId="77777777" w:rsidR="004071E7" w:rsidRDefault="00000000">
      <w:pPr>
        <w:spacing w:line="360" w:lineRule="auto"/>
      </w:pPr>
      <w:r>
        <w:t xml:space="preserve">In the first step, generalised linear mixed effect models, as implemented in the R package glmmTMB </w:t>
      </w:r>
      <w:hyperlink r:id="rId13">
        <w:r>
          <w:rPr>
            <w:color w:val="000000"/>
            <w:vertAlign w:val="superscript"/>
          </w:rPr>
          <w:t>9</w:t>
        </w:r>
      </w:hyperlink>
      <w:r>
        <w:t xml:space="preserve">, were used to estimate the relationship between fullness of KEGG modules and completeness of MAGs. A binomial distribution was used with the logit link function, since function fullness represents the proportion of enzymatic reactions (or steps) of a module present in a MAG. The total number of steps of each module were used as weights in the models. Genome completeness (numeric variable), the bacterial Phylum (categorical variable with four levels) and their interaction were used as fixed explanatory variables, thus a Phylum-specific slope was estimated for each module. Two models with two alternative host-level random effects were fitted to each module: one with a random slope (random = Completeness|Host) and the other with a random intercept (random = 1|Host). The two models were compared using the akaike information criteria (AIC) to explore whether and for which modules the Fullness-Completeness relationship varied between animal hosts. </w:t>
      </w:r>
    </w:p>
    <w:p w14:paraId="39FBDD27" w14:textId="77777777" w:rsidR="004071E7" w:rsidRDefault="004071E7">
      <w:pPr>
        <w:spacing w:line="360" w:lineRule="auto"/>
      </w:pPr>
    </w:p>
    <w:p w14:paraId="0E5FEA27" w14:textId="77777777" w:rsidR="004071E7" w:rsidRDefault="00000000">
      <w:pPr>
        <w:spacing w:line="360" w:lineRule="auto"/>
      </w:pPr>
      <w:r>
        <w:t xml:space="preserve">In the second step, linear mixed effect modelling, as implemented in the R package lme4 </w:t>
      </w:r>
      <w:hyperlink r:id="rId14">
        <w:r>
          <w:rPr>
            <w:color w:val="000000"/>
            <w:vertAlign w:val="superscript"/>
          </w:rPr>
          <w:t>10</w:t>
        </w:r>
      </w:hyperlink>
      <w:r>
        <w:t xml:space="preserve">, was used to explore predictors of the strength of the fullness-completeness relationship across modules. The Phylum-specific slopes estimated in above binomial models were used as response variables and bacterial Phylum (categorical variable with four levels), the KEGG domain of each module (categorical variable with seven levels), and the number of steps involved in a module (numerical variable) were used as fixed explanatory variables. Since four slopes were estimated for each module (one for each bacterial Phylum) and they were included in the response variable for this model, a module-level random effect was included in the model as random intercept (random = 1|module). We built bootstrap confidence intervals around the </w:t>
      </w:r>
      <w:r>
        <w:lastRenderedPageBreak/>
        <w:t>levels of the categorical variables through the bootMER() function with 999 simulations, and around the slope of the numeric variable using the function confint.merMod(), both included in the lme4 package. To make the marginal predictions for each categorical variable, the non-focal categorical variables (Phylum or domain) were kept in their reference level and the numeric variable (steps) in its mean value. Non-overlapping 95% confidence intervals between the levels of the categorical factors Phylum and domain were considered as evidence against the null hypothesis of no differences between groups. Similarly, for the numeric variable number of steps, a confidence interval of the slope not overlapping zero was considered as evidence against the null hypothesis of no association.</w:t>
      </w:r>
    </w:p>
    <w:p w14:paraId="10A68A80" w14:textId="77777777" w:rsidR="004071E7" w:rsidRDefault="00000000">
      <w:pPr>
        <w:pStyle w:val="Heading2"/>
        <w:spacing w:line="360" w:lineRule="auto"/>
      </w:pPr>
      <w:bookmarkStart w:id="5" w:name="_wtd3ahxka41r" w:colFirst="0" w:colLast="0"/>
      <w:bookmarkEnd w:id="5"/>
      <w:r>
        <w:t>Methods references</w:t>
      </w:r>
    </w:p>
    <w:p w14:paraId="601C0A0B" w14:textId="77777777" w:rsidR="004071E7" w:rsidRDefault="00000000">
      <w:pPr>
        <w:widowControl w:val="0"/>
        <w:pBdr>
          <w:top w:val="nil"/>
          <w:left w:val="nil"/>
          <w:bottom w:val="nil"/>
          <w:right w:val="nil"/>
          <w:between w:val="nil"/>
        </w:pBdr>
        <w:spacing w:before="220" w:line="360" w:lineRule="auto"/>
        <w:ind w:left="440" w:hanging="440"/>
        <w:rPr>
          <w:color w:val="000000"/>
        </w:rPr>
      </w:pPr>
      <w:r>
        <w:rPr>
          <w:color w:val="000000"/>
        </w:rPr>
        <w:t>1.</w:t>
      </w:r>
      <w:r>
        <w:rPr>
          <w:color w:val="000000"/>
        </w:rPr>
        <w:tab/>
      </w:r>
      <w:hyperlink r:id="rId15">
        <w:r>
          <w:rPr>
            <w:color w:val="000000"/>
          </w:rPr>
          <w:t xml:space="preserve">Carøe, C. </w:t>
        </w:r>
      </w:hyperlink>
      <w:hyperlink r:id="rId16">
        <w:r>
          <w:rPr>
            <w:i/>
            <w:color w:val="000000"/>
          </w:rPr>
          <w:t>et al.</w:t>
        </w:r>
      </w:hyperlink>
      <w:hyperlink r:id="rId17">
        <w:r>
          <w:rPr>
            <w:color w:val="000000"/>
          </w:rPr>
          <w:t xml:space="preserve"> Single-tube library preparation for degraded DNA. </w:t>
        </w:r>
      </w:hyperlink>
      <w:hyperlink r:id="rId18">
        <w:r>
          <w:rPr>
            <w:i/>
            <w:color w:val="000000"/>
          </w:rPr>
          <w:t>Methods Ecol. Evol.</w:t>
        </w:r>
      </w:hyperlink>
      <w:hyperlink r:id="rId19">
        <w:r>
          <w:rPr>
            <w:color w:val="000000"/>
          </w:rPr>
          <w:t xml:space="preserve"> </w:t>
        </w:r>
      </w:hyperlink>
      <w:hyperlink r:id="rId20">
        <w:r>
          <w:rPr>
            <w:b/>
            <w:color w:val="000000"/>
          </w:rPr>
          <w:t>9</w:t>
        </w:r>
      </w:hyperlink>
      <w:hyperlink r:id="rId21">
        <w:r>
          <w:rPr>
            <w:color w:val="000000"/>
          </w:rPr>
          <w:t>, 410–419 (2018).</w:t>
        </w:r>
      </w:hyperlink>
    </w:p>
    <w:p w14:paraId="2EBA3505" w14:textId="77777777" w:rsidR="004071E7" w:rsidRDefault="00000000">
      <w:pPr>
        <w:widowControl w:val="0"/>
        <w:pBdr>
          <w:top w:val="nil"/>
          <w:left w:val="nil"/>
          <w:bottom w:val="nil"/>
          <w:right w:val="nil"/>
          <w:between w:val="nil"/>
        </w:pBdr>
        <w:spacing w:line="360" w:lineRule="auto"/>
        <w:ind w:left="440" w:hanging="440"/>
        <w:rPr>
          <w:color w:val="000000"/>
        </w:rPr>
      </w:pPr>
      <w:r>
        <w:rPr>
          <w:color w:val="000000"/>
        </w:rPr>
        <w:t>2.</w:t>
      </w:r>
      <w:r>
        <w:rPr>
          <w:color w:val="000000"/>
        </w:rPr>
        <w:tab/>
      </w:r>
      <w:hyperlink r:id="rId22">
        <w:r>
          <w:rPr>
            <w:color w:val="000000"/>
          </w:rPr>
          <w:t xml:space="preserve">Chen, S., Zhou, Y., Chen, Y. &amp; Gu, J. fastp: an ultra-fast all-in-one FASTQ preprocessor. </w:t>
        </w:r>
      </w:hyperlink>
      <w:hyperlink r:id="rId23">
        <w:r>
          <w:rPr>
            <w:i/>
            <w:color w:val="000000"/>
          </w:rPr>
          <w:t>Bioinformatics</w:t>
        </w:r>
      </w:hyperlink>
      <w:hyperlink r:id="rId24">
        <w:r>
          <w:rPr>
            <w:color w:val="000000"/>
          </w:rPr>
          <w:t xml:space="preserve"> </w:t>
        </w:r>
      </w:hyperlink>
      <w:hyperlink r:id="rId25">
        <w:r>
          <w:rPr>
            <w:b/>
            <w:color w:val="000000"/>
          </w:rPr>
          <w:t>34</w:t>
        </w:r>
      </w:hyperlink>
      <w:hyperlink r:id="rId26">
        <w:r>
          <w:rPr>
            <w:color w:val="000000"/>
          </w:rPr>
          <w:t>, i884–i890 (2018).</w:t>
        </w:r>
      </w:hyperlink>
    </w:p>
    <w:p w14:paraId="3890BF4F" w14:textId="77777777" w:rsidR="004071E7" w:rsidRDefault="00000000">
      <w:pPr>
        <w:widowControl w:val="0"/>
        <w:pBdr>
          <w:top w:val="nil"/>
          <w:left w:val="nil"/>
          <w:bottom w:val="nil"/>
          <w:right w:val="nil"/>
          <w:between w:val="nil"/>
        </w:pBdr>
        <w:spacing w:line="360" w:lineRule="auto"/>
        <w:ind w:left="440" w:hanging="440"/>
        <w:rPr>
          <w:color w:val="000000"/>
        </w:rPr>
      </w:pPr>
      <w:r>
        <w:rPr>
          <w:color w:val="000000"/>
        </w:rPr>
        <w:t>3.</w:t>
      </w:r>
      <w:r>
        <w:rPr>
          <w:color w:val="000000"/>
        </w:rPr>
        <w:tab/>
      </w:r>
      <w:hyperlink r:id="rId27">
        <w:r>
          <w:rPr>
            <w:color w:val="000000"/>
          </w:rPr>
          <w:t xml:space="preserve">Langmead, B. &amp; Salzberg, S. L. Fast gapped-read alignment with Bowtie 2. </w:t>
        </w:r>
      </w:hyperlink>
      <w:hyperlink r:id="rId28">
        <w:r>
          <w:rPr>
            <w:i/>
            <w:color w:val="000000"/>
          </w:rPr>
          <w:t>Nat. Methods</w:t>
        </w:r>
      </w:hyperlink>
      <w:hyperlink r:id="rId29">
        <w:r>
          <w:rPr>
            <w:color w:val="000000"/>
          </w:rPr>
          <w:t xml:space="preserve"> </w:t>
        </w:r>
      </w:hyperlink>
      <w:hyperlink r:id="rId30">
        <w:r>
          <w:rPr>
            <w:b/>
            <w:color w:val="000000"/>
          </w:rPr>
          <w:t>9</w:t>
        </w:r>
      </w:hyperlink>
      <w:hyperlink r:id="rId31">
        <w:r>
          <w:rPr>
            <w:color w:val="000000"/>
          </w:rPr>
          <w:t>, 357–359 (2012).</w:t>
        </w:r>
      </w:hyperlink>
    </w:p>
    <w:p w14:paraId="2407FFE9" w14:textId="77777777" w:rsidR="004071E7" w:rsidRDefault="00000000">
      <w:pPr>
        <w:widowControl w:val="0"/>
        <w:pBdr>
          <w:top w:val="nil"/>
          <w:left w:val="nil"/>
          <w:bottom w:val="nil"/>
          <w:right w:val="nil"/>
          <w:between w:val="nil"/>
        </w:pBdr>
        <w:spacing w:line="360" w:lineRule="auto"/>
        <w:ind w:left="440" w:hanging="440"/>
        <w:rPr>
          <w:color w:val="000000"/>
        </w:rPr>
      </w:pPr>
      <w:r>
        <w:rPr>
          <w:color w:val="000000"/>
        </w:rPr>
        <w:t>4.</w:t>
      </w:r>
      <w:r>
        <w:rPr>
          <w:color w:val="000000"/>
        </w:rPr>
        <w:tab/>
      </w:r>
      <w:hyperlink r:id="rId32">
        <w:r>
          <w:rPr>
            <w:color w:val="000000"/>
          </w:rPr>
          <w:t xml:space="preserve">Li, H. </w:t>
        </w:r>
      </w:hyperlink>
      <w:hyperlink r:id="rId33">
        <w:r>
          <w:rPr>
            <w:i/>
            <w:color w:val="000000"/>
          </w:rPr>
          <w:t>et al.</w:t>
        </w:r>
      </w:hyperlink>
      <w:hyperlink r:id="rId34">
        <w:r>
          <w:rPr>
            <w:color w:val="000000"/>
          </w:rPr>
          <w:t xml:space="preserve"> The Sequence Alignment/Map format and SAMtools. </w:t>
        </w:r>
      </w:hyperlink>
      <w:hyperlink r:id="rId35">
        <w:r>
          <w:rPr>
            <w:i/>
            <w:color w:val="000000"/>
          </w:rPr>
          <w:t>Bioinformatics</w:t>
        </w:r>
      </w:hyperlink>
      <w:hyperlink r:id="rId36">
        <w:r>
          <w:rPr>
            <w:color w:val="000000"/>
          </w:rPr>
          <w:t xml:space="preserve"> </w:t>
        </w:r>
      </w:hyperlink>
      <w:hyperlink r:id="rId37">
        <w:r>
          <w:rPr>
            <w:b/>
            <w:color w:val="000000"/>
          </w:rPr>
          <w:t>25</w:t>
        </w:r>
      </w:hyperlink>
      <w:hyperlink r:id="rId38">
        <w:r>
          <w:rPr>
            <w:color w:val="000000"/>
          </w:rPr>
          <w:t>, 2078–2079 (2009).</w:t>
        </w:r>
      </w:hyperlink>
    </w:p>
    <w:p w14:paraId="61F148B0" w14:textId="77777777" w:rsidR="004071E7" w:rsidRDefault="00000000">
      <w:pPr>
        <w:widowControl w:val="0"/>
        <w:pBdr>
          <w:top w:val="nil"/>
          <w:left w:val="nil"/>
          <w:bottom w:val="nil"/>
          <w:right w:val="nil"/>
          <w:between w:val="nil"/>
        </w:pBdr>
        <w:spacing w:line="360" w:lineRule="auto"/>
        <w:ind w:left="440" w:hanging="440"/>
        <w:rPr>
          <w:color w:val="000000"/>
        </w:rPr>
      </w:pPr>
      <w:r>
        <w:rPr>
          <w:color w:val="000000"/>
        </w:rPr>
        <w:t>5.</w:t>
      </w:r>
      <w:r>
        <w:rPr>
          <w:color w:val="000000"/>
        </w:rPr>
        <w:tab/>
      </w:r>
      <w:hyperlink r:id="rId39">
        <w:r>
          <w:rPr>
            <w:color w:val="000000"/>
          </w:rPr>
          <w:t xml:space="preserve">Uritskiy, G. V., DiRuggiero, J. &amp; Taylor, J. MetaWRAP—a flexible pipeline for genome-resolved metagenomic data analysis. </w:t>
        </w:r>
      </w:hyperlink>
      <w:hyperlink r:id="rId40">
        <w:r>
          <w:rPr>
            <w:i/>
            <w:color w:val="000000"/>
          </w:rPr>
          <w:t>Microbiome</w:t>
        </w:r>
      </w:hyperlink>
      <w:hyperlink r:id="rId41">
        <w:r>
          <w:rPr>
            <w:color w:val="000000"/>
          </w:rPr>
          <w:t xml:space="preserve"> </w:t>
        </w:r>
      </w:hyperlink>
      <w:hyperlink r:id="rId42">
        <w:r>
          <w:rPr>
            <w:b/>
            <w:color w:val="000000"/>
          </w:rPr>
          <w:t>6</w:t>
        </w:r>
      </w:hyperlink>
      <w:hyperlink r:id="rId43">
        <w:r>
          <w:rPr>
            <w:color w:val="000000"/>
          </w:rPr>
          <w:t>, 1–13 (2018).</w:t>
        </w:r>
      </w:hyperlink>
    </w:p>
    <w:p w14:paraId="007E66E0" w14:textId="77777777" w:rsidR="004071E7" w:rsidRDefault="00000000">
      <w:pPr>
        <w:widowControl w:val="0"/>
        <w:pBdr>
          <w:top w:val="nil"/>
          <w:left w:val="nil"/>
          <w:bottom w:val="nil"/>
          <w:right w:val="nil"/>
          <w:between w:val="nil"/>
        </w:pBdr>
        <w:spacing w:line="360" w:lineRule="auto"/>
        <w:ind w:left="440" w:hanging="440"/>
        <w:rPr>
          <w:color w:val="000000"/>
        </w:rPr>
      </w:pPr>
      <w:r>
        <w:rPr>
          <w:color w:val="000000"/>
        </w:rPr>
        <w:t>6.</w:t>
      </w:r>
      <w:r>
        <w:rPr>
          <w:color w:val="000000"/>
        </w:rPr>
        <w:tab/>
      </w:r>
      <w:hyperlink r:id="rId44">
        <w:r>
          <w:rPr>
            <w:color w:val="000000"/>
          </w:rPr>
          <w:t xml:space="preserve">Olm, M. R., Brown, C. T., Brooks, B. &amp; Banfield, J. F. dRep: a tool for fast and accurate genomic comparisons that enables improved genome recovery from metagenomes through de-replication. </w:t>
        </w:r>
      </w:hyperlink>
      <w:hyperlink r:id="rId45">
        <w:r>
          <w:rPr>
            <w:i/>
            <w:color w:val="000000"/>
          </w:rPr>
          <w:t>ISME J.</w:t>
        </w:r>
      </w:hyperlink>
      <w:hyperlink r:id="rId46">
        <w:r>
          <w:rPr>
            <w:color w:val="000000"/>
          </w:rPr>
          <w:t xml:space="preserve"> </w:t>
        </w:r>
      </w:hyperlink>
      <w:hyperlink r:id="rId47">
        <w:r>
          <w:rPr>
            <w:b/>
            <w:color w:val="000000"/>
          </w:rPr>
          <w:t>11</w:t>
        </w:r>
      </w:hyperlink>
      <w:hyperlink r:id="rId48">
        <w:r>
          <w:rPr>
            <w:color w:val="000000"/>
          </w:rPr>
          <w:t>, 2864–2868 (2017).</w:t>
        </w:r>
      </w:hyperlink>
    </w:p>
    <w:p w14:paraId="0C3D582D" w14:textId="77777777" w:rsidR="004071E7" w:rsidRDefault="00000000">
      <w:pPr>
        <w:widowControl w:val="0"/>
        <w:pBdr>
          <w:top w:val="nil"/>
          <w:left w:val="nil"/>
          <w:bottom w:val="nil"/>
          <w:right w:val="nil"/>
          <w:between w:val="nil"/>
        </w:pBdr>
        <w:spacing w:line="360" w:lineRule="auto"/>
        <w:ind w:left="440" w:hanging="440"/>
        <w:rPr>
          <w:color w:val="000000"/>
        </w:rPr>
      </w:pPr>
      <w:r>
        <w:rPr>
          <w:color w:val="000000"/>
        </w:rPr>
        <w:t>7.</w:t>
      </w:r>
      <w:r>
        <w:rPr>
          <w:color w:val="000000"/>
        </w:rPr>
        <w:tab/>
      </w:r>
      <w:hyperlink r:id="rId49">
        <w:r>
          <w:rPr>
            <w:color w:val="000000"/>
          </w:rPr>
          <w:t xml:space="preserve">Chaumeil, P.-A., Mussig, A. J., Hugenholtz, P. &amp; Parks, D. H. GTDB-Tk: a toolkit to classify genomes with the Genome Taxonomy Database. </w:t>
        </w:r>
      </w:hyperlink>
      <w:hyperlink r:id="rId50">
        <w:r>
          <w:rPr>
            <w:i/>
            <w:color w:val="000000"/>
          </w:rPr>
          <w:t>Bioinformatics</w:t>
        </w:r>
      </w:hyperlink>
      <w:hyperlink r:id="rId51">
        <w:r>
          <w:rPr>
            <w:color w:val="000000"/>
          </w:rPr>
          <w:t xml:space="preserve"> (2019) doi:</w:t>
        </w:r>
      </w:hyperlink>
      <w:hyperlink r:id="rId52">
        <w:r>
          <w:rPr>
            <w:color w:val="000000"/>
          </w:rPr>
          <w:t>10.1093/bioinformatics/btz848</w:t>
        </w:r>
      </w:hyperlink>
      <w:hyperlink r:id="rId53">
        <w:r>
          <w:rPr>
            <w:color w:val="000000"/>
          </w:rPr>
          <w:t>.</w:t>
        </w:r>
      </w:hyperlink>
    </w:p>
    <w:p w14:paraId="286C5DB0" w14:textId="77777777" w:rsidR="004071E7" w:rsidRDefault="00000000">
      <w:pPr>
        <w:widowControl w:val="0"/>
        <w:pBdr>
          <w:top w:val="nil"/>
          <w:left w:val="nil"/>
          <w:bottom w:val="nil"/>
          <w:right w:val="nil"/>
          <w:between w:val="nil"/>
        </w:pBdr>
        <w:spacing w:line="360" w:lineRule="auto"/>
        <w:ind w:left="440" w:hanging="440"/>
        <w:rPr>
          <w:color w:val="000000"/>
        </w:rPr>
      </w:pPr>
      <w:r>
        <w:rPr>
          <w:color w:val="000000"/>
        </w:rPr>
        <w:t>8.</w:t>
      </w:r>
      <w:r>
        <w:rPr>
          <w:color w:val="000000"/>
        </w:rPr>
        <w:tab/>
      </w:r>
      <w:hyperlink r:id="rId54">
        <w:r>
          <w:rPr>
            <w:color w:val="000000"/>
          </w:rPr>
          <w:t xml:space="preserve">Shaffer, M. </w:t>
        </w:r>
      </w:hyperlink>
      <w:hyperlink r:id="rId55">
        <w:r>
          <w:rPr>
            <w:i/>
            <w:color w:val="000000"/>
          </w:rPr>
          <w:t>et al.</w:t>
        </w:r>
      </w:hyperlink>
      <w:hyperlink r:id="rId56">
        <w:r>
          <w:rPr>
            <w:color w:val="000000"/>
          </w:rPr>
          <w:t xml:space="preserve"> DRAM for distilling microbial metabolism to automate the curation of microbiome function. </w:t>
        </w:r>
      </w:hyperlink>
      <w:hyperlink r:id="rId57">
        <w:r>
          <w:rPr>
            <w:i/>
            <w:color w:val="000000"/>
          </w:rPr>
          <w:t>Nucleic Acids Res.</w:t>
        </w:r>
      </w:hyperlink>
      <w:hyperlink r:id="rId58">
        <w:r>
          <w:rPr>
            <w:color w:val="000000"/>
          </w:rPr>
          <w:t xml:space="preserve"> </w:t>
        </w:r>
      </w:hyperlink>
      <w:hyperlink r:id="rId59">
        <w:r>
          <w:rPr>
            <w:b/>
            <w:color w:val="000000"/>
          </w:rPr>
          <w:t>48</w:t>
        </w:r>
      </w:hyperlink>
      <w:hyperlink r:id="rId60">
        <w:r>
          <w:rPr>
            <w:color w:val="000000"/>
          </w:rPr>
          <w:t>, 8883–8900 (2020).</w:t>
        </w:r>
      </w:hyperlink>
    </w:p>
    <w:p w14:paraId="6052F5C6" w14:textId="77777777" w:rsidR="004071E7" w:rsidRDefault="00000000">
      <w:pPr>
        <w:widowControl w:val="0"/>
        <w:pBdr>
          <w:top w:val="nil"/>
          <w:left w:val="nil"/>
          <w:bottom w:val="nil"/>
          <w:right w:val="nil"/>
          <w:between w:val="nil"/>
        </w:pBdr>
        <w:spacing w:line="360" w:lineRule="auto"/>
        <w:ind w:left="440" w:hanging="440"/>
        <w:rPr>
          <w:color w:val="000000"/>
        </w:rPr>
      </w:pPr>
      <w:r w:rsidRPr="007920A9">
        <w:rPr>
          <w:color w:val="000000"/>
          <w:lang w:val="da-DK"/>
        </w:rPr>
        <w:t>9.</w:t>
      </w:r>
      <w:r w:rsidRPr="007920A9">
        <w:rPr>
          <w:color w:val="000000"/>
          <w:lang w:val="da-DK"/>
        </w:rPr>
        <w:tab/>
      </w:r>
      <w:hyperlink r:id="rId61">
        <w:r w:rsidRPr="007920A9">
          <w:rPr>
            <w:color w:val="000000"/>
            <w:lang w:val="da-DK"/>
          </w:rPr>
          <w:t xml:space="preserve">Brooks, M. E. </w:t>
        </w:r>
      </w:hyperlink>
      <w:hyperlink r:id="rId62">
        <w:r w:rsidRPr="007920A9">
          <w:rPr>
            <w:i/>
            <w:color w:val="000000"/>
            <w:lang w:val="da-DK"/>
          </w:rPr>
          <w:t>et al.</w:t>
        </w:r>
      </w:hyperlink>
      <w:hyperlink r:id="rId63">
        <w:r w:rsidRPr="007920A9">
          <w:rPr>
            <w:color w:val="000000"/>
            <w:lang w:val="da-DK"/>
          </w:rPr>
          <w:t xml:space="preserve"> </w:t>
        </w:r>
        <w:r>
          <w:rPr>
            <w:color w:val="000000"/>
          </w:rPr>
          <w:t xml:space="preserve">glmmTMB balances speed and flexibility among packages for zero-inflated generalized linear mixed modeling. </w:t>
        </w:r>
      </w:hyperlink>
      <w:hyperlink r:id="rId64">
        <w:r>
          <w:rPr>
            <w:i/>
            <w:color w:val="000000"/>
          </w:rPr>
          <w:t>R J.</w:t>
        </w:r>
      </w:hyperlink>
      <w:hyperlink r:id="rId65">
        <w:r>
          <w:rPr>
            <w:color w:val="000000"/>
          </w:rPr>
          <w:t xml:space="preserve"> </w:t>
        </w:r>
      </w:hyperlink>
      <w:hyperlink r:id="rId66">
        <w:r>
          <w:rPr>
            <w:b/>
            <w:color w:val="000000"/>
          </w:rPr>
          <w:t>9</w:t>
        </w:r>
      </w:hyperlink>
      <w:hyperlink r:id="rId67">
        <w:r>
          <w:rPr>
            <w:color w:val="000000"/>
          </w:rPr>
          <w:t>, 378–400 (2017).</w:t>
        </w:r>
      </w:hyperlink>
    </w:p>
    <w:p w14:paraId="78CEE220" w14:textId="692FB656" w:rsidR="004071E7" w:rsidRPr="007920A9" w:rsidRDefault="00000000" w:rsidP="007920A9">
      <w:pPr>
        <w:widowControl w:val="0"/>
        <w:pBdr>
          <w:top w:val="nil"/>
          <w:left w:val="nil"/>
          <w:bottom w:val="nil"/>
          <w:right w:val="nil"/>
          <w:between w:val="nil"/>
        </w:pBdr>
        <w:spacing w:after="220" w:line="360" w:lineRule="auto"/>
        <w:ind w:left="440" w:hanging="440"/>
        <w:rPr>
          <w:color w:val="000000"/>
        </w:rPr>
      </w:pPr>
      <w:r>
        <w:rPr>
          <w:color w:val="000000"/>
        </w:rPr>
        <w:t>10.</w:t>
      </w:r>
      <w:r>
        <w:rPr>
          <w:color w:val="000000"/>
        </w:rPr>
        <w:tab/>
      </w:r>
      <w:hyperlink r:id="rId68">
        <w:r>
          <w:rPr>
            <w:color w:val="000000"/>
          </w:rPr>
          <w:t xml:space="preserve">Bates, D., Sarkar, D., Bates, M. D. &amp; Matrix, L. The lme4 package. </w:t>
        </w:r>
      </w:hyperlink>
      <w:hyperlink r:id="rId69">
        <w:r>
          <w:rPr>
            <w:i/>
            <w:color w:val="000000"/>
          </w:rPr>
          <w:t>R package version</w:t>
        </w:r>
      </w:hyperlink>
      <w:hyperlink r:id="rId70">
        <w:r>
          <w:rPr>
            <w:color w:val="000000"/>
          </w:rPr>
          <w:t xml:space="preserve"> </w:t>
        </w:r>
      </w:hyperlink>
      <w:hyperlink r:id="rId71">
        <w:r>
          <w:rPr>
            <w:b/>
            <w:color w:val="000000"/>
          </w:rPr>
          <w:t>2</w:t>
        </w:r>
      </w:hyperlink>
      <w:hyperlink r:id="rId72">
        <w:r>
          <w:rPr>
            <w:color w:val="000000"/>
          </w:rPr>
          <w:t>, 74 (2007).</w:t>
        </w:r>
      </w:hyperlink>
    </w:p>
    <w:p w14:paraId="33C5D63E" w14:textId="77777777" w:rsidR="004071E7" w:rsidRDefault="00000000">
      <w:r>
        <w:rPr>
          <w:sz w:val="32"/>
          <w:szCs w:val="32"/>
        </w:rPr>
        <w:lastRenderedPageBreak/>
        <w:t>Supplementary tables</w:t>
      </w:r>
      <w:r>
        <w:t xml:space="preserve">  </w:t>
      </w:r>
    </w:p>
    <w:p w14:paraId="47B8E2A9" w14:textId="77777777" w:rsidR="004071E7" w:rsidRDefault="004071E7"/>
    <w:p w14:paraId="1ADC5AF1" w14:textId="77777777" w:rsidR="004071E7" w:rsidRDefault="00000000">
      <w:pPr>
        <w:rPr>
          <w:b/>
        </w:rPr>
      </w:pPr>
      <w:r>
        <w:rPr>
          <w:b/>
        </w:rPr>
        <w:t>Table S1. Main design and technical differences among studies incorporated in this publication.</w:t>
      </w:r>
    </w:p>
    <w:tbl>
      <w:tblPr>
        <w:tblStyle w:val="a"/>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900"/>
        <w:gridCol w:w="585"/>
        <w:gridCol w:w="750"/>
        <w:gridCol w:w="915"/>
        <w:gridCol w:w="1140"/>
        <w:gridCol w:w="630"/>
        <w:gridCol w:w="675"/>
        <w:gridCol w:w="825"/>
        <w:gridCol w:w="1200"/>
        <w:gridCol w:w="780"/>
      </w:tblGrid>
      <w:tr w:rsidR="004071E7" w14:paraId="209A312E" w14:textId="77777777">
        <w:tc>
          <w:tcPr>
            <w:tcW w:w="975" w:type="dxa"/>
            <w:shd w:val="clear" w:color="auto" w:fill="auto"/>
            <w:tcMar>
              <w:top w:w="43" w:type="dxa"/>
              <w:left w:w="43" w:type="dxa"/>
              <w:bottom w:w="43" w:type="dxa"/>
              <w:right w:w="43" w:type="dxa"/>
            </w:tcMar>
          </w:tcPr>
          <w:p w14:paraId="12999876" w14:textId="77777777" w:rsidR="004071E7" w:rsidRDefault="00000000">
            <w:pPr>
              <w:widowControl w:val="0"/>
              <w:spacing w:line="240" w:lineRule="auto"/>
              <w:rPr>
                <w:b/>
                <w:sz w:val="18"/>
                <w:szCs w:val="18"/>
              </w:rPr>
            </w:pPr>
            <w:r>
              <w:rPr>
                <w:b/>
                <w:sz w:val="18"/>
                <w:szCs w:val="18"/>
              </w:rPr>
              <w:t>Host</w:t>
            </w:r>
          </w:p>
        </w:tc>
        <w:tc>
          <w:tcPr>
            <w:tcW w:w="900" w:type="dxa"/>
            <w:shd w:val="clear" w:color="auto" w:fill="auto"/>
            <w:tcMar>
              <w:top w:w="43" w:type="dxa"/>
              <w:left w:w="43" w:type="dxa"/>
              <w:bottom w:w="43" w:type="dxa"/>
              <w:right w:w="43" w:type="dxa"/>
            </w:tcMar>
          </w:tcPr>
          <w:p w14:paraId="297A903B" w14:textId="77777777" w:rsidR="004071E7" w:rsidRDefault="00000000">
            <w:pPr>
              <w:widowControl w:val="0"/>
              <w:spacing w:line="240" w:lineRule="auto"/>
              <w:rPr>
                <w:b/>
                <w:sz w:val="18"/>
                <w:szCs w:val="18"/>
              </w:rPr>
            </w:pPr>
            <w:r>
              <w:rPr>
                <w:b/>
                <w:sz w:val="18"/>
                <w:szCs w:val="18"/>
              </w:rPr>
              <w:t>Common name</w:t>
            </w:r>
          </w:p>
        </w:tc>
        <w:tc>
          <w:tcPr>
            <w:tcW w:w="585" w:type="dxa"/>
            <w:shd w:val="clear" w:color="auto" w:fill="auto"/>
            <w:tcMar>
              <w:top w:w="43" w:type="dxa"/>
              <w:left w:w="43" w:type="dxa"/>
              <w:bottom w:w="43" w:type="dxa"/>
              <w:right w:w="43" w:type="dxa"/>
            </w:tcMar>
          </w:tcPr>
          <w:p w14:paraId="5DFBE519" w14:textId="77777777" w:rsidR="004071E7" w:rsidRDefault="00000000">
            <w:pPr>
              <w:widowControl w:val="0"/>
              <w:spacing w:line="240" w:lineRule="auto"/>
              <w:rPr>
                <w:b/>
                <w:sz w:val="18"/>
                <w:szCs w:val="18"/>
              </w:rPr>
            </w:pPr>
            <w:r>
              <w:rPr>
                <w:b/>
                <w:sz w:val="18"/>
                <w:szCs w:val="18"/>
              </w:rPr>
              <w:t>Origin</w:t>
            </w:r>
          </w:p>
        </w:tc>
        <w:tc>
          <w:tcPr>
            <w:tcW w:w="750" w:type="dxa"/>
            <w:shd w:val="clear" w:color="auto" w:fill="auto"/>
            <w:tcMar>
              <w:top w:w="43" w:type="dxa"/>
              <w:left w:w="43" w:type="dxa"/>
              <w:bottom w:w="43" w:type="dxa"/>
              <w:right w:w="43" w:type="dxa"/>
            </w:tcMar>
          </w:tcPr>
          <w:p w14:paraId="2390DCBB" w14:textId="77777777" w:rsidR="004071E7" w:rsidRDefault="00000000">
            <w:pPr>
              <w:widowControl w:val="0"/>
              <w:spacing w:line="240" w:lineRule="auto"/>
              <w:rPr>
                <w:b/>
                <w:sz w:val="18"/>
                <w:szCs w:val="18"/>
              </w:rPr>
            </w:pPr>
            <w:r>
              <w:rPr>
                <w:b/>
                <w:sz w:val="18"/>
                <w:szCs w:val="18"/>
              </w:rPr>
              <w:t>Sample type</w:t>
            </w:r>
          </w:p>
        </w:tc>
        <w:tc>
          <w:tcPr>
            <w:tcW w:w="915" w:type="dxa"/>
            <w:shd w:val="clear" w:color="auto" w:fill="auto"/>
            <w:tcMar>
              <w:top w:w="43" w:type="dxa"/>
              <w:left w:w="43" w:type="dxa"/>
              <w:bottom w:w="43" w:type="dxa"/>
              <w:right w:w="43" w:type="dxa"/>
            </w:tcMar>
          </w:tcPr>
          <w:p w14:paraId="0770B3F3" w14:textId="77777777" w:rsidR="004071E7" w:rsidRDefault="00000000">
            <w:pPr>
              <w:widowControl w:val="0"/>
              <w:spacing w:line="240" w:lineRule="auto"/>
              <w:rPr>
                <w:b/>
                <w:sz w:val="18"/>
                <w:szCs w:val="18"/>
              </w:rPr>
            </w:pPr>
            <w:r>
              <w:rPr>
                <w:b/>
                <w:sz w:val="18"/>
                <w:szCs w:val="18"/>
              </w:rPr>
              <w:t>Preservative</w:t>
            </w:r>
          </w:p>
        </w:tc>
        <w:tc>
          <w:tcPr>
            <w:tcW w:w="1140" w:type="dxa"/>
            <w:shd w:val="clear" w:color="auto" w:fill="auto"/>
            <w:tcMar>
              <w:top w:w="43" w:type="dxa"/>
              <w:left w:w="43" w:type="dxa"/>
              <w:bottom w:w="43" w:type="dxa"/>
              <w:right w:w="43" w:type="dxa"/>
            </w:tcMar>
          </w:tcPr>
          <w:p w14:paraId="09B425BB" w14:textId="77777777" w:rsidR="004071E7" w:rsidRDefault="00000000">
            <w:pPr>
              <w:widowControl w:val="0"/>
              <w:spacing w:line="240" w:lineRule="auto"/>
              <w:rPr>
                <w:b/>
                <w:sz w:val="18"/>
                <w:szCs w:val="18"/>
              </w:rPr>
            </w:pPr>
            <w:r>
              <w:rPr>
                <w:b/>
                <w:sz w:val="18"/>
                <w:szCs w:val="18"/>
              </w:rPr>
              <w:t>Study design</w:t>
            </w:r>
          </w:p>
        </w:tc>
        <w:tc>
          <w:tcPr>
            <w:tcW w:w="630" w:type="dxa"/>
            <w:shd w:val="clear" w:color="auto" w:fill="auto"/>
            <w:tcMar>
              <w:top w:w="43" w:type="dxa"/>
              <w:left w:w="43" w:type="dxa"/>
              <w:bottom w:w="43" w:type="dxa"/>
              <w:right w:w="43" w:type="dxa"/>
            </w:tcMar>
          </w:tcPr>
          <w:p w14:paraId="5F18301A" w14:textId="77777777" w:rsidR="004071E7" w:rsidRDefault="00000000">
            <w:pPr>
              <w:widowControl w:val="0"/>
              <w:spacing w:line="240" w:lineRule="auto"/>
              <w:rPr>
                <w:b/>
                <w:sz w:val="18"/>
                <w:szCs w:val="18"/>
              </w:rPr>
            </w:pPr>
            <w:r>
              <w:rPr>
                <w:b/>
                <w:sz w:val="18"/>
                <w:szCs w:val="18"/>
              </w:rPr>
              <w:t># individuals</w:t>
            </w:r>
          </w:p>
        </w:tc>
        <w:tc>
          <w:tcPr>
            <w:tcW w:w="675" w:type="dxa"/>
            <w:shd w:val="clear" w:color="auto" w:fill="auto"/>
            <w:tcMar>
              <w:top w:w="43" w:type="dxa"/>
              <w:left w:w="43" w:type="dxa"/>
              <w:bottom w:w="43" w:type="dxa"/>
              <w:right w:w="43" w:type="dxa"/>
            </w:tcMar>
          </w:tcPr>
          <w:p w14:paraId="3DFA45FD" w14:textId="77777777" w:rsidR="004071E7" w:rsidRDefault="00000000">
            <w:pPr>
              <w:widowControl w:val="0"/>
              <w:spacing w:line="240" w:lineRule="auto"/>
              <w:rPr>
                <w:b/>
                <w:sz w:val="18"/>
                <w:szCs w:val="18"/>
              </w:rPr>
            </w:pPr>
            <w:r>
              <w:rPr>
                <w:b/>
                <w:sz w:val="18"/>
                <w:szCs w:val="18"/>
              </w:rPr>
              <w:t># samples</w:t>
            </w:r>
          </w:p>
        </w:tc>
        <w:tc>
          <w:tcPr>
            <w:tcW w:w="825" w:type="dxa"/>
            <w:shd w:val="clear" w:color="auto" w:fill="auto"/>
            <w:tcMar>
              <w:top w:w="43" w:type="dxa"/>
              <w:left w:w="43" w:type="dxa"/>
              <w:bottom w:w="43" w:type="dxa"/>
              <w:right w:w="43" w:type="dxa"/>
            </w:tcMar>
          </w:tcPr>
          <w:p w14:paraId="455BCE01" w14:textId="77777777" w:rsidR="004071E7" w:rsidRDefault="00000000">
            <w:pPr>
              <w:widowControl w:val="0"/>
              <w:spacing w:line="240" w:lineRule="auto"/>
              <w:rPr>
                <w:b/>
                <w:sz w:val="18"/>
                <w:szCs w:val="18"/>
              </w:rPr>
            </w:pPr>
            <w:r>
              <w:rPr>
                <w:b/>
                <w:sz w:val="18"/>
                <w:szCs w:val="18"/>
              </w:rPr>
              <w:t>Seq. techn.</w:t>
            </w:r>
          </w:p>
        </w:tc>
        <w:tc>
          <w:tcPr>
            <w:tcW w:w="1200" w:type="dxa"/>
            <w:shd w:val="clear" w:color="auto" w:fill="auto"/>
            <w:tcMar>
              <w:top w:w="43" w:type="dxa"/>
              <w:left w:w="43" w:type="dxa"/>
              <w:bottom w:w="43" w:type="dxa"/>
              <w:right w:w="43" w:type="dxa"/>
            </w:tcMar>
          </w:tcPr>
          <w:p w14:paraId="6DFAE70F" w14:textId="77777777" w:rsidR="004071E7" w:rsidRDefault="00000000">
            <w:pPr>
              <w:widowControl w:val="0"/>
              <w:spacing w:line="240" w:lineRule="auto"/>
              <w:rPr>
                <w:b/>
                <w:sz w:val="18"/>
                <w:szCs w:val="18"/>
              </w:rPr>
            </w:pPr>
            <w:r>
              <w:rPr>
                <w:b/>
                <w:sz w:val="18"/>
                <w:szCs w:val="18"/>
              </w:rPr>
              <w:t>Assembly</w:t>
            </w:r>
          </w:p>
        </w:tc>
        <w:tc>
          <w:tcPr>
            <w:tcW w:w="780" w:type="dxa"/>
            <w:shd w:val="clear" w:color="auto" w:fill="auto"/>
            <w:tcMar>
              <w:top w:w="43" w:type="dxa"/>
              <w:left w:w="43" w:type="dxa"/>
              <w:bottom w:w="43" w:type="dxa"/>
              <w:right w:w="43" w:type="dxa"/>
            </w:tcMar>
          </w:tcPr>
          <w:p w14:paraId="4D7F1D77" w14:textId="77777777" w:rsidR="004071E7" w:rsidRDefault="00000000">
            <w:pPr>
              <w:widowControl w:val="0"/>
              <w:spacing w:line="240" w:lineRule="auto"/>
              <w:rPr>
                <w:b/>
                <w:sz w:val="18"/>
                <w:szCs w:val="18"/>
              </w:rPr>
            </w:pPr>
            <w:r>
              <w:rPr>
                <w:b/>
                <w:sz w:val="18"/>
                <w:szCs w:val="18"/>
              </w:rPr>
              <w:t># MAGs</w:t>
            </w:r>
          </w:p>
        </w:tc>
      </w:tr>
      <w:tr w:rsidR="004071E7" w14:paraId="6AF7D375" w14:textId="77777777">
        <w:tc>
          <w:tcPr>
            <w:tcW w:w="975" w:type="dxa"/>
            <w:shd w:val="clear" w:color="auto" w:fill="auto"/>
            <w:tcMar>
              <w:top w:w="43" w:type="dxa"/>
              <w:left w:w="43" w:type="dxa"/>
              <w:bottom w:w="43" w:type="dxa"/>
              <w:right w:w="43" w:type="dxa"/>
            </w:tcMar>
          </w:tcPr>
          <w:p w14:paraId="565D681C" w14:textId="77777777" w:rsidR="004071E7" w:rsidRDefault="00000000">
            <w:pPr>
              <w:widowControl w:val="0"/>
              <w:spacing w:line="240" w:lineRule="auto"/>
              <w:rPr>
                <w:sz w:val="18"/>
                <w:szCs w:val="18"/>
              </w:rPr>
            </w:pPr>
            <w:r>
              <w:rPr>
                <w:i/>
                <w:sz w:val="18"/>
                <w:szCs w:val="18"/>
              </w:rPr>
              <w:t>Apodemus sylvaticus</w:t>
            </w:r>
          </w:p>
        </w:tc>
        <w:tc>
          <w:tcPr>
            <w:tcW w:w="900" w:type="dxa"/>
            <w:shd w:val="clear" w:color="auto" w:fill="auto"/>
            <w:tcMar>
              <w:top w:w="43" w:type="dxa"/>
              <w:left w:w="43" w:type="dxa"/>
              <w:bottom w:w="43" w:type="dxa"/>
              <w:right w:w="43" w:type="dxa"/>
            </w:tcMar>
          </w:tcPr>
          <w:p w14:paraId="586FCF11" w14:textId="77777777" w:rsidR="004071E7" w:rsidRDefault="00000000">
            <w:pPr>
              <w:widowControl w:val="0"/>
              <w:spacing w:line="240" w:lineRule="auto"/>
              <w:rPr>
                <w:sz w:val="18"/>
                <w:szCs w:val="18"/>
              </w:rPr>
            </w:pPr>
            <w:r>
              <w:rPr>
                <w:sz w:val="18"/>
                <w:szCs w:val="18"/>
              </w:rPr>
              <w:t>Wood mouse</w:t>
            </w:r>
          </w:p>
        </w:tc>
        <w:tc>
          <w:tcPr>
            <w:tcW w:w="585" w:type="dxa"/>
            <w:shd w:val="clear" w:color="auto" w:fill="auto"/>
            <w:tcMar>
              <w:top w:w="43" w:type="dxa"/>
              <w:left w:w="43" w:type="dxa"/>
              <w:bottom w:w="43" w:type="dxa"/>
              <w:right w:w="43" w:type="dxa"/>
            </w:tcMar>
          </w:tcPr>
          <w:p w14:paraId="5467914C" w14:textId="77777777" w:rsidR="004071E7" w:rsidRDefault="00000000">
            <w:pPr>
              <w:widowControl w:val="0"/>
              <w:spacing w:line="240" w:lineRule="auto"/>
              <w:rPr>
                <w:sz w:val="18"/>
                <w:szCs w:val="18"/>
              </w:rPr>
            </w:pPr>
            <w:r>
              <w:rPr>
                <w:sz w:val="18"/>
                <w:szCs w:val="18"/>
              </w:rPr>
              <w:t>Wild</w:t>
            </w:r>
          </w:p>
        </w:tc>
        <w:tc>
          <w:tcPr>
            <w:tcW w:w="750" w:type="dxa"/>
            <w:shd w:val="clear" w:color="auto" w:fill="auto"/>
            <w:tcMar>
              <w:top w:w="43" w:type="dxa"/>
              <w:left w:w="43" w:type="dxa"/>
              <w:bottom w:w="43" w:type="dxa"/>
              <w:right w:w="43" w:type="dxa"/>
            </w:tcMar>
          </w:tcPr>
          <w:p w14:paraId="243DED73" w14:textId="77777777" w:rsidR="004071E7" w:rsidRDefault="00000000">
            <w:pPr>
              <w:widowControl w:val="0"/>
              <w:spacing w:line="240" w:lineRule="auto"/>
              <w:rPr>
                <w:sz w:val="18"/>
                <w:szCs w:val="18"/>
              </w:rPr>
            </w:pPr>
            <w:r>
              <w:rPr>
                <w:sz w:val="18"/>
                <w:szCs w:val="18"/>
              </w:rPr>
              <w:t>Faeces</w:t>
            </w:r>
          </w:p>
        </w:tc>
        <w:tc>
          <w:tcPr>
            <w:tcW w:w="915" w:type="dxa"/>
            <w:shd w:val="clear" w:color="auto" w:fill="auto"/>
            <w:tcMar>
              <w:top w:w="43" w:type="dxa"/>
              <w:left w:w="43" w:type="dxa"/>
              <w:bottom w:w="43" w:type="dxa"/>
              <w:right w:w="43" w:type="dxa"/>
            </w:tcMar>
          </w:tcPr>
          <w:p w14:paraId="76CB0A46" w14:textId="77777777" w:rsidR="004071E7" w:rsidRDefault="00000000">
            <w:pPr>
              <w:widowControl w:val="0"/>
              <w:spacing w:line="240" w:lineRule="auto"/>
              <w:rPr>
                <w:sz w:val="18"/>
                <w:szCs w:val="18"/>
              </w:rPr>
            </w:pPr>
            <w:r>
              <w:rPr>
                <w:sz w:val="18"/>
                <w:szCs w:val="18"/>
              </w:rPr>
              <w:t>DNA/RNA Shield</w:t>
            </w:r>
          </w:p>
        </w:tc>
        <w:tc>
          <w:tcPr>
            <w:tcW w:w="1140" w:type="dxa"/>
            <w:shd w:val="clear" w:color="auto" w:fill="auto"/>
            <w:tcMar>
              <w:top w:w="43" w:type="dxa"/>
              <w:left w:w="43" w:type="dxa"/>
              <w:bottom w:w="43" w:type="dxa"/>
              <w:right w:w="43" w:type="dxa"/>
            </w:tcMar>
          </w:tcPr>
          <w:p w14:paraId="665613CB" w14:textId="77777777" w:rsidR="004071E7" w:rsidRDefault="00000000">
            <w:pPr>
              <w:widowControl w:val="0"/>
              <w:spacing w:line="240" w:lineRule="auto"/>
              <w:rPr>
                <w:sz w:val="18"/>
                <w:szCs w:val="18"/>
              </w:rPr>
            </w:pPr>
            <w:r>
              <w:rPr>
                <w:sz w:val="18"/>
                <w:szCs w:val="18"/>
              </w:rPr>
              <w:t xml:space="preserve">Longitudinal </w:t>
            </w:r>
          </w:p>
        </w:tc>
        <w:tc>
          <w:tcPr>
            <w:tcW w:w="630" w:type="dxa"/>
            <w:shd w:val="clear" w:color="auto" w:fill="auto"/>
            <w:tcMar>
              <w:top w:w="43" w:type="dxa"/>
              <w:left w:w="43" w:type="dxa"/>
              <w:bottom w:w="43" w:type="dxa"/>
              <w:right w:w="43" w:type="dxa"/>
            </w:tcMar>
          </w:tcPr>
          <w:p w14:paraId="0F423009" w14:textId="77777777" w:rsidR="004071E7" w:rsidRDefault="00000000">
            <w:pPr>
              <w:widowControl w:val="0"/>
              <w:spacing w:line="240" w:lineRule="auto"/>
              <w:rPr>
                <w:sz w:val="18"/>
                <w:szCs w:val="18"/>
              </w:rPr>
            </w:pPr>
            <w:r>
              <w:rPr>
                <w:sz w:val="18"/>
                <w:szCs w:val="18"/>
              </w:rPr>
              <w:t>25</w:t>
            </w:r>
          </w:p>
        </w:tc>
        <w:tc>
          <w:tcPr>
            <w:tcW w:w="675" w:type="dxa"/>
            <w:shd w:val="clear" w:color="auto" w:fill="auto"/>
            <w:tcMar>
              <w:top w:w="43" w:type="dxa"/>
              <w:left w:w="43" w:type="dxa"/>
              <w:bottom w:w="43" w:type="dxa"/>
              <w:right w:w="43" w:type="dxa"/>
            </w:tcMar>
          </w:tcPr>
          <w:p w14:paraId="79398236" w14:textId="77777777" w:rsidR="004071E7" w:rsidRDefault="00000000">
            <w:pPr>
              <w:widowControl w:val="0"/>
              <w:spacing w:line="240" w:lineRule="auto"/>
              <w:rPr>
                <w:sz w:val="18"/>
                <w:szCs w:val="18"/>
              </w:rPr>
            </w:pPr>
            <w:r>
              <w:rPr>
                <w:sz w:val="18"/>
                <w:szCs w:val="18"/>
              </w:rPr>
              <w:t>125</w:t>
            </w:r>
          </w:p>
        </w:tc>
        <w:tc>
          <w:tcPr>
            <w:tcW w:w="825" w:type="dxa"/>
            <w:shd w:val="clear" w:color="auto" w:fill="auto"/>
            <w:tcMar>
              <w:top w:w="43" w:type="dxa"/>
              <w:left w:w="43" w:type="dxa"/>
              <w:bottom w:w="43" w:type="dxa"/>
              <w:right w:w="43" w:type="dxa"/>
            </w:tcMar>
          </w:tcPr>
          <w:p w14:paraId="2E45539F" w14:textId="77777777" w:rsidR="004071E7" w:rsidRDefault="00000000">
            <w:pPr>
              <w:widowControl w:val="0"/>
              <w:spacing w:line="240" w:lineRule="auto"/>
              <w:rPr>
                <w:sz w:val="18"/>
                <w:szCs w:val="18"/>
              </w:rPr>
            </w:pPr>
            <w:r>
              <w:rPr>
                <w:sz w:val="18"/>
                <w:szCs w:val="18"/>
              </w:rPr>
              <w:t>BGISeq</w:t>
            </w:r>
          </w:p>
        </w:tc>
        <w:tc>
          <w:tcPr>
            <w:tcW w:w="1200" w:type="dxa"/>
            <w:shd w:val="clear" w:color="auto" w:fill="auto"/>
            <w:tcMar>
              <w:top w:w="43" w:type="dxa"/>
              <w:left w:w="43" w:type="dxa"/>
              <w:bottom w:w="43" w:type="dxa"/>
              <w:right w:w="43" w:type="dxa"/>
            </w:tcMar>
          </w:tcPr>
          <w:p w14:paraId="34A5B3EF" w14:textId="77777777" w:rsidR="004071E7" w:rsidRDefault="00000000">
            <w:pPr>
              <w:widowControl w:val="0"/>
              <w:spacing w:line="240" w:lineRule="auto"/>
              <w:rPr>
                <w:sz w:val="18"/>
                <w:szCs w:val="18"/>
              </w:rPr>
            </w:pPr>
            <w:r>
              <w:rPr>
                <w:sz w:val="18"/>
                <w:szCs w:val="18"/>
              </w:rPr>
              <w:t xml:space="preserve">Individual coassembly </w:t>
            </w:r>
          </w:p>
        </w:tc>
        <w:tc>
          <w:tcPr>
            <w:tcW w:w="780" w:type="dxa"/>
            <w:shd w:val="clear" w:color="auto" w:fill="auto"/>
            <w:tcMar>
              <w:top w:w="43" w:type="dxa"/>
              <w:left w:w="43" w:type="dxa"/>
              <w:bottom w:w="43" w:type="dxa"/>
              <w:right w:w="43" w:type="dxa"/>
            </w:tcMar>
          </w:tcPr>
          <w:p w14:paraId="53F4A201" w14:textId="77777777" w:rsidR="004071E7" w:rsidRDefault="00000000">
            <w:pPr>
              <w:widowControl w:val="0"/>
              <w:spacing w:line="240" w:lineRule="auto"/>
              <w:rPr>
                <w:sz w:val="18"/>
                <w:szCs w:val="18"/>
              </w:rPr>
            </w:pPr>
            <w:r>
              <w:rPr>
                <w:sz w:val="18"/>
                <w:szCs w:val="18"/>
              </w:rPr>
              <w:t>448</w:t>
            </w:r>
          </w:p>
        </w:tc>
      </w:tr>
      <w:tr w:rsidR="004071E7" w14:paraId="1D89A5CB" w14:textId="77777777">
        <w:tc>
          <w:tcPr>
            <w:tcW w:w="975" w:type="dxa"/>
            <w:shd w:val="clear" w:color="auto" w:fill="auto"/>
            <w:tcMar>
              <w:top w:w="43" w:type="dxa"/>
              <w:left w:w="43" w:type="dxa"/>
              <w:bottom w:w="43" w:type="dxa"/>
              <w:right w:w="43" w:type="dxa"/>
            </w:tcMar>
          </w:tcPr>
          <w:p w14:paraId="40781A34" w14:textId="77777777" w:rsidR="004071E7" w:rsidRDefault="00000000">
            <w:pPr>
              <w:widowControl w:val="0"/>
              <w:spacing w:line="240" w:lineRule="auto"/>
              <w:rPr>
                <w:sz w:val="18"/>
                <w:szCs w:val="18"/>
              </w:rPr>
            </w:pPr>
            <w:r>
              <w:rPr>
                <w:i/>
                <w:sz w:val="18"/>
                <w:szCs w:val="18"/>
              </w:rPr>
              <w:t>Crocidura russula</w:t>
            </w:r>
          </w:p>
        </w:tc>
        <w:tc>
          <w:tcPr>
            <w:tcW w:w="900" w:type="dxa"/>
            <w:shd w:val="clear" w:color="auto" w:fill="auto"/>
            <w:tcMar>
              <w:top w:w="43" w:type="dxa"/>
              <w:left w:w="43" w:type="dxa"/>
              <w:bottom w:w="43" w:type="dxa"/>
              <w:right w:w="43" w:type="dxa"/>
            </w:tcMar>
          </w:tcPr>
          <w:p w14:paraId="5A92098A" w14:textId="77777777" w:rsidR="004071E7" w:rsidRDefault="00000000">
            <w:pPr>
              <w:widowControl w:val="0"/>
              <w:spacing w:line="240" w:lineRule="auto"/>
              <w:rPr>
                <w:sz w:val="18"/>
                <w:szCs w:val="18"/>
              </w:rPr>
            </w:pPr>
            <w:r>
              <w:rPr>
                <w:sz w:val="18"/>
                <w:szCs w:val="18"/>
              </w:rPr>
              <w:t>Greater white-toothed shrew</w:t>
            </w:r>
          </w:p>
        </w:tc>
        <w:tc>
          <w:tcPr>
            <w:tcW w:w="585" w:type="dxa"/>
            <w:shd w:val="clear" w:color="auto" w:fill="auto"/>
            <w:tcMar>
              <w:top w:w="43" w:type="dxa"/>
              <w:left w:w="43" w:type="dxa"/>
              <w:bottom w:w="43" w:type="dxa"/>
              <w:right w:w="43" w:type="dxa"/>
            </w:tcMar>
          </w:tcPr>
          <w:p w14:paraId="2F84EC5E" w14:textId="77777777" w:rsidR="004071E7" w:rsidRDefault="00000000">
            <w:pPr>
              <w:widowControl w:val="0"/>
              <w:spacing w:line="240" w:lineRule="auto"/>
              <w:rPr>
                <w:sz w:val="18"/>
                <w:szCs w:val="18"/>
              </w:rPr>
            </w:pPr>
            <w:r>
              <w:rPr>
                <w:sz w:val="18"/>
                <w:szCs w:val="18"/>
              </w:rPr>
              <w:t>Wild</w:t>
            </w:r>
          </w:p>
        </w:tc>
        <w:tc>
          <w:tcPr>
            <w:tcW w:w="750" w:type="dxa"/>
            <w:shd w:val="clear" w:color="auto" w:fill="auto"/>
            <w:tcMar>
              <w:top w:w="43" w:type="dxa"/>
              <w:left w:w="43" w:type="dxa"/>
              <w:bottom w:w="43" w:type="dxa"/>
              <w:right w:w="43" w:type="dxa"/>
            </w:tcMar>
          </w:tcPr>
          <w:p w14:paraId="196CA7F2" w14:textId="77777777" w:rsidR="004071E7" w:rsidRDefault="00000000">
            <w:pPr>
              <w:widowControl w:val="0"/>
              <w:spacing w:line="240" w:lineRule="auto"/>
              <w:rPr>
                <w:sz w:val="18"/>
                <w:szCs w:val="18"/>
              </w:rPr>
            </w:pPr>
            <w:r>
              <w:rPr>
                <w:sz w:val="18"/>
                <w:szCs w:val="18"/>
              </w:rPr>
              <w:t>Faeces</w:t>
            </w:r>
          </w:p>
        </w:tc>
        <w:tc>
          <w:tcPr>
            <w:tcW w:w="915" w:type="dxa"/>
            <w:shd w:val="clear" w:color="auto" w:fill="auto"/>
            <w:tcMar>
              <w:top w:w="43" w:type="dxa"/>
              <w:left w:w="43" w:type="dxa"/>
              <w:bottom w:w="43" w:type="dxa"/>
              <w:right w:w="43" w:type="dxa"/>
            </w:tcMar>
          </w:tcPr>
          <w:p w14:paraId="7873A190" w14:textId="77777777" w:rsidR="004071E7" w:rsidRDefault="00000000">
            <w:pPr>
              <w:widowControl w:val="0"/>
              <w:spacing w:line="240" w:lineRule="auto"/>
              <w:rPr>
                <w:sz w:val="18"/>
                <w:szCs w:val="18"/>
              </w:rPr>
            </w:pPr>
            <w:r>
              <w:rPr>
                <w:sz w:val="18"/>
                <w:szCs w:val="18"/>
              </w:rPr>
              <w:t>DNA/RNA Shield</w:t>
            </w:r>
          </w:p>
        </w:tc>
        <w:tc>
          <w:tcPr>
            <w:tcW w:w="1140" w:type="dxa"/>
            <w:shd w:val="clear" w:color="auto" w:fill="auto"/>
            <w:tcMar>
              <w:top w:w="43" w:type="dxa"/>
              <w:left w:w="43" w:type="dxa"/>
              <w:bottom w:w="43" w:type="dxa"/>
              <w:right w:w="43" w:type="dxa"/>
            </w:tcMar>
          </w:tcPr>
          <w:p w14:paraId="070A096D" w14:textId="77777777" w:rsidR="004071E7" w:rsidRDefault="00000000">
            <w:pPr>
              <w:widowControl w:val="0"/>
              <w:spacing w:line="240" w:lineRule="auto"/>
              <w:rPr>
                <w:sz w:val="18"/>
                <w:szCs w:val="18"/>
              </w:rPr>
            </w:pPr>
            <w:r>
              <w:rPr>
                <w:sz w:val="18"/>
                <w:szCs w:val="18"/>
              </w:rPr>
              <w:t>Longitudinal</w:t>
            </w:r>
          </w:p>
        </w:tc>
        <w:tc>
          <w:tcPr>
            <w:tcW w:w="630" w:type="dxa"/>
            <w:shd w:val="clear" w:color="auto" w:fill="auto"/>
            <w:tcMar>
              <w:top w:w="43" w:type="dxa"/>
              <w:left w:w="43" w:type="dxa"/>
              <w:bottom w:w="43" w:type="dxa"/>
              <w:right w:w="43" w:type="dxa"/>
            </w:tcMar>
          </w:tcPr>
          <w:p w14:paraId="271854AB" w14:textId="77777777" w:rsidR="004071E7" w:rsidRDefault="00000000">
            <w:pPr>
              <w:widowControl w:val="0"/>
              <w:spacing w:line="240" w:lineRule="auto"/>
              <w:rPr>
                <w:sz w:val="18"/>
                <w:szCs w:val="18"/>
              </w:rPr>
            </w:pPr>
            <w:r>
              <w:rPr>
                <w:sz w:val="18"/>
                <w:szCs w:val="18"/>
              </w:rPr>
              <w:t>20</w:t>
            </w:r>
          </w:p>
        </w:tc>
        <w:tc>
          <w:tcPr>
            <w:tcW w:w="675" w:type="dxa"/>
            <w:shd w:val="clear" w:color="auto" w:fill="auto"/>
            <w:tcMar>
              <w:top w:w="43" w:type="dxa"/>
              <w:left w:w="43" w:type="dxa"/>
              <w:bottom w:w="43" w:type="dxa"/>
              <w:right w:w="43" w:type="dxa"/>
            </w:tcMar>
          </w:tcPr>
          <w:p w14:paraId="6B74F531" w14:textId="77777777" w:rsidR="004071E7" w:rsidRDefault="00000000">
            <w:pPr>
              <w:widowControl w:val="0"/>
              <w:spacing w:line="240" w:lineRule="auto"/>
              <w:rPr>
                <w:sz w:val="18"/>
                <w:szCs w:val="18"/>
              </w:rPr>
            </w:pPr>
            <w:r>
              <w:rPr>
                <w:sz w:val="18"/>
                <w:szCs w:val="18"/>
              </w:rPr>
              <w:t>80</w:t>
            </w:r>
          </w:p>
        </w:tc>
        <w:tc>
          <w:tcPr>
            <w:tcW w:w="825" w:type="dxa"/>
            <w:shd w:val="clear" w:color="auto" w:fill="auto"/>
            <w:tcMar>
              <w:top w:w="43" w:type="dxa"/>
              <w:left w:w="43" w:type="dxa"/>
              <w:bottom w:w="43" w:type="dxa"/>
              <w:right w:w="43" w:type="dxa"/>
            </w:tcMar>
          </w:tcPr>
          <w:p w14:paraId="00EF472D" w14:textId="77777777" w:rsidR="004071E7" w:rsidRDefault="00000000">
            <w:pPr>
              <w:widowControl w:val="0"/>
              <w:spacing w:line="240" w:lineRule="auto"/>
              <w:rPr>
                <w:sz w:val="18"/>
                <w:szCs w:val="18"/>
              </w:rPr>
            </w:pPr>
            <w:r>
              <w:rPr>
                <w:sz w:val="18"/>
                <w:szCs w:val="18"/>
              </w:rPr>
              <w:t>BGISeq</w:t>
            </w:r>
          </w:p>
        </w:tc>
        <w:tc>
          <w:tcPr>
            <w:tcW w:w="1200" w:type="dxa"/>
            <w:shd w:val="clear" w:color="auto" w:fill="auto"/>
            <w:tcMar>
              <w:top w:w="43" w:type="dxa"/>
              <w:left w:w="43" w:type="dxa"/>
              <w:bottom w:w="43" w:type="dxa"/>
              <w:right w:w="43" w:type="dxa"/>
            </w:tcMar>
          </w:tcPr>
          <w:p w14:paraId="768A2BE3" w14:textId="77777777" w:rsidR="004071E7" w:rsidRDefault="00000000">
            <w:pPr>
              <w:widowControl w:val="0"/>
              <w:spacing w:line="240" w:lineRule="auto"/>
              <w:rPr>
                <w:sz w:val="18"/>
                <w:szCs w:val="18"/>
              </w:rPr>
            </w:pPr>
            <w:r>
              <w:rPr>
                <w:sz w:val="18"/>
                <w:szCs w:val="18"/>
              </w:rPr>
              <w:t xml:space="preserve">Individual coassembly </w:t>
            </w:r>
          </w:p>
        </w:tc>
        <w:tc>
          <w:tcPr>
            <w:tcW w:w="780" w:type="dxa"/>
            <w:shd w:val="clear" w:color="auto" w:fill="auto"/>
            <w:tcMar>
              <w:top w:w="43" w:type="dxa"/>
              <w:left w:w="43" w:type="dxa"/>
              <w:bottom w:w="43" w:type="dxa"/>
              <w:right w:w="43" w:type="dxa"/>
            </w:tcMar>
          </w:tcPr>
          <w:p w14:paraId="2DC2998E" w14:textId="77777777" w:rsidR="004071E7" w:rsidRDefault="00000000">
            <w:pPr>
              <w:widowControl w:val="0"/>
              <w:spacing w:line="240" w:lineRule="auto"/>
              <w:rPr>
                <w:sz w:val="18"/>
                <w:szCs w:val="18"/>
              </w:rPr>
            </w:pPr>
            <w:r>
              <w:rPr>
                <w:sz w:val="18"/>
                <w:szCs w:val="18"/>
              </w:rPr>
              <w:t>87</w:t>
            </w:r>
          </w:p>
        </w:tc>
      </w:tr>
      <w:tr w:rsidR="004071E7" w14:paraId="0CA3BB50" w14:textId="77777777">
        <w:tc>
          <w:tcPr>
            <w:tcW w:w="975" w:type="dxa"/>
            <w:shd w:val="clear" w:color="auto" w:fill="auto"/>
            <w:tcMar>
              <w:top w:w="43" w:type="dxa"/>
              <w:left w:w="43" w:type="dxa"/>
              <w:bottom w:w="43" w:type="dxa"/>
              <w:right w:w="43" w:type="dxa"/>
            </w:tcMar>
          </w:tcPr>
          <w:p w14:paraId="44AA21FB" w14:textId="77777777" w:rsidR="004071E7" w:rsidRDefault="00000000">
            <w:pPr>
              <w:widowControl w:val="0"/>
              <w:spacing w:line="240" w:lineRule="auto"/>
              <w:rPr>
                <w:sz w:val="18"/>
                <w:szCs w:val="18"/>
              </w:rPr>
            </w:pPr>
            <w:r>
              <w:rPr>
                <w:sz w:val="18"/>
                <w:szCs w:val="18"/>
              </w:rPr>
              <w:t>Felis catus</w:t>
            </w:r>
          </w:p>
        </w:tc>
        <w:tc>
          <w:tcPr>
            <w:tcW w:w="900" w:type="dxa"/>
            <w:shd w:val="clear" w:color="auto" w:fill="auto"/>
            <w:tcMar>
              <w:top w:w="43" w:type="dxa"/>
              <w:left w:w="43" w:type="dxa"/>
              <w:bottom w:w="43" w:type="dxa"/>
              <w:right w:w="43" w:type="dxa"/>
            </w:tcMar>
          </w:tcPr>
          <w:p w14:paraId="4DE66DBA" w14:textId="77777777" w:rsidR="004071E7" w:rsidRDefault="00000000">
            <w:pPr>
              <w:widowControl w:val="0"/>
              <w:spacing w:line="240" w:lineRule="auto"/>
              <w:rPr>
                <w:sz w:val="18"/>
                <w:szCs w:val="18"/>
              </w:rPr>
            </w:pPr>
            <w:r>
              <w:rPr>
                <w:sz w:val="18"/>
                <w:szCs w:val="18"/>
              </w:rPr>
              <w:t>Common cat</w:t>
            </w:r>
          </w:p>
        </w:tc>
        <w:tc>
          <w:tcPr>
            <w:tcW w:w="585" w:type="dxa"/>
            <w:shd w:val="clear" w:color="auto" w:fill="auto"/>
            <w:tcMar>
              <w:top w:w="43" w:type="dxa"/>
              <w:left w:w="43" w:type="dxa"/>
              <w:bottom w:w="43" w:type="dxa"/>
              <w:right w:w="43" w:type="dxa"/>
            </w:tcMar>
          </w:tcPr>
          <w:p w14:paraId="1C0C66B8" w14:textId="77777777" w:rsidR="004071E7" w:rsidRDefault="00000000">
            <w:pPr>
              <w:widowControl w:val="0"/>
              <w:spacing w:line="240" w:lineRule="auto"/>
              <w:rPr>
                <w:sz w:val="18"/>
                <w:szCs w:val="18"/>
              </w:rPr>
            </w:pPr>
            <w:r>
              <w:rPr>
                <w:sz w:val="18"/>
                <w:szCs w:val="18"/>
              </w:rPr>
              <w:t>Domestic</w:t>
            </w:r>
          </w:p>
        </w:tc>
        <w:tc>
          <w:tcPr>
            <w:tcW w:w="750" w:type="dxa"/>
            <w:shd w:val="clear" w:color="auto" w:fill="auto"/>
            <w:tcMar>
              <w:top w:w="43" w:type="dxa"/>
              <w:left w:w="43" w:type="dxa"/>
              <w:bottom w:w="43" w:type="dxa"/>
              <w:right w:w="43" w:type="dxa"/>
            </w:tcMar>
          </w:tcPr>
          <w:p w14:paraId="22CD54C5" w14:textId="77777777" w:rsidR="004071E7" w:rsidRDefault="00000000">
            <w:pPr>
              <w:widowControl w:val="0"/>
              <w:spacing w:line="240" w:lineRule="auto"/>
              <w:rPr>
                <w:sz w:val="18"/>
                <w:szCs w:val="18"/>
              </w:rPr>
            </w:pPr>
            <w:r>
              <w:rPr>
                <w:sz w:val="18"/>
                <w:szCs w:val="18"/>
              </w:rPr>
              <w:t>Faeces</w:t>
            </w:r>
          </w:p>
        </w:tc>
        <w:tc>
          <w:tcPr>
            <w:tcW w:w="915" w:type="dxa"/>
            <w:shd w:val="clear" w:color="auto" w:fill="auto"/>
            <w:tcMar>
              <w:top w:w="43" w:type="dxa"/>
              <w:left w:w="43" w:type="dxa"/>
              <w:bottom w:w="43" w:type="dxa"/>
              <w:right w:w="43" w:type="dxa"/>
            </w:tcMar>
          </w:tcPr>
          <w:p w14:paraId="3A39DEB0" w14:textId="77777777" w:rsidR="004071E7" w:rsidRDefault="00000000">
            <w:pPr>
              <w:widowControl w:val="0"/>
              <w:spacing w:line="240" w:lineRule="auto"/>
              <w:rPr>
                <w:sz w:val="18"/>
                <w:szCs w:val="18"/>
              </w:rPr>
            </w:pPr>
            <w:r>
              <w:rPr>
                <w:sz w:val="18"/>
                <w:szCs w:val="18"/>
              </w:rPr>
              <w:t>FTA cards</w:t>
            </w:r>
          </w:p>
        </w:tc>
        <w:tc>
          <w:tcPr>
            <w:tcW w:w="1140" w:type="dxa"/>
            <w:shd w:val="clear" w:color="auto" w:fill="auto"/>
            <w:tcMar>
              <w:top w:w="43" w:type="dxa"/>
              <w:left w:w="43" w:type="dxa"/>
              <w:bottom w:w="43" w:type="dxa"/>
              <w:right w:w="43" w:type="dxa"/>
            </w:tcMar>
          </w:tcPr>
          <w:p w14:paraId="5920C699" w14:textId="77777777" w:rsidR="004071E7" w:rsidRDefault="00000000">
            <w:pPr>
              <w:widowControl w:val="0"/>
              <w:spacing w:line="240" w:lineRule="auto"/>
              <w:rPr>
                <w:sz w:val="18"/>
                <w:szCs w:val="18"/>
              </w:rPr>
            </w:pPr>
            <w:r>
              <w:rPr>
                <w:sz w:val="18"/>
                <w:szCs w:val="18"/>
              </w:rPr>
              <w:t>Cross-cut</w:t>
            </w:r>
          </w:p>
        </w:tc>
        <w:tc>
          <w:tcPr>
            <w:tcW w:w="630" w:type="dxa"/>
            <w:shd w:val="clear" w:color="auto" w:fill="auto"/>
            <w:tcMar>
              <w:top w:w="43" w:type="dxa"/>
              <w:left w:w="43" w:type="dxa"/>
              <w:bottom w:w="43" w:type="dxa"/>
              <w:right w:w="43" w:type="dxa"/>
            </w:tcMar>
          </w:tcPr>
          <w:p w14:paraId="596FD26B" w14:textId="77777777" w:rsidR="004071E7" w:rsidRDefault="00000000">
            <w:pPr>
              <w:widowControl w:val="0"/>
              <w:spacing w:line="240" w:lineRule="auto"/>
              <w:rPr>
                <w:sz w:val="18"/>
                <w:szCs w:val="18"/>
              </w:rPr>
            </w:pPr>
            <w:r>
              <w:rPr>
                <w:sz w:val="18"/>
                <w:szCs w:val="18"/>
              </w:rPr>
              <w:t>160</w:t>
            </w:r>
          </w:p>
        </w:tc>
        <w:tc>
          <w:tcPr>
            <w:tcW w:w="675" w:type="dxa"/>
            <w:shd w:val="clear" w:color="auto" w:fill="auto"/>
            <w:tcMar>
              <w:top w:w="43" w:type="dxa"/>
              <w:left w:w="43" w:type="dxa"/>
              <w:bottom w:w="43" w:type="dxa"/>
              <w:right w:w="43" w:type="dxa"/>
            </w:tcMar>
          </w:tcPr>
          <w:p w14:paraId="31E82FDC" w14:textId="77777777" w:rsidR="004071E7" w:rsidRDefault="00000000">
            <w:pPr>
              <w:widowControl w:val="0"/>
              <w:spacing w:line="240" w:lineRule="auto"/>
              <w:rPr>
                <w:sz w:val="18"/>
                <w:szCs w:val="18"/>
              </w:rPr>
            </w:pPr>
            <w:r>
              <w:rPr>
                <w:sz w:val="18"/>
                <w:szCs w:val="18"/>
              </w:rPr>
              <w:t>160</w:t>
            </w:r>
          </w:p>
        </w:tc>
        <w:tc>
          <w:tcPr>
            <w:tcW w:w="825" w:type="dxa"/>
            <w:shd w:val="clear" w:color="auto" w:fill="auto"/>
            <w:tcMar>
              <w:top w:w="43" w:type="dxa"/>
              <w:left w:w="43" w:type="dxa"/>
              <w:bottom w:w="43" w:type="dxa"/>
              <w:right w:w="43" w:type="dxa"/>
            </w:tcMar>
          </w:tcPr>
          <w:p w14:paraId="3380CE5C" w14:textId="77777777" w:rsidR="004071E7" w:rsidRDefault="00000000">
            <w:pPr>
              <w:widowControl w:val="0"/>
              <w:spacing w:line="240" w:lineRule="auto"/>
              <w:rPr>
                <w:sz w:val="18"/>
                <w:szCs w:val="18"/>
              </w:rPr>
            </w:pPr>
            <w:r>
              <w:rPr>
                <w:sz w:val="18"/>
                <w:szCs w:val="18"/>
              </w:rPr>
              <w:t>BGISeq</w:t>
            </w:r>
          </w:p>
        </w:tc>
        <w:tc>
          <w:tcPr>
            <w:tcW w:w="1200" w:type="dxa"/>
            <w:shd w:val="clear" w:color="auto" w:fill="auto"/>
            <w:tcMar>
              <w:top w:w="43" w:type="dxa"/>
              <w:left w:w="43" w:type="dxa"/>
              <w:bottom w:w="43" w:type="dxa"/>
              <w:right w:w="43" w:type="dxa"/>
            </w:tcMar>
          </w:tcPr>
          <w:p w14:paraId="6F79652D" w14:textId="77777777" w:rsidR="004071E7" w:rsidRDefault="00000000">
            <w:pPr>
              <w:widowControl w:val="0"/>
              <w:spacing w:line="240" w:lineRule="auto"/>
              <w:rPr>
                <w:sz w:val="18"/>
                <w:szCs w:val="18"/>
              </w:rPr>
            </w:pPr>
            <w:r>
              <w:rPr>
                <w:sz w:val="18"/>
                <w:szCs w:val="18"/>
              </w:rPr>
              <w:t>Population</w:t>
            </w:r>
          </w:p>
          <w:p w14:paraId="1F2B73AC" w14:textId="77777777" w:rsidR="004071E7" w:rsidRDefault="00000000">
            <w:pPr>
              <w:widowControl w:val="0"/>
              <w:spacing w:line="240" w:lineRule="auto"/>
              <w:rPr>
                <w:sz w:val="18"/>
                <w:szCs w:val="18"/>
              </w:rPr>
            </w:pPr>
            <w:r>
              <w:rPr>
                <w:sz w:val="18"/>
                <w:szCs w:val="18"/>
              </w:rPr>
              <w:t>coassembly</w:t>
            </w:r>
          </w:p>
        </w:tc>
        <w:tc>
          <w:tcPr>
            <w:tcW w:w="780" w:type="dxa"/>
            <w:shd w:val="clear" w:color="auto" w:fill="auto"/>
            <w:tcMar>
              <w:top w:w="43" w:type="dxa"/>
              <w:left w:w="43" w:type="dxa"/>
              <w:bottom w:w="43" w:type="dxa"/>
              <w:right w:w="43" w:type="dxa"/>
            </w:tcMar>
          </w:tcPr>
          <w:p w14:paraId="61015EEE" w14:textId="77777777" w:rsidR="004071E7" w:rsidRDefault="00000000">
            <w:pPr>
              <w:widowControl w:val="0"/>
              <w:spacing w:line="240" w:lineRule="auto"/>
              <w:rPr>
                <w:sz w:val="18"/>
                <w:szCs w:val="18"/>
              </w:rPr>
            </w:pPr>
            <w:r>
              <w:rPr>
                <w:sz w:val="18"/>
                <w:szCs w:val="18"/>
              </w:rPr>
              <w:t>230</w:t>
            </w:r>
          </w:p>
        </w:tc>
      </w:tr>
      <w:tr w:rsidR="004071E7" w14:paraId="78AABCA6" w14:textId="77777777">
        <w:tc>
          <w:tcPr>
            <w:tcW w:w="975" w:type="dxa"/>
            <w:shd w:val="clear" w:color="auto" w:fill="auto"/>
            <w:tcMar>
              <w:top w:w="43" w:type="dxa"/>
              <w:left w:w="43" w:type="dxa"/>
              <w:bottom w:w="43" w:type="dxa"/>
              <w:right w:w="43" w:type="dxa"/>
            </w:tcMar>
          </w:tcPr>
          <w:p w14:paraId="0055A04B" w14:textId="77777777" w:rsidR="004071E7" w:rsidRDefault="00000000">
            <w:pPr>
              <w:widowControl w:val="0"/>
              <w:spacing w:line="240" w:lineRule="auto"/>
              <w:rPr>
                <w:sz w:val="18"/>
                <w:szCs w:val="18"/>
              </w:rPr>
            </w:pPr>
            <w:r>
              <w:rPr>
                <w:sz w:val="18"/>
                <w:szCs w:val="18"/>
              </w:rPr>
              <w:t>Gallus gallus</w:t>
            </w:r>
          </w:p>
        </w:tc>
        <w:tc>
          <w:tcPr>
            <w:tcW w:w="900" w:type="dxa"/>
            <w:shd w:val="clear" w:color="auto" w:fill="auto"/>
            <w:tcMar>
              <w:top w:w="43" w:type="dxa"/>
              <w:left w:w="43" w:type="dxa"/>
              <w:bottom w:w="43" w:type="dxa"/>
              <w:right w:w="43" w:type="dxa"/>
            </w:tcMar>
          </w:tcPr>
          <w:p w14:paraId="6FF30182" w14:textId="77777777" w:rsidR="004071E7" w:rsidRDefault="00000000">
            <w:pPr>
              <w:widowControl w:val="0"/>
              <w:spacing w:line="240" w:lineRule="auto"/>
              <w:rPr>
                <w:sz w:val="18"/>
                <w:szCs w:val="18"/>
              </w:rPr>
            </w:pPr>
            <w:r>
              <w:rPr>
                <w:sz w:val="18"/>
                <w:szCs w:val="18"/>
              </w:rPr>
              <w:t>Broiler chicken</w:t>
            </w:r>
          </w:p>
        </w:tc>
        <w:tc>
          <w:tcPr>
            <w:tcW w:w="585" w:type="dxa"/>
            <w:shd w:val="clear" w:color="auto" w:fill="auto"/>
            <w:tcMar>
              <w:top w:w="43" w:type="dxa"/>
              <w:left w:w="43" w:type="dxa"/>
              <w:bottom w:w="43" w:type="dxa"/>
              <w:right w:w="43" w:type="dxa"/>
            </w:tcMar>
          </w:tcPr>
          <w:p w14:paraId="588DD522" w14:textId="77777777" w:rsidR="004071E7" w:rsidRDefault="00000000">
            <w:pPr>
              <w:widowControl w:val="0"/>
              <w:spacing w:line="240" w:lineRule="auto"/>
              <w:rPr>
                <w:sz w:val="18"/>
                <w:szCs w:val="18"/>
              </w:rPr>
            </w:pPr>
            <w:r>
              <w:rPr>
                <w:sz w:val="18"/>
                <w:szCs w:val="18"/>
              </w:rPr>
              <w:t>Farm</w:t>
            </w:r>
          </w:p>
        </w:tc>
        <w:tc>
          <w:tcPr>
            <w:tcW w:w="750" w:type="dxa"/>
            <w:shd w:val="clear" w:color="auto" w:fill="auto"/>
            <w:tcMar>
              <w:top w:w="43" w:type="dxa"/>
              <w:left w:w="43" w:type="dxa"/>
              <w:bottom w:w="43" w:type="dxa"/>
              <w:right w:w="43" w:type="dxa"/>
            </w:tcMar>
          </w:tcPr>
          <w:p w14:paraId="543659C9" w14:textId="77777777" w:rsidR="004071E7" w:rsidRDefault="00000000">
            <w:pPr>
              <w:widowControl w:val="0"/>
              <w:spacing w:line="240" w:lineRule="auto"/>
              <w:rPr>
                <w:sz w:val="18"/>
                <w:szCs w:val="18"/>
              </w:rPr>
            </w:pPr>
            <w:r>
              <w:rPr>
                <w:sz w:val="18"/>
                <w:szCs w:val="18"/>
              </w:rPr>
              <w:t>Caecal content</w:t>
            </w:r>
          </w:p>
        </w:tc>
        <w:tc>
          <w:tcPr>
            <w:tcW w:w="915" w:type="dxa"/>
            <w:shd w:val="clear" w:color="auto" w:fill="auto"/>
            <w:tcMar>
              <w:top w:w="43" w:type="dxa"/>
              <w:left w:w="43" w:type="dxa"/>
              <w:bottom w:w="43" w:type="dxa"/>
              <w:right w:w="43" w:type="dxa"/>
            </w:tcMar>
          </w:tcPr>
          <w:p w14:paraId="441F4518" w14:textId="77777777" w:rsidR="004071E7" w:rsidRDefault="00000000">
            <w:pPr>
              <w:widowControl w:val="0"/>
              <w:spacing w:line="240" w:lineRule="auto"/>
              <w:rPr>
                <w:sz w:val="18"/>
                <w:szCs w:val="18"/>
              </w:rPr>
            </w:pPr>
            <w:r>
              <w:rPr>
                <w:sz w:val="18"/>
                <w:szCs w:val="18"/>
              </w:rPr>
              <w:t>DNA/RNA Shield</w:t>
            </w:r>
          </w:p>
        </w:tc>
        <w:tc>
          <w:tcPr>
            <w:tcW w:w="1140" w:type="dxa"/>
            <w:shd w:val="clear" w:color="auto" w:fill="auto"/>
            <w:tcMar>
              <w:top w:w="43" w:type="dxa"/>
              <w:left w:w="43" w:type="dxa"/>
              <w:bottom w:w="43" w:type="dxa"/>
              <w:right w:w="43" w:type="dxa"/>
            </w:tcMar>
          </w:tcPr>
          <w:p w14:paraId="7EAA71B9" w14:textId="77777777" w:rsidR="004071E7" w:rsidRDefault="00000000">
            <w:pPr>
              <w:widowControl w:val="0"/>
              <w:spacing w:line="240" w:lineRule="auto"/>
              <w:rPr>
                <w:sz w:val="18"/>
                <w:szCs w:val="18"/>
              </w:rPr>
            </w:pPr>
            <w:r>
              <w:rPr>
                <w:sz w:val="18"/>
                <w:szCs w:val="18"/>
              </w:rPr>
              <w:t>Cross-cut</w:t>
            </w:r>
          </w:p>
        </w:tc>
        <w:tc>
          <w:tcPr>
            <w:tcW w:w="630" w:type="dxa"/>
            <w:shd w:val="clear" w:color="auto" w:fill="auto"/>
            <w:tcMar>
              <w:top w:w="43" w:type="dxa"/>
              <w:left w:w="43" w:type="dxa"/>
              <w:bottom w:w="43" w:type="dxa"/>
              <w:right w:w="43" w:type="dxa"/>
            </w:tcMar>
          </w:tcPr>
          <w:p w14:paraId="6BD9B566" w14:textId="77777777" w:rsidR="004071E7" w:rsidRDefault="00000000">
            <w:pPr>
              <w:widowControl w:val="0"/>
              <w:spacing w:line="240" w:lineRule="auto"/>
              <w:rPr>
                <w:sz w:val="18"/>
                <w:szCs w:val="18"/>
              </w:rPr>
            </w:pPr>
            <w:r>
              <w:rPr>
                <w:sz w:val="18"/>
                <w:szCs w:val="18"/>
              </w:rPr>
              <w:t>620</w:t>
            </w:r>
          </w:p>
        </w:tc>
        <w:tc>
          <w:tcPr>
            <w:tcW w:w="675" w:type="dxa"/>
            <w:shd w:val="clear" w:color="auto" w:fill="auto"/>
            <w:tcMar>
              <w:top w:w="43" w:type="dxa"/>
              <w:left w:w="43" w:type="dxa"/>
              <w:bottom w:w="43" w:type="dxa"/>
              <w:right w:w="43" w:type="dxa"/>
            </w:tcMar>
          </w:tcPr>
          <w:p w14:paraId="1A10F92D" w14:textId="77777777" w:rsidR="004071E7" w:rsidRDefault="00000000">
            <w:pPr>
              <w:widowControl w:val="0"/>
              <w:spacing w:line="240" w:lineRule="auto"/>
              <w:rPr>
                <w:sz w:val="18"/>
                <w:szCs w:val="18"/>
              </w:rPr>
            </w:pPr>
            <w:r>
              <w:rPr>
                <w:sz w:val="18"/>
                <w:szCs w:val="18"/>
              </w:rPr>
              <w:t>620</w:t>
            </w:r>
          </w:p>
        </w:tc>
        <w:tc>
          <w:tcPr>
            <w:tcW w:w="825" w:type="dxa"/>
            <w:shd w:val="clear" w:color="auto" w:fill="auto"/>
            <w:tcMar>
              <w:top w:w="43" w:type="dxa"/>
              <w:left w:w="43" w:type="dxa"/>
              <w:bottom w:w="43" w:type="dxa"/>
              <w:right w:w="43" w:type="dxa"/>
            </w:tcMar>
          </w:tcPr>
          <w:p w14:paraId="1833F536" w14:textId="77777777" w:rsidR="004071E7" w:rsidRDefault="00000000">
            <w:pPr>
              <w:widowControl w:val="0"/>
              <w:spacing w:line="240" w:lineRule="auto"/>
              <w:rPr>
                <w:sz w:val="18"/>
                <w:szCs w:val="18"/>
              </w:rPr>
            </w:pPr>
            <w:r>
              <w:rPr>
                <w:sz w:val="18"/>
                <w:szCs w:val="18"/>
              </w:rPr>
              <w:t>BGISeq</w:t>
            </w:r>
          </w:p>
        </w:tc>
        <w:tc>
          <w:tcPr>
            <w:tcW w:w="1200" w:type="dxa"/>
            <w:shd w:val="clear" w:color="auto" w:fill="auto"/>
            <w:tcMar>
              <w:top w:w="43" w:type="dxa"/>
              <w:left w:w="43" w:type="dxa"/>
              <w:bottom w:w="43" w:type="dxa"/>
              <w:right w:w="43" w:type="dxa"/>
            </w:tcMar>
          </w:tcPr>
          <w:p w14:paraId="1C52E57F" w14:textId="77777777" w:rsidR="004071E7" w:rsidRDefault="00000000">
            <w:pPr>
              <w:widowControl w:val="0"/>
              <w:spacing w:line="240" w:lineRule="auto"/>
              <w:rPr>
                <w:sz w:val="18"/>
                <w:szCs w:val="18"/>
              </w:rPr>
            </w:pPr>
            <w:r>
              <w:rPr>
                <w:sz w:val="18"/>
                <w:szCs w:val="18"/>
              </w:rPr>
              <w:t>Individual assembly</w:t>
            </w:r>
          </w:p>
        </w:tc>
        <w:tc>
          <w:tcPr>
            <w:tcW w:w="780" w:type="dxa"/>
            <w:shd w:val="clear" w:color="auto" w:fill="auto"/>
            <w:tcMar>
              <w:top w:w="43" w:type="dxa"/>
              <w:left w:w="43" w:type="dxa"/>
              <w:bottom w:w="43" w:type="dxa"/>
              <w:right w:w="43" w:type="dxa"/>
            </w:tcMar>
          </w:tcPr>
          <w:p w14:paraId="333AFA8D" w14:textId="77777777" w:rsidR="004071E7" w:rsidRDefault="00000000">
            <w:pPr>
              <w:widowControl w:val="0"/>
              <w:spacing w:line="240" w:lineRule="auto"/>
              <w:rPr>
                <w:sz w:val="18"/>
                <w:szCs w:val="18"/>
              </w:rPr>
            </w:pPr>
            <w:r>
              <w:rPr>
                <w:sz w:val="18"/>
                <w:szCs w:val="18"/>
              </w:rPr>
              <w:t>724</w:t>
            </w:r>
          </w:p>
        </w:tc>
      </w:tr>
      <w:tr w:rsidR="004071E7" w14:paraId="24F8666B" w14:textId="77777777">
        <w:tc>
          <w:tcPr>
            <w:tcW w:w="975" w:type="dxa"/>
            <w:shd w:val="clear" w:color="auto" w:fill="auto"/>
            <w:tcMar>
              <w:top w:w="43" w:type="dxa"/>
              <w:left w:w="43" w:type="dxa"/>
              <w:bottom w:w="43" w:type="dxa"/>
              <w:right w:w="43" w:type="dxa"/>
            </w:tcMar>
          </w:tcPr>
          <w:p w14:paraId="49142CCE" w14:textId="77777777" w:rsidR="004071E7" w:rsidRDefault="00000000">
            <w:pPr>
              <w:widowControl w:val="0"/>
              <w:spacing w:line="240" w:lineRule="auto"/>
              <w:rPr>
                <w:sz w:val="18"/>
                <w:szCs w:val="18"/>
              </w:rPr>
            </w:pPr>
            <w:r>
              <w:rPr>
                <w:i/>
                <w:sz w:val="18"/>
                <w:szCs w:val="18"/>
              </w:rPr>
              <w:t>Mus musculus</w:t>
            </w:r>
          </w:p>
        </w:tc>
        <w:tc>
          <w:tcPr>
            <w:tcW w:w="900" w:type="dxa"/>
            <w:shd w:val="clear" w:color="auto" w:fill="auto"/>
            <w:tcMar>
              <w:top w:w="43" w:type="dxa"/>
              <w:left w:w="43" w:type="dxa"/>
              <w:bottom w:w="43" w:type="dxa"/>
              <w:right w:w="43" w:type="dxa"/>
            </w:tcMar>
          </w:tcPr>
          <w:p w14:paraId="2607C875" w14:textId="77777777" w:rsidR="004071E7" w:rsidRDefault="00000000">
            <w:pPr>
              <w:widowControl w:val="0"/>
              <w:spacing w:line="240" w:lineRule="auto"/>
              <w:rPr>
                <w:sz w:val="18"/>
                <w:szCs w:val="18"/>
              </w:rPr>
            </w:pPr>
            <w:r>
              <w:rPr>
                <w:sz w:val="18"/>
                <w:szCs w:val="18"/>
              </w:rPr>
              <w:t>Laboratory mouse</w:t>
            </w:r>
          </w:p>
        </w:tc>
        <w:tc>
          <w:tcPr>
            <w:tcW w:w="585" w:type="dxa"/>
            <w:shd w:val="clear" w:color="auto" w:fill="auto"/>
            <w:tcMar>
              <w:top w:w="43" w:type="dxa"/>
              <w:left w:w="43" w:type="dxa"/>
              <w:bottom w:w="43" w:type="dxa"/>
              <w:right w:w="43" w:type="dxa"/>
            </w:tcMar>
          </w:tcPr>
          <w:p w14:paraId="13A20061" w14:textId="77777777" w:rsidR="004071E7" w:rsidRDefault="00000000">
            <w:pPr>
              <w:widowControl w:val="0"/>
              <w:spacing w:line="240" w:lineRule="auto"/>
              <w:rPr>
                <w:sz w:val="18"/>
                <w:szCs w:val="18"/>
              </w:rPr>
            </w:pPr>
            <w:r>
              <w:rPr>
                <w:sz w:val="18"/>
                <w:szCs w:val="18"/>
              </w:rPr>
              <w:t>Laboratory</w:t>
            </w:r>
          </w:p>
        </w:tc>
        <w:tc>
          <w:tcPr>
            <w:tcW w:w="750" w:type="dxa"/>
            <w:shd w:val="clear" w:color="auto" w:fill="auto"/>
            <w:tcMar>
              <w:top w:w="43" w:type="dxa"/>
              <w:left w:w="43" w:type="dxa"/>
              <w:bottom w:w="43" w:type="dxa"/>
              <w:right w:w="43" w:type="dxa"/>
            </w:tcMar>
          </w:tcPr>
          <w:p w14:paraId="48F554D7" w14:textId="77777777" w:rsidR="004071E7" w:rsidRDefault="00000000">
            <w:pPr>
              <w:widowControl w:val="0"/>
              <w:spacing w:line="240" w:lineRule="auto"/>
              <w:rPr>
                <w:sz w:val="18"/>
                <w:szCs w:val="18"/>
              </w:rPr>
            </w:pPr>
            <w:r>
              <w:rPr>
                <w:sz w:val="18"/>
                <w:szCs w:val="18"/>
              </w:rPr>
              <w:t>Faeces</w:t>
            </w:r>
          </w:p>
        </w:tc>
        <w:tc>
          <w:tcPr>
            <w:tcW w:w="915" w:type="dxa"/>
            <w:shd w:val="clear" w:color="auto" w:fill="auto"/>
            <w:tcMar>
              <w:top w:w="43" w:type="dxa"/>
              <w:left w:w="43" w:type="dxa"/>
              <w:bottom w:w="43" w:type="dxa"/>
              <w:right w:w="43" w:type="dxa"/>
            </w:tcMar>
          </w:tcPr>
          <w:p w14:paraId="06C4A083" w14:textId="77777777" w:rsidR="004071E7" w:rsidRDefault="00000000">
            <w:pPr>
              <w:widowControl w:val="0"/>
              <w:spacing w:line="240" w:lineRule="auto"/>
              <w:rPr>
                <w:sz w:val="18"/>
                <w:szCs w:val="18"/>
              </w:rPr>
            </w:pPr>
            <w:r>
              <w:rPr>
                <w:sz w:val="18"/>
                <w:szCs w:val="18"/>
              </w:rPr>
              <w:t>DNA/RNA Shield</w:t>
            </w:r>
          </w:p>
        </w:tc>
        <w:tc>
          <w:tcPr>
            <w:tcW w:w="1140" w:type="dxa"/>
            <w:shd w:val="clear" w:color="auto" w:fill="auto"/>
            <w:tcMar>
              <w:top w:w="43" w:type="dxa"/>
              <w:left w:w="43" w:type="dxa"/>
              <w:bottom w:w="43" w:type="dxa"/>
              <w:right w:w="43" w:type="dxa"/>
            </w:tcMar>
          </w:tcPr>
          <w:p w14:paraId="404E845A" w14:textId="77777777" w:rsidR="004071E7" w:rsidRDefault="00000000">
            <w:pPr>
              <w:widowControl w:val="0"/>
              <w:spacing w:line="240" w:lineRule="auto"/>
              <w:rPr>
                <w:sz w:val="18"/>
                <w:szCs w:val="18"/>
              </w:rPr>
            </w:pPr>
            <w:r>
              <w:rPr>
                <w:sz w:val="18"/>
                <w:szCs w:val="18"/>
              </w:rPr>
              <w:t>Longitudinal</w:t>
            </w:r>
          </w:p>
        </w:tc>
        <w:tc>
          <w:tcPr>
            <w:tcW w:w="630" w:type="dxa"/>
            <w:shd w:val="clear" w:color="auto" w:fill="auto"/>
            <w:tcMar>
              <w:top w:w="43" w:type="dxa"/>
              <w:left w:w="43" w:type="dxa"/>
              <w:bottom w:w="43" w:type="dxa"/>
              <w:right w:w="43" w:type="dxa"/>
            </w:tcMar>
          </w:tcPr>
          <w:p w14:paraId="1F384478" w14:textId="77777777" w:rsidR="004071E7" w:rsidRDefault="00000000">
            <w:pPr>
              <w:widowControl w:val="0"/>
              <w:spacing w:line="240" w:lineRule="auto"/>
              <w:rPr>
                <w:sz w:val="18"/>
                <w:szCs w:val="18"/>
              </w:rPr>
            </w:pPr>
            <w:r>
              <w:rPr>
                <w:sz w:val="18"/>
                <w:szCs w:val="18"/>
              </w:rPr>
              <w:t>24</w:t>
            </w:r>
          </w:p>
        </w:tc>
        <w:tc>
          <w:tcPr>
            <w:tcW w:w="675" w:type="dxa"/>
            <w:shd w:val="clear" w:color="auto" w:fill="auto"/>
            <w:tcMar>
              <w:top w:w="43" w:type="dxa"/>
              <w:left w:w="43" w:type="dxa"/>
              <w:bottom w:w="43" w:type="dxa"/>
              <w:right w:w="43" w:type="dxa"/>
            </w:tcMar>
          </w:tcPr>
          <w:p w14:paraId="4CA765EB" w14:textId="77777777" w:rsidR="004071E7" w:rsidRDefault="00000000">
            <w:pPr>
              <w:widowControl w:val="0"/>
              <w:spacing w:line="240" w:lineRule="auto"/>
              <w:rPr>
                <w:sz w:val="18"/>
                <w:szCs w:val="18"/>
              </w:rPr>
            </w:pPr>
            <w:r>
              <w:rPr>
                <w:sz w:val="18"/>
                <w:szCs w:val="18"/>
              </w:rPr>
              <w:t>264</w:t>
            </w:r>
          </w:p>
        </w:tc>
        <w:tc>
          <w:tcPr>
            <w:tcW w:w="825" w:type="dxa"/>
            <w:shd w:val="clear" w:color="auto" w:fill="auto"/>
            <w:tcMar>
              <w:top w:w="43" w:type="dxa"/>
              <w:left w:w="43" w:type="dxa"/>
              <w:bottom w:w="43" w:type="dxa"/>
              <w:right w:w="43" w:type="dxa"/>
            </w:tcMar>
          </w:tcPr>
          <w:p w14:paraId="4CFDB64C" w14:textId="77777777" w:rsidR="004071E7" w:rsidRDefault="00000000">
            <w:pPr>
              <w:widowControl w:val="0"/>
              <w:spacing w:line="240" w:lineRule="auto"/>
              <w:rPr>
                <w:sz w:val="18"/>
                <w:szCs w:val="18"/>
              </w:rPr>
            </w:pPr>
            <w:r>
              <w:rPr>
                <w:sz w:val="18"/>
                <w:szCs w:val="18"/>
              </w:rPr>
              <w:t>Illumina</w:t>
            </w:r>
          </w:p>
        </w:tc>
        <w:tc>
          <w:tcPr>
            <w:tcW w:w="1200" w:type="dxa"/>
            <w:shd w:val="clear" w:color="auto" w:fill="auto"/>
            <w:tcMar>
              <w:top w:w="43" w:type="dxa"/>
              <w:left w:w="43" w:type="dxa"/>
              <w:bottom w:w="43" w:type="dxa"/>
              <w:right w:w="43" w:type="dxa"/>
            </w:tcMar>
          </w:tcPr>
          <w:p w14:paraId="3C4757DA" w14:textId="77777777" w:rsidR="004071E7" w:rsidRDefault="00000000">
            <w:pPr>
              <w:widowControl w:val="0"/>
              <w:spacing w:line="240" w:lineRule="auto"/>
              <w:rPr>
                <w:sz w:val="18"/>
                <w:szCs w:val="18"/>
              </w:rPr>
            </w:pPr>
            <w:r>
              <w:rPr>
                <w:sz w:val="18"/>
                <w:szCs w:val="18"/>
              </w:rPr>
              <w:t xml:space="preserve">Individual coassembly </w:t>
            </w:r>
          </w:p>
        </w:tc>
        <w:tc>
          <w:tcPr>
            <w:tcW w:w="780" w:type="dxa"/>
            <w:shd w:val="clear" w:color="auto" w:fill="auto"/>
            <w:tcMar>
              <w:top w:w="43" w:type="dxa"/>
              <w:left w:w="43" w:type="dxa"/>
              <w:bottom w:w="43" w:type="dxa"/>
              <w:right w:w="43" w:type="dxa"/>
            </w:tcMar>
          </w:tcPr>
          <w:p w14:paraId="180222A9" w14:textId="77777777" w:rsidR="004071E7" w:rsidRDefault="00000000">
            <w:pPr>
              <w:widowControl w:val="0"/>
              <w:spacing w:line="240" w:lineRule="auto"/>
              <w:rPr>
                <w:sz w:val="18"/>
                <w:szCs w:val="18"/>
              </w:rPr>
            </w:pPr>
            <w:r>
              <w:rPr>
                <w:sz w:val="18"/>
                <w:szCs w:val="18"/>
              </w:rPr>
              <w:t>191</w:t>
            </w:r>
          </w:p>
        </w:tc>
      </w:tr>
    </w:tbl>
    <w:p w14:paraId="3E18DAE0" w14:textId="77777777" w:rsidR="004071E7" w:rsidRDefault="00000000">
      <w:pPr>
        <w:rPr>
          <w:sz w:val="32"/>
          <w:szCs w:val="32"/>
        </w:rPr>
      </w:pPr>
      <w:r>
        <w:br w:type="page"/>
      </w:r>
    </w:p>
    <w:p w14:paraId="5A9186F6" w14:textId="77777777" w:rsidR="004071E7" w:rsidRDefault="00000000">
      <w:pPr>
        <w:spacing w:line="360" w:lineRule="auto"/>
        <w:rPr>
          <w:sz w:val="32"/>
          <w:szCs w:val="32"/>
        </w:rPr>
      </w:pPr>
      <w:r>
        <w:rPr>
          <w:sz w:val="32"/>
          <w:szCs w:val="32"/>
        </w:rPr>
        <w:lastRenderedPageBreak/>
        <w:t>Supplementary figures</w:t>
      </w:r>
    </w:p>
    <w:p w14:paraId="1BF35F11" w14:textId="77777777" w:rsidR="004071E7" w:rsidRDefault="00000000">
      <w:pPr>
        <w:spacing w:line="360" w:lineRule="auto"/>
      </w:pPr>
      <w:r>
        <w:t xml:space="preserve">  </w:t>
      </w:r>
    </w:p>
    <w:p w14:paraId="6292BE87" w14:textId="77777777" w:rsidR="004071E7" w:rsidRDefault="00000000">
      <w:pPr>
        <w:spacing w:line="360" w:lineRule="auto"/>
        <w:rPr>
          <w:b/>
        </w:rPr>
      </w:pPr>
      <w:r>
        <w:rPr>
          <w:b/>
        </w:rPr>
        <w:t>Fig. S1: CheckM completeness and contamination values for each MAG in the study</w:t>
      </w:r>
    </w:p>
    <w:p w14:paraId="32A43974" w14:textId="77777777" w:rsidR="004071E7" w:rsidRDefault="00000000">
      <w:pPr>
        <w:spacing w:line="360" w:lineRule="auto"/>
      </w:pPr>
      <w:r>
        <w:rPr>
          <w:noProof/>
        </w:rPr>
        <w:drawing>
          <wp:inline distT="114300" distB="114300" distL="114300" distR="114300" wp14:anchorId="657CB209" wp14:editId="7BC6F575">
            <wp:extent cx="5943600" cy="404811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3"/>
                    <a:srcRect b="5765"/>
                    <a:stretch>
                      <a:fillRect/>
                    </a:stretch>
                  </pic:blipFill>
                  <pic:spPr>
                    <a:xfrm>
                      <a:off x="0" y="0"/>
                      <a:ext cx="5943600" cy="4048116"/>
                    </a:xfrm>
                    <a:prstGeom prst="rect">
                      <a:avLst/>
                    </a:prstGeom>
                    <a:ln/>
                  </pic:spPr>
                </pic:pic>
              </a:graphicData>
            </a:graphic>
          </wp:inline>
        </w:drawing>
      </w:r>
    </w:p>
    <w:p w14:paraId="0A4824BF" w14:textId="271D33DB" w:rsidR="004071E7" w:rsidRPr="007920A9" w:rsidRDefault="00000000">
      <w:pPr>
        <w:spacing w:line="360" w:lineRule="auto"/>
      </w:pPr>
      <w:r>
        <w:t>(</w:t>
      </w:r>
      <w:r>
        <w:rPr>
          <w:b/>
        </w:rPr>
        <w:t>a</w:t>
      </w:r>
      <w:r>
        <w:t>) Jitter plot and density curves of the MAG completeness scores computed by CheckM for each host. (</w:t>
      </w:r>
      <w:r>
        <w:rPr>
          <w:b/>
        </w:rPr>
        <w:t>b</w:t>
      </w:r>
      <w:r>
        <w:t>) Jitter plot and density curves of the MAG contamination scores computed by CheckM for each host.</w:t>
      </w:r>
      <w:r>
        <w:br w:type="page"/>
      </w:r>
    </w:p>
    <w:p w14:paraId="0CB66DC2" w14:textId="77777777" w:rsidR="004071E7" w:rsidRDefault="00000000">
      <w:pPr>
        <w:spacing w:line="360" w:lineRule="auto"/>
      </w:pPr>
      <w:r>
        <w:rPr>
          <w:b/>
        </w:rPr>
        <w:lastRenderedPageBreak/>
        <w:t xml:space="preserve">Fig. S2: Relationship between function fullness and genome completeness. </w:t>
      </w:r>
    </w:p>
    <w:p w14:paraId="4D9D720F" w14:textId="77777777" w:rsidR="004071E7" w:rsidRDefault="00000000">
      <w:pPr>
        <w:spacing w:line="360" w:lineRule="auto"/>
      </w:pPr>
      <w:r>
        <w:rPr>
          <w:noProof/>
        </w:rPr>
        <w:drawing>
          <wp:inline distT="114300" distB="114300" distL="114300" distR="114300" wp14:anchorId="1AC382D1" wp14:editId="597E4266">
            <wp:extent cx="5943600" cy="37719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4"/>
                    <a:srcRect/>
                    <a:stretch>
                      <a:fillRect/>
                    </a:stretch>
                  </pic:blipFill>
                  <pic:spPr>
                    <a:xfrm>
                      <a:off x="0" y="0"/>
                      <a:ext cx="5943600" cy="3771900"/>
                    </a:xfrm>
                    <a:prstGeom prst="rect">
                      <a:avLst/>
                    </a:prstGeom>
                    <a:ln/>
                  </pic:spPr>
                </pic:pic>
              </a:graphicData>
            </a:graphic>
          </wp:inline>
        </w:drawing>
      </w:r>
    </w:p>
    <w:p w14:paraId="21B986FF" w14:textId="69282EC4" w:rsidR="004071E7" w:rsidRDefault="00000000" w:rsidP="007920A9">
      <w:pPr>
        <w:spacing w:line="360" w:lineRule="auto"/>
      </w:pPr>
      <w:r>
        <w:t xml:space="preserve">For illustrative purposes, the relationship between function fullness and genome completeness is shown in 16 randomly selected modules in which the random slope model performed better than the random intercept model.  </w:t>
      </w:r>
    </w:p>
    <w:sectPr w:rsidR="004071E7" w:rsidSect="007920A9">
      <w:pgSz w:w="12240" w:h="15840"/>
      <w:pgMar w:top="1440" w:right="1440" w:bottom="1440" w:left="1440" w:header="720" w:footer="720" w:gutter="0"/>
      <w:lnNumType w:countBy="1" w:restart="continuou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1E7"/>
    <w:rsid w:val="002C33B9"/>
    <w:rsid w:val="004071E7"/>
    <w:rsid w:val="007920A9"/>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decimalSymbol w:val="."/>
  <w:listSeparator w:val=","/>
  <w14:docId w14:val="5A9CEB5F"/>
  <w15:docId w15:val="{884AD659-B6B9-934B-B9B5-C1624E8FF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792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paperpile.com/b/MKZfR2/i7UB" TargetMode="External"/><Relationship Id="rId21" Type="http://schemas.openxmlformats.org/officeDocument/2006/relationships/hyperlink" Target="http://paperpile.com/b/MKZfR2/ysob" TargetMode="External"/><Relationship Id="rId42" Type="http://schemas.openxmlformats.org/officeDocument/2006/relationships/hyperlink" Target="http://paperpile.com/b/MKZfR2/jq7U" TargetMode="External"/><Relationship Id="rId47" Type="http://schemas.openxmlformats.org/officeDocument/2006/relationships/hyperlink" Target="http://paperpile.com/b/MKZfR2/tDwi" TargetMode="External"/><Relationship Id="rId63" Type="http://schemas.openxmlformats.org/officeDocument/2006/relationships/hyperlink" Target="http://paperpile.com/b/MKZfR2/MEVnK" TargetMode="External"/><Relationship Id="rId68" Type="http://schemas.openxmlformats.org/officeDocument/2006/relationships/hyperlink" Target="http://paperpile.com/b/MKZfR2/159ZR" TargetMode="External"/><Relationship Id="rId2" Type="http://schemas.openxmlformats.org/officeDocument/2006/relationships/settings" Target="settings.xml"/><Relationship Id="rId16" Type="http://schemas.openxmlformats.org/officeDocument/2006/relationships/hyperlink" Target="http://paperpile.com/b/MKZfR2/ysob" TargetMode="External"/><Relationship Id="rId29" Type="http://schemas.openxmlformats.org/officeDocument/2006/relationships/hyperlink" Target="http://paperpile.com/b/MKZfR2/RAX4" TargetMode="External"/><Relationship Id="rId11" Type="http://schemas.openxmlformats.org/officeDocument/2006/relationships/hyperlink" Target="https://paperpile.com/c/MKZfR2/i9gC" TargetMode="External"/><Relationship Id="rId24" Type="http://schemas.openxmlformats.org/officeDocument/2006/relationships/hyperlink" Target="http://paperpile.com/b/MKZfR2/i7UB" TargetMode="External"/><Relationship Id="rId32" Type="http://schemas.openxmlformats.org/officeDocument/2006/relationships/hyperlink" Target="http://paperpile.com/b/MKZfR2/HRaC" TargetMode="External"/><Relationship Id="rId37" Type="http://schemas.openxmlformats.org/officeDocument/2006/relationships/hyperlink" Target="http://paperpile.com/b/MKZfR2/HRaC" TargetMode="External"/><Relationship Id="rId40" Type="http://schemas.openxmlformats.org/officeDocument/2006/relationships/hyperlink" Target="http://paperpile.com/b/MKZfR2/jq7U" TargetMode="External"/><Relationship Id="rId45" Type="http://schemas.openxmlformats.org/officeDocument/2006/relationships/hyperlink" Target="http://paperpile.com/b/MKZfR2/tDwi" TargetMode="External"/><Relationship Id="rId53" Type="http://schemas.openxmlformats.org/officeDocument/2006/relationships/hyperlink" Target="http://paperpile.com/b/MKZfR2/ugH8" TargetMode="External"/><Relationship Id="rId58" Type="http://schemas.openxmlformats.org/officeDocument/2006/relationships/hyperlink" Target="http://paperpile.com/b/MKZfR2/i9gC" TargetMode="External"/><Relationship Id="rId66" Type="http://schemas.openxmlformats.org/officeDocument/2006/relationships/hyperlink" Target="http://paperpile.com/b/MKZfR2/MEVnK" TargetMode="External"/><Relationship Id="rId74" Type="http://schemas.openxmlformats.org/officeDocument/2006/relationships/image" Target="media/image2.png"/><Relationship Id="rId5" Type="http://schemas.openxmlformats.org/officeDocument/2006/relationships/hyperlink" Target="https://paperpile.com/c/MKZfR2/i7UB" TargetMode="External"/><Relationship Id="rId61" Type="http://schemas.openxmlformats.org/officeDocument/2006/relationships/hyperlink" Target="http://paperpile.com/b/MKZfR2/MEVnK" TargetMode="External"/><Relationship Id="rId19" Type="http://schemas.openxmlformats.org/officeDocument/2006/relationships/hyperlink" Target="http://paperpile.com/b/MKZfR2/ysob" TargetMode="External"/><Relationship Id="rId14" Type="http://schemas.openxmlformats.org/officeDocument/2006/relationships/hyperlink" Target="https://paperpile.com/c/MKZfR2/159ZR" TargetMode="External"/><Relationship Id="rId22" Type="http://schemas.openxmlformats.org/officeDocument/2006/relationships/hyperlink" Target="http://paperpile.com/b/MKZfR2/i7UB" TargetMode="External"/><Relationship Id="rId27" Type="http://schemas.openxmlformats.org/officeDocument/2006/relationships/hyperlink" Target="http://paperpile.com/b/MKZfR2/RAX4" TargetMode="External"/><Relationship Id="rId30" Type="http://schemas.openxmlformats.org/officeDocument/2006/relationships/hyperlink" Target="http://paperpile.com/b/MKZfR2/RAX4" TargetMode="External"/><Relationship Id="rId35" Type="http://schemas.openxmlformats.org/officeDocument/2006/relationships/hyperlink" Target="http://paperpile.com/b/MKZfR2/HRaC" TargetMode="External"/><Relationship Id="rId43" Type="http://schemas.openxmlformats.org/officeDocument/2006/relationships/hyperlink" Target="http://paperpile.com/b/MKZfR2/jq7U" TargetMode="External"/><Relationship Id="rId48" Type="http://schemas.openxmlformats.org/officeDocument/2006/relationships/hyperlink" Target="http://paperpile.com/b/MKZfR2/tDwi" TargetMode="External"/><Relationship Id="rId56" Type="http://schemas.openxmlformats.org/officeDocument/2006/relationships/hyperlink" Target="http://paperpile.com/b/MKZfR2/i9gC" TargetMode="External"/><Relationship Id="rId64" Type="http://schemas.openxmlformats.org/officeDocument/2006/relationships/hyperlink" Target="http://paperpile.com/b/MKZfR2/MEVnK" TargetMode="External"/><Relationship Id="rId69" Type="http://schemas.openxmlformats.org/officeDocument/2006/relationships/hyperlink" Target="http://paperpile.com/b/MKZfR2/159ZR" TargetMode="External"/><Relationship Id="rId8" Type="http://schemas.openxmlformats.org/officeDocument/2006/relationships/hyperlink" Target="https://paperpile.com/c/MKZfR2/jq7U" TargetMode="External"/><Relationship Id="rId51" Type="http://schemas.openxmlformats.org/officeDocument/2006/relationships/hyperlink" Target="http://paperpile.com/b/MKZfR2/ugH8" TargetMode="External"/><Relationship Id="rId72" Type="http://schemas.openxmlformats.org/officeDocument/2006/relationships/hyperlink" Target="http://paperpile.com/b/MKZfR2/159ZR" TargetMode="External"/><Relationship Id="rId3" Type="http://schemas.openxmlformats.org/officeDocument/2006/relationships/webSettings" Target="webSettings.xml"/><Relationship Id="rId12" Type="http://schemas.openxmlformats.org/officeDocument/2006/relationships/hyperlink" Target="https://github.com/EisenRa/DRAM_more_modules/tree/1.2.4_more_modules" TargetMode="External"/><Relationship Id="rId17" Type="http://schemas.openxmlformats.org/officeDocument/2006/relationships/hyperlink" Target="http://paperpile.com/b/MKZfR2/ysob" TargetMode="External"/><Relationship Id="rId25" Type="http://schemas.openxmlformats.org/officeDocument/2006/relationships/hyperlink" Target="http://paperpile.com/b/MKZfR2/i7UB" TargetMode="External"/><Relationship Id="rId33" Type="http://schemas.openxmlformats.org/officeDocument/2006/relationships/hyperlink" Target="http://paperpile.com/b/MKZfR2/HRaC" TargetMode="External"/><Relationship Id="rId38" Type="http://schemas.openxmlformats.org/officeDocument/2006/relationships/hyperlink" Target="http://paperpile.com/b/MKZfR2/HRaC" TargetMode="External"/><Relationship Id="rId46" Type="http://schemas.openxmlformats.org/officeDocument/2006/relationships/hyperlink" Target="http://paperpile.com/b/MKZfR2/tDwi" TargetMode="External"/><Relationship Id="rId59" Type="http://schemas.openxmlformats.org/officeDocument/2006/relationships/hyperlink" Target="http://paperpile.com/b/MKZfR2/i9gC" TargetMode="External"/><Relationship Id="rId67" Type="http://schemas.openxmlformats.org/officeDocument/2006/relationships/hyperlink" Target="http://paperpile.com/b/MKZfR2/MEVnK" TargetMode="External"/><Relationship Id="rId20" Type="http://schemas.openxmlformats.org/officeDocument/2006/relationships/hyperlink" Target="http://paperpile.com/b/MKZfR2/ysob" TargetMode="External"/><Relationship Id="rId41" Type="http://schemas.openxmlformats.org/officeDocument/2006/relationships/hyperlink" Target="http://paperpile.com/b/MKZfR2/jq7U" TargetMode="External"/><Relationship Id="rId54" Type="http://schemas.openxmlformats.org/officeDocument/2006/relationships/hyperlink" Target="http://paperpile.com/b/MKZfR2/i9gC" TargetMode="External"/><Relationship Id="rId62" Type="http://schemas.openxmlformats.org/officeDocument/2006/relationships/hyperlink" Target="http://paperpile.com/b/MKZfR2/MEVnK" TargetMode="External"/><Relationship Id="rId70" Type="http://schemas.openxmlformats.org/officeDocument/2006/relationships/hyperlink" Target="http://paperpile.com/b/MKZfR2/159ZR" TargetMode="External"/><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paperpile.com/c/MKZfR2/RAX4" TargetMode="External"/><Relationship Id="rId15" Type="http://schemas.openxmlformats.org/officeDocument/2006/relationships/hyperlink" Target="http://paperpile.com/b/MKZfR2/ysob" TargetMode="External"/><Relationship Id="rId23" Type="http://schemas.openxmlformats.org/officeDocument/2006/relationships/hyperlink" Target="http://paperpile.com/b/MKZfR2/i7UB" TargetMode="External"/><Relationship Id="rId28" Type="http://schemas.openxmlformats.org/officeDocument/2006/relationships/hyperlink" Target="http://paperpile.com/b/MKZfR2/RAX4" TargetMode="External"/><Relationship Id="rId36" Type="http://schemas.openxmlformats.org/officeDocument/2006/relationships/hyperlink" Target="http://paperpile.com/b/MKZfR2/HRaC" TargetMode="External"/><Relationship Id="rId49" Type="http://schemas.openxmlformats.org/officeDocument/2006/relationships/hyperlink" Target="http://paperpile.com/b/MKZfR2/ugH8" TargetMode="External"/><Relationship Id="rId57" Type="http://schemas.openxmlformats.org/officeDocument/2006/relationships/hyperlink" Target="http://paperpile.com/b/MKZfR2/i9gC" TargetMode="External"/><Relationship Id="rId10" Type="http://schemas.openxmlformats.org/officeDocument/2006/relationships/hyperlink" Target="https://paperpile.com/c/MKZfR2/ugH8" TargetMode="External"/><Relationship Id="rId31" Type="http://schemas.openxmlformats.org/officeDocument/2006/relationships/hyperlink" Target="http://paperpile.com/b/MKZfR2/RAX4" TargetMode="External"/><Relationship Id="rId44" Type="http://schemas.openxmlformats.org/officeDocument/2006/relationships/hyperlink" Target="http://paperpile.com/b/MKZfR2/tDwi" TargetMode="External"/><Relationship Id="rId52" Type="http://schemas.openxmlformats.org/officeDocument/2006/relationships/hyperlink" Target="http://dx.doi.org/10.1093/bioinformatics/btz848" TargetMode="External"/><Relationship Id="rId60" Type="http://schemas.openxmlformats.org/officeDocument/2006/relationships/hyperlink" Target="http://paperpile.com/b/MKZfR2/i9gC" TargetMode="External"/><Relationship Id="rId65" Type="http://schemas.openxmlformats.org/officeDocument/2006/relationships/hyperlink" Target="http://paperpile.com/b/MKZfR2/MEVnK" TargetMode="External"/><Relationship Id="rId73" Type="http://schemas.openxmlformats.org/officeDocument/2006/relationships/image" Target="media/image1.png"/><Relationship Id="rId4" Type="http://schemas.openxmlformats.org/officeDocument/2006/relationships/hyperlink" Target="https://paperpile.com/c/MKZfR2/ysob" TargetMode="External"/><Relationship Id="rId9" Type="http://schemas.openxmlformats.org/officeDocument/2006/relationships/hyperlink" Target="https://paperpile.com/c/MKZfR2/tDwi" TargetMode="External"/><Relationship Id="rId13" Type="http://schemas.openxmlformats.org/officeDocument/2006/relationships/hyperlink" Target="https://paperpile.com/c/MKZfR2/MEVnK" TargetMode="External"/><Relationship Id="rId18" Type="http://schemas.openxmlformats.org/officeDocument/2006/relationships/hyperlink" Target="http://paperpile.com/b/MKZfR2/ysob" TargetMode="External"/><Relationship Id="rId39" Type="http://schemas.openxmlformats.org/officeDocument/2006/relationships/hyperlink" Target="http://paperpile.com/b/MKZfR2/jq7U" TargetMode="External"/><Relationship Id="rId34" Type="http://schemas.openxmlformats.org/officeDocument/2006/relationships/hyperlink" Target="http://paperpile.com/b/MKZfR2/HRaC" TargetMode="External"/><Relationship Id="rId50" Type="http://schemas.openxmlformats.org/officeDocument/2006/relationships/hyperlink" Target="http://paperpile.com/b/MKZfR2/ugH8" TargetMode="External"/><Relationship Id="rId55" Type="http://schemas.openxmlformats.org/officeDocument/2006/relationships/hyperlink" Target="http://paperpile.com/b/MKZfR2/i9gC" TargetMode="External"/><Relationship Id="rId76" Type="http://schemas.openxmlformats.org/officeDocument/2006/relationships/theme" Target="theme/theme1.xml"/><Relationship Id="rId7" Type="http://schemas.openxmlformats.org/officeDocument/2006/relationships/hyperlink" Target="https://paperpile.com/c/MKZfR2/HRaC" TargetMode="External"/><Relationship Id="rId71" Type="http://schemas.openxmlformats.org/officeDocument/2006/relationships/hyperlink" Target="http://paperpile.com/b/MKZfR2/159Z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1789</Words>
  <Characters>10201</Characters>
  <Application>Microsoft Office Word</Application>
  <DocSecurity>0</DocSecurity>
  <Lines>85</Lines>
  <Paragraphs>23</Paragraphs>
  <ScaleCrop>false</ScaleCrop>
  <Company/>
  <LinksUpToDate>false</LinksUpToDate>
  <CharactersWithSpaces>11967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Antton Alberdi</cp:lastModifiedBy>
  <cp:revision>3</cp:revision>
  <dcterms:created xsi:type="dcterms:W3CDTF">2022-08-12T08:54:00Z</dcterms:created>
  <dcterms:modified xsi:type="dcterms:W3CDTF">2022-08-12T08:54:00Z</dcterms:modified>
</cp:coreProperties>
</file>