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>
      <w:pPr>
        <w:rPr>
          <w:rFonts w:ascii="Times New Roman" w:hAnsi="Times New Roman" w:cs="Times New Roman"/>
          <w:b/>
          <w:bCs/>
        </w:rPr>
      </w:pPr>
      <w:bookmarkStart w:id="0" w:name="_Hlk62025897"/>
      <w:r>
        <w:rPr>
          <w:rFonts w:ascii="Times New Roman" w:hAnsi="Times New Roman" w:cs="Times New Roman"/>
          <w:b/>
          <w:bCs/>
        </w:rPr>
        <w:t>Supplementary data: APPENDIX 1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Professional organisations contacted</w:t>
      </w: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Geriatric medicine consultants were approached through: 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British Geriatrics Society (</w:t>
      </w:r>
      <w:hyperlink r:id="rId7" w:history="1">
        <w:r>
          <w:rPr>
            <w:rFonts w:ascii="Times New Roman" w:hAnsi="Times New Roman" w:cs="Times New Roman"/>
          </w:rPr>
          <w:t>https://www.bgs.org.uk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Falls and Bone Health Special Interest Group (</w:t>
      </w:r>
      <w:hyperlink r:id="rId8">
        <w:r>
          <w:rPr>
            <w:rFonts w:ascii="Times New Roman" w:hAnsi="Times New Roman" w:cs="Times New Roman"/>
          </w:rPr>
          <w:t>https://www.bgs.org.uk/falls-and-bone-health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European Geriatrics Community (</w:t>
      </w:r>
      <w:hyperlink r:id="rId9">
        <w:r>
          <w:rPr>
            <w:rFonts w:ascii="Times New Roman" w:hAnsi="Times New Roman" w:cs="Times New Roman"/>
          </w:rPr>
          <w:t>https://www.eugms.org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European Falls and Fractures Special Interest Group (</w:t>
      </w:r>
      <w:hyperlink r:id="rId10">
        <w:r>
          <w:rPr>
            <w:rFonts w:ascii="Times New Roman" w:hAnsi="Times New Roman" w:cs="Times New Roman"/>
          </w:rPr>
          <w:t>https://www.eugms.org/research-cooperation/special-</w:t>
        </w:r>
      </w:hyperlink>
      <w:hyperlink r:id="rId11">
        <w:r>
          <w:rPr>
            <w:rFonts w:ascii="Times New Roman" w:hAnsi="Times New Roman" w:cs="Times New Roman"/>
          </w:rPr>
          <w:t xml:space="preserve"> interest-groups/falls-and-fractures.html</w:t>
        </w:r>
      </w:hyperlink>
      <w:r>
        <w:rPr>
          <w:rFonts w:ascii="Times New Roman" w:hAnsi="Times New Roman" w:cs="Times New Roman"/>
        </w:rPr>
        <w:t>).</w:t>
      </w: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Orthopaedic medicine consultants were approached through: 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Royal College of Surgeons (</w:t>
      </w:r>
      <w:hyperlink r:id="rId12" w:history="1">
        <w:r>
          <w:rPr>
            <w:rFonts w:ascii="Times New Roman" w:hAnsi="Times New Roman" w:cs="Times New Roman"/>
          </w:rPr>
          <w:t>https://www.rcseng.ac.uk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Orthopaedic Surgeon Special Interest Group (https://</w:t>
      </w:r>
      <w:hyperlink r:id="rId13">
        <w:r>
          <w:rPr>
            <w:rFonts w:ascii="Times New Roman" w:hAnsi="Times New Roman" w:cs="Times New Roman"/>
          </w:rPr>
          <w:t>www.abhi.org.uk/who-we-are/member-groups/special-interest-</w:t>
        </w:r>
      </w:hyperlink>
      <w:r>
        <w:rPr>
          <w:rFonts w:ascii="Times New Roman" w:hAnsi="Times New Roman" w:cs="Times New Roman"/>
        </w:rPr>
        <w:t xml:space="preserve"> sections/orthopaedics/)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Fragility Fracture Network (https://www.fragilityfracturenetwork.org) and The Orthopaedic Trauma Society (</w:t>
      </w:r>
      <w:hyperlink r:id="rId14">
        <w:r>
          <w:rPr>
            <w:rFonts w:ascii="Times New Roman" w:hAnsi="Times New Roman" w:cs="Times New Roman"/>
          </w:rPr>
          <w:t>https://www.orthopaedictrauma.org.uk</w:t>
        </w:r>
      </w:hyperlink>
      <w:r>
        <w:rPr>
          <w:rFonts w:ascii="Times New Roman" w:hAnsi="Times New Roman" w:cs="Times New Roman"/>
        </w:rPr>
        <w:t>).</w:t>
      </w: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Registered nurses were approached through: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Royal College of Nursing https: (</w:t>
      </w:r>
      <w:hyperlink r:id="rId15">
        <w:r>
          <w:rPr>
            <w:rFonts w:ascii="Times New Roman" w:hAnsi="Times New Roman" w:cs="Times New Roman"/>
          </w:rPr>
          <w:t>https://www.rcn.org.uk/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British Nurses’ Association (</w:t>
      </w:r>
      <w:hyperlink r:id="rId16">
        <w:r>
          <w:rPr>
            <w:rFonts w:ascii="Times New Roman" w:hAnsi="Times New Roman" w:cs="Times New Roman"/>
          </w:rPr>
          <w:t>https://www.bna.co.uk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Society of Trauma Nurses (</w:t>
      </w:r>
      <w:hyperlink r:id="rId17">
        <w:r>
          <w:rPr>
            <w:rFonts w:ascii="Times New Roman" w:hAnsi="Times New Roman" w:cs="Times New Roman"/>
          </w:rPr>
          <w:t>https://www.traumanurses.org</w:t>
        </w:r>
      </w:hyperlink>
      <w:r>
        <w:rPr>
          <w:rFonts w:ascii="Times New Roman" w:hAnsi="Times New Roman" w:cs="Times New Roman"/>
        </w:rPr>
        <w:t xml:space="preserve">) 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Society of Trauma Nurses – Europe (https://</w:t>
      </w:r>
      <w:hyperlink r:id="rId18">
        <w:r>
          <w:rPr>
            <w:rFonts w:ascii="Times New Roman" w:hAnsi="Times New Roman" w:cs="Times New Roman"/>
          </w:rPr>
          <w:t>www.traumanurses.org/about/stn-europe).</w:t>
        </w:r>
      </w:hyperlink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Clinical specialist physiotherapists were approached through: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Chartered Society of </w:t>
      </w:r>
      <w:proofErr w:type="gramStart"/>
      <w:r>
        <w:rPr>
          <w:rFonts w:ascii="Times New Roman" w:hAnsi="Times New Roman" w:cs="Times New Roman"/>
        </w:rPr>
        <w:t>Physiotherapy(</w:t>
      </w:r>
      <w:proofErr w:type="gramEnd"/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"https://www.csp.org.uk"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https://www.csp.org.uk</w:t>
      </w:r>
      <w:r>
        <w:rPr>
          <w:rFonts w:ascii="Times New Roman" w:hAnsi="Times New Roman" w:cs="Times New Roman"/>
        </w:rPr>
        <w:fldChar w:fldCharType="end"/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special interest groups such as Association of Chartered Physiotherapists in Orthopaedic Medicine and Injection Therapy (</w:t>
      </w:r>
      <w:hyperlink r:id="rId19" w:history="1">
        <w:r>
          <w:rPr>
            <w:rFonts w:ascii="Times New Roman" w:hAnsi="Times New Roman" w:cs="Times New Roman"/>
          </w:rPr>
          <w:t>https://acpomit.csp.org.uk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Chartered Physiotherapists Working with Older People and Association of Trauma (</w:t>
      </w:r>
      <w:hyperlink r:id="rId20" w:history="1">
        <w:r>
          <w:rPr>
            <w:rFonts w:ascii="Times New Roman" w:hAnsi="Times New Roman" w:cs="Times New Roman"/>
          </w:rPr>
          <w:t>https://agile.csp.org.uk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Orthopaedic-Chartered Physiotherapists (</w:t>
      </w:r>
      <w:proofErr w:type="gramStart"/>
      <w:r>
        <w:rPr>
          <w:rFonts w:ascii="Times New Roman" w:hAnsi="Times New Roman" w:cs="Times New Roman"/>
        </w:rPr>
        <w:t>https://atocp.csp.org.uk )</w:t>
      </w:r>
      <w:proofErr w:type="gramEnd"/>
      <w:r>
        <w:rPr>
          <w:rFonts w:ascii="Times New Roman" w:hAnsi="Times New Roman" w:cs="Times New Roman"/>
        </w:rPr>
        <w:t xml:space="preserve"> 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European Region of the World Confederation for Physiotherapy(</w:t>
      </w:r>
      <w:hyperlink r:id="rId21">
        <w:r>
          <w:rPr>
            <w:rFonts w:ascii="Times New Roman" w:hAnsi="Times New Roman" w:cs="Times New Roman"/>
          </w:rPr>
          <w:t>https://www.erwcpt.eu</w:t>
        </w:r>
      </w:hyperlink>
      <w:r>
        <w:rPr>
          <w:rFonts w:ascii="Times New Roman" w:hAnsi="Times New Roman" w:cs="Times New Roman"/>
        </w:rPr>
        <w:t>).</w:t>
      </w: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left="1660" w:right="287"/>
        <w:rPr>
          <w:rFonts w:ascii="Times New Roman" w:hAnsi="Times New Roman" w:cs="Times New Roman"/>
        </w:rPr>
      </w:pP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Clinical specialist occupational therapists were approached through: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Royal College of Occupational Therapy(https://www.rcot.co.uk) 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special interest groups such as the Occupational Therapy for elderly group (https://</w:t>
      </w:r>
      <w:hyperlink r:id="rId22">
        <w:r>
          <w:rPr>
            <w:rFonts w:ascii="Times New Roman" w:hAnsi="Times New Roman" w:cs="Times New Roman"/>
          </w:rPr>
          <w:t>www.rcot.co.uk/about-</w:t>
        </w:r>
      </w:hyperlink>
      <w:r>
        <w:rPr>
          <w:rFonts w:ascii="Times New Roman" w:hAnsi="Times New Roman" w:cs="Times New Roman"/>
        </w:rPr>
        <w:t xml:space="preserve"> us/specialist-sections/older-people-</w:t>
      </w:r>
      <w:proofErr w:type="spellStart"/>
      <w:r>
        <w:rPr>
          <w:rFonts w:ascii="Times New Roman" w:hAnsi="Times New Roman" w:cs="Times New Roman"/>
        </w:rPr>
        <w:t>rcot</w:t>
      </w:r>
      <w:proofErr w:type="spellEnd"/>
      <w:r>
        <w:rPr>
          <w:rFonts w:ascii="Times New Roman" w:hAnsi="Times New Roman" w:cs="Times New Roman"/>
        </w:rPr>
        <w:t>-ss)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Trauma and Musculoskeletal Health work group (</w:t>
      </w:r>
      <w:hyperlink r:id="rId23">
        <w:r>
          <w:rPr>
            <w:rFonts w:ascii="Times New Roman" w:hAnsi="Times New Roman" w:cs="Times New Roman"/>
          </w:rPr>
          <w:t>https://www.rcot.co.uk/about-us/specialist-sections/trauma-and-</w:t>
        </w:r>
      </w:hyperlink>
      <w:hyperlink r:id="rId24">
        <w:r>
          <w:rPr>
            <w:rFonts w:ascii="Times New Roman" w:hAnsi="Times New Roman" w:cs="Times New Roman"/>
          </w:rPr>
          <w:t xml:space="preserve"> musculoskeletal-</w:t>
        </w:r>
        <w:proofErr w:type="spellStart"/>
        <w:r>
          <w:rPr>
            <w:rFonts w:ascii="Times New Roman" w:hAnsi="Times New Roman" w:cs="Times New Roman"/>
          </w:rPr>
          <w:t>rcot</w:t>
        </w:r>
        <w:proofErr w:type="spellEnd"/>
        <w:r>
          <w:rPr>
            <w:rFonts w:ascii="Times New Roman" w:hAnsi="Times New Roman" w:cs="Times New Roman"/>
          </w:rPr>
          <w:t>-ss/clinical-forums</w:t>
        </w:r>
      </w:hyperlink>
      <w:r>
        <w:rPr>
          <w:rFonts w:ascii="Times New Roman" w:hAnsi="Times New Roman" w:cs="Times New Roman"/>
        </w:rPr>
        <w:t xml:space="preserve">) 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Council of Occupational Therapists Association for the European Countries (https://www.coteceurope.eu).</w:t>
      </w: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Clinical dieticians were approached through: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British Dietetic Association (</w:t>
      </w:r>
      <w:hyperlink r:id="rId25" w:history="1">
        <w:r>
          <w:rPr>
            <w:rFonts w:ascii="Times New Roman" w:hAnsi="Times New Roman" w:cs="Times New Roman"/>
          </w:rPr>
          <w:t>https://www.bda.uk.com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Academy of Nutrition and Dietetic </w:t>
      </w:r>
      <w:hyperlink r:id="rId26" w:history="1">
        <w:r>
          <w:rPr>
            <w:rFonts w:ascii="Times New Roman" w:hAnsi="Times New Roman" w:cs="Times New Roman"/>
          </w:rPr>
          <w:t>https://www.eatright.org</w:t>
        </w:r>
      </w:hyperlink>
      <w:r>
        <w:rPr>
          <w:rFonts w:ascii="Times New Roman" w:hAnsi="Times New Roman" w:cs="Times New Roman"/>
        </w:rPr>
        <w:t>).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European Federation of the Associations of Dietitians (</w:t>
      </w:r>
      <w:hyperlink r:id="rId27">
        <w:r>
          <w:rPr>
            <w:rFonts w:ascii="Times New Roman" w:hAnsi="Times New Roman" w:cs="Times New Roman"/>
          </w:rPr>
          <w:t>http://www.efad.org/en-us/about-efad/</w:t>
        </w:r>
      </w:hyperlink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57" w:lineRule="auto"/>
        <w:ind w:left="820" w:right="728"/>
        <w:rPr>
          <w:rFonts w:ascii="Times New Roman" w:hAnsi="Times New Roman" w:cs="Times New Roman"/>
        </w:rPr>
      </w:pPr>
    </w:p>
    <w:p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Pharmacist were approached through: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General Pharmaceutical Council (</w:t>
      </w:r>
      <w:hyperlink r:id="rId28" w:history="1">
        <w:r>
          <w:rPr>
            <w:rFonts w:ascii="Times New Roman" w:hAnsi="Times New Roman" w:cs="Times New Roman"/>
          </w:rPr>
          <w:t>https://www.pharmacyregulation.org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the  United</w:t>
      </w:r>
      <w:proofErr w:type="gramEnd"/>
      <w:r>
        <w:rPr>
          <w:rFonts w:ascii="Times New Roman" w:hAnsi="Times New Roman" w:cs="Times New Roman"/>
        </w:rPr>
        <w:t xml:space="preserve"> Kingdom Clinical Pharmacy Association (</w:t>
      </w:r>
      <w:hyperlink r:id="rId29" w:history="1">
        <w:r>
          <w:rPr>
            <w:rFonts w:ascii="Times New Roman" w:hAnsi="Times New Roman" w:cs="Times New Roman"/>
          </w:rPr>
          <w:t>https://www.ukclinicalpharmacy.org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European Association of Hospital Pharmacists (</w:t>
      </w:r>
      <w:hyperlink r:id="rId30" w:history="1">
        <w:r>
          <w:rPr>
            <w:rFonts w:ascii="Times New Roman" w:hAnsi="Times New Roman" w:cs="Times New Roman"/>
          </w:rPr>
          <w:t>https://www.eahp.eu</w:t>
        </w:r>
      </w:hyperlink>
      <w:r>
        <w:rPr>
          <w:rFonts w:ascii="Times New Roman" w:hAnsi="Times New Roman" w:cs="Times New Roman"/>
        </w:rPr>
        <w:t>)</w:t>
      </w:r>
    </w:p>
    <w:p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Pharmaceutical Group of European Union (https://www.pcne.org).</w:t>
      </w:r>
    </w:p>
    <w:p>
      <w:pPr>
        <w:widowControl w:val="0"/>
        <w:numPr>
          <w:ilvl w:val="0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  <w:sectPr>
          <w:footerReference w:type="default" r:id="rId31"/>
          <w:pgSz w:w="11910" w:h="16840"/>
          <w:pgMar w:top="1760" w:right="1340" w:bottom="1540" w:left="1340" w:header="497" w:footer="1342" w:gutter="0"/>
          <w:cols w:space="720"/>
        </w:sectPr>
      </w:pP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UK NHS Hospitals Trusts contacted 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Nottingham University Hospitals NHS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Nottinghamshire Healthcare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Birmingham and Solihull Mental Health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Birmingham Community Healthcare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Birmingham Women's and Children's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Derbyshire Community Health Services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Derbyshire Healthcare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East Suffolk and North Essex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East Sussex Healthcare NHS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Lancashire &amp; South Cumbria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Lancashire Teaching Hospitals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Norfolk and Norwich University Hospitals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Norfolk and Suffolk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Oxford Health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Oxford University Hospitals NHS Foundation Trust</w:t>
      </w:r>
    </w:p>
    <w:p>
      <w:pPr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 George's University Hospitals NHS Foundation Trust</w:t>
      </w:r>
    </w:p>
    <w:p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Queen Elizabeth Hospital, King's Lynn. NHS Foundation Trust</w:t>
      </w:r>
    </w:p>
    <w:p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line="240" w:lineRule="auto"/>
        <w:rPr>
          <w:rFonts w:ascii="Times New Roman" w:hAnsi="Times New Roman" w:cs="Times New Roman"/>
          <w:b/>
          <w:bCs/>
        </w:rPr>
        <w:pPrChange w:id="1" w:author="John Gladman" w:date="2020-12-11T13:24:00Z">
          <w:pPr>
            <w:spacing w:line="240" w:lineRule="auto"/>
            <w:ind w:left="720"/>
          </w:pPr>
        </w:pPrChange>
      </w:pPr>
      <w:bookmarkStart w:id="2" w:name="_Hlk58656738"/>
      <w:r>
        <w:rPr>
          <w:rFonts w:ascii="Times New Roman" w:hAnsi="Times New Roman" w:cs="Times New Roman"/>
          <w:b/>
          <w:bCs/>
        </w:rPr>
        <w:lastRenderedPageBreak/>
        <w:t>Supplementary data: Appendix 2. Survey Initial statements</w:t>
      </w:r>
    </w:p>
    <w:bookmarkEnd w:id="2"/>
    <w:p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statements about Generic</w:t>
      </w:r>
    </w:p>
    <w:p>
      <w:pPr>
        <w:pStyle w:val="ListParagraph"/>
        <w:spacing w:line="240" w:lineRule="auto"/>
        <w:rPr>
          <w:rFonts w:ascii="Times New Roman" w:hAnsi="Times New Roman" w:cs="Times New Roman"/>
        </w:rPr>
      </w:pP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Optimal care for the management of older people with frailty, non-weight bearing after lower limb fracture should comply with current national guidelines for the care of patients with fragility fractures with respect to osteoporosis detection and management; falls risk reduction, and nutrition.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Irrespective of the place of care, patients require access to a multi-professional team including orthopaedic </w:t>
      </w:r>
      <w:proofErr w:type="gramStart"/>
      <w:r>
        <w:rPr>
          <w:rFonts w:ascii="Times New Roman" w:hAnsi="Times New Roman" w:cs="Times New Roman"/>
        </w:rPr>
        <w:t>surgeons;</w:t>
      </w:r>
      <w:proofErr w:type="gramEnd"/>
      <w:r>
        <w:rPr>
          <w:rFonts w:ascii="Times New Roman" w:hAnsi="Times New Roman" w:cs="Times New Roman"/>
        </w:rPr>
        <w:t xml:space="preserve"> and physicians, nurses and rehabilitation professionals with expertise in geriatric care. They will take an approach based on, or compatible with, comprehensive geriatric assessment – covering 1.3a symptoms 1.3b physical functioning 1.3c continence 1.3d activity – previous and current, personal and instrumental ADL 1.3e management of co-pathology beyond osteoporosis 1.3f skin integrity 1.3g a medication review 1.3h cognition 1.3i affect 1.3j social network 1.3k environment 1.3l personal factors (</w:t>
      </w:r>
      <w:proofErr w:type="gramStart"/>
      <w:r>
        <w:rPr>
          <w:rFonts w:ascii="Times New Roman" w:hAnsi="Times New Roman" w:cs="Times New Roman"/>
        </w:rPr>
        <w:t>e.g.</w:t>
      </w:r>
      <w:proofErr w:type="gramEnd"/>
      <w:r>
        <w:rPr>
          <w:rFonts w:ascii="Times New Roman" w:hAnsi="Times New Roman" w:cs="Times New Roman"/>
        </w:rPr>
        <w:t xml:space="preserve"> religious or cultural needs/ requirements).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Inpatient care for these patients should be via an orthogeriatric service (hip fracture care).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Osteoporosis management and falls risk reduction should be co-ordinated by a fracture liaison service (other fragility fractures).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Vitamin D status should be checked, and replacement offered to those who are deficient.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Vitamin D supplementation should be offered to all patients without checking Vitamin D levels.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daily requirements for protein, calories, </w:t>
      </w:r>
      <w:proofErr w:type="gramStart"/>
      <w:r>
        <w:rPr>
          <w:rFonts w:ascii="Times New Roman" w:hAnsi="Times New Roman" w:cs="Times New Roman"/>
        </w:rPr>
        <w:t>vitamins</w:t>
      </w:r>
      <w:proofErr w:type="gramEnd"/>
      <w:r>
        <w:rPr>
          <w:rFonts w:ascii="Times New Roman" w:hAnsi="Times New Roman" w:cs="Times New Roman"/>
        </w:rPr>
        <w:t xml:space="preserve"> and other vital nutrients for each individual patient should be estimated, and a dietary plan to meet those requirements produced.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Nutritional supplements (</w:t>
      </w:r>
      <w:proofErr w:type="gramStart"/>
      <w:r>
        <w:rPr>
          <w:rFonts w:ascii="Times New Roman" w:hAnsi="Times New Roman" w:cs="Times New Roman"/>
        </w:rPr>
        <w:t>e.g.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fortisips</w:t>
      </w:r>
      <w:proofErr w:type="spellEnd"/>
      <w:r>
        <w:rPr>
          <w:rFonts w:ascii="Times New Roman" w:hAnsi="Times New Roman" w:cs="Times New Roman"/>
        </w:rPr>
        <w:t>) should be routinely offered to all patients in addition to 1.8.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Protein supplements should be routinely offered to all patients in addition to 1.8.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Calorie supplements should be routinely offered to all patients in addition to 1.8.</w:t>
      </w:r>
    </w:p>
    <w:p>
      <w:pPr>
        <w:pStyle w:val="ListParagraph"/>
        <w:numPr>
          <w:ilvl w:val="1"/>
          <w:numId w:val="4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Multivitamin supplements should be routinely offered to all patients in addition to 1.8.</w:t>
      </w:r>
    </w:p>
    <w:p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Specifically related to the period of non-weight bearing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the onset of the period of NWB, a personalised programme of activity and exercise should be devised, </w:t>
      </w:r>
      <w:proofErr w:type="gramStart"/>
      <w:r>
        <w:rPr>
          <w:rFonts w:ascii="Times New Roman" w:hAnsi="Times New Roman" w:cs="Times New Roman"/>
        </w:rPr>
        <w:t>agreed</w:t>
      </w:r>
      <w:proofErr w:type="gramEnd"/>
      <w:r>
        <w:rPr>
          <w:rFonts w:ascii="Times New Roman" w:hAnsi="Times New Roman" w:cs="Times New Roman"/>
        </w:rPr>
        <w:t xml:space="preserve"> and recorded: 2.1a to reduce sedentary behaviour 2.1b to include a daily range of motion exercises for the lower limb joints 2.1c to include daily aerobic fitness exercises 2.1d to include daily strength exercises for all limbs.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onset of the period of NWB, thromboembolism prevention management should be reviewed, and should comprise 2.2a mobilization 2.2b mechanical (</w:t>
      </w:r>
      <w:proofErr w:type="gramStart"/>
      <w:r>
        <w:rPr>
          <w:rFonts w:ascii="Times New Roman" w:hAnsi="Times New Roman" w:cs="Times New Roman"/>
        </w:rPr>
        <w:t>e.g.</w:t>
      </w:r>
      <w:proofErr w:type="gramEnd"/>
      <w:r>
        <w:rPr>
          <w:rFonts w:ascii="Times New Roman" w:hAnsi="Times New Roman" w:cs="Times New Roman"/>
        </w:rPr>
        <w:t xml:space="preserve"> compression hosiery if tolerated) 2.2c low dose heparinoid unless contraindicated.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onset of the period of NWB, plans for the monitoring and management of any wound, fixation device or limb casting during the period of non-weight bearing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the onset of the period of NWB, plans for the duration of the period of non-weight bearing, or the decision-making process to define it,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At the onset of the period of NWB, specific plans for the consequences of the personal ADL limitations imposed by the requirement for non-weight bearing such as upon skincare, continence, toileting, and dressing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onset of the period of NWB, a personalised plan based on the above assessments of where the above care should be delivered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During the period of NWB, access to equipment and professional input should be sufficient to deliver care as defined by 1.1-1.2 and 2.1-2.6 and to plan 2.8-2.11.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the end of the period of NWB, a personalised programme of activity and exercise and where it should be conducted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the end of the period of NWB, plans for the monitoring and management of any aspect of fracture / injury care (wound, fixation device or limb casting)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the end of the period of NWB, plans for addressing on-going personal and instrumental ADL limitations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the end of the period of NWB, plans for addressing on-going pain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the end of the period of NWB, plans for management of osteoporosis should be recorded.</w:t>
      </w:r>
    </w:p>
    <w:p>
      <w:pPr>
        <w:pStyle w:val="ListParagraph"/>
        <w:numPr>
          <w:ilvl w:val="1"/>
          <w:numId w:val="5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care plans listed above should be developed with the patient, with a family member or caregiver if requested by the patient or in those patients lacking sufficient mental capacity to do so.</w:t>
      </w:r>
    </w:p>
    <w:p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</w:p>
    <w:p>
      <w:pPr>
        <w:pStyle w:val="ListParagraph"/>
        <w:spacing w:line="24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data: Appendix 3. Panel members:</w:t>
      </w:r>
    </w:p>
    <w:bookmarkEnd w:id="0"/>
    <w:p/>
    <w:sectPr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</w:t>
    </w:r>
    <w:r>
      <w:rPr>
        <w:noProof/>
      </w:rPr>
      <w:fldChar w:fldCharType="end"/>
    </w:r>
  </w:p>
  <w:p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A6743A"/>
    <w:multiLevelType w:val="hybridMultilevel"/>
    <w:tmpl w:val="7264F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23734"/>
    <w:multiLevelType w:val="hybridMultilevel"/>
    <w:tmpl w:val="87B8384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CC49D2"/>
    <w:multiLevelType w:val="hybridMultilevel"/>
    <w:tmpl w:val="95EE690A"/>
    <w:lvl w:ilvl="0" w:tplc="31DE589C">
      <w:numFmt w:val="bullet"/>
      <w:lvlText w:val=""/>
      <w:lvlJc w:val="left"/>
      <w:pPr>
        <w:ind w:left="820" w:hanging="161"/>
      </w:pPr>
      <w:rPr>
        <w:rFonts w:ascii="Symbol" w:eastAsia="Symbol" w:hAnsi="Symbol" w:cs="Symbol" w:hint="default"/>
        <w:w w:val="99"/>
        <w:sz w:val="20"/>
        <w:szCs w:val="20"/>
        <w:lang w:val="en-GB" w:eastAsia="en-GB" w:bidi="en-GB"/>
      </w:rPr>
    </w:lvl>
    <w:lvl w:ilvl="1" w:tplc="C512B86E">
      <w:numFmt w:val="bullet"/>
      <w:lvlText w:val="•"/>
      <w:lvlJc w:val="left"/>
      <w:pPr>
        <w:ind w:left="1660" w:hanging="161"/>
      </w:pPr>
      <w:rPr>
        <w:rFonts w:hint="default"/>
        <w:lang w:val="en-GB" w:eastAsia="en-GB" w:bidi="en-GB"/>
      </w:rPr>
    </w:lvl>
    <w:lvl w:ilvl="2" w:tplc="C61E07B0">
      <w:numFmt w:val="bullet"/>
      <w:lvlText w:val="•"/>
      <w:lvlJc w:val="left"/>
      <w:pPr>
        <w:ind w:left="2501" w:hanging="161"/>
      </w:pPr>
      <w:rPr>
        <w:rFonts w:hint="default"/>
        <w:lang w:val="en-GB" w:eastAsia="en-GB" w:bidi="en-GB"/>
      </w:rPr>
    </w:lvl>
    <w:lvl w:ilvl="3" w:tplc="50BEE852">
      <w:numFmt w:val="bullet"/>
      <w:lvlText w:val="•"/>
      <w:lvlJc w:val="left"/>
      <w:pPr>
        <w:ind w:left="3341" w:hanging="161"/>
      </w:pPr>
      <w:rPr>
        <w:rFonts w:hint="default"/>
        <w:lang w:val="en-GB" w:eastAsia="en-GB" w:bidi="en-GB"/>
      </w:rPr>
    </w:lvl>
    <w:lvl w:ilvl="4" w:tplc="3BA0FC20">
      <w:numFmt w:val="bullet"/>
      <w:lvlText w:val="•"/>
      <w:lvlJc w:val="left"/>
      <w:pPr>
        <w:ind w:left="4182" w:hanging="161"/>
      </w:pPr>
      <w:rPr>
        <w:rFonts w:hint="default"/>
        <w:lang w:val="en-GB" w:eastAsia="en-GB" w:bidi="en-GB"/>
      </w:rPr>
    </w:lvl>
    <w:lvl w:ilvl="5" w:tplc="E44E48BC">
      <w:numFmt w:val="bullet"/>
      <w:lvlText w:val="•"/>
      <w:lvlJc w:val="left"/>
      <w:pPr>
        <w:ind w:left="5023" w:hanging="161"/>
      </w:pPr>
      <w:rPr>
        <w:rFonts w:hint="default"/>
        <w:lang w:val="en-GB" w:eastAsia="en-GB" w:bidi="en-GB"/>
      </w:rPr>
    </w:lvl>
    <w:lvl w:ilvl="6" w:tplc="B526EBDA">
      <w:numFmt w:val="bullet"/>
      <w:lvlText w:val="•"/>
      <w:lvlJc w:val="left"/>
      <w:pPr>
        <w:ind w:left="5863" w:hanging="161"/>
      </w:pPr>
      <w:rPr>
        <w:rFonts w:hint="default"/>
        <w:lang w:val="en-GB" w:eastAsia="en-GB" w:bidi="en-GB"/>
      </w:rPr>
    </w:lvl>
    <w:lvl w:ilvl="7" w:tplc="B0543C40">
      <w:numFmt w:val="bullet"/>
      <w:lvlText w:val="•"/>
      <w:lvlJc w:val="left"/>
      <w:pPr>
        <w:ind w:left="6704" w:hanging="161"/>
      </w:pPr>
      <w:rPr>
        <w:rFonts w:hint="default"/>
        <w:lang w:val="en-GB" w:eastAsia="en-GB" w:bidi="en-GB"/>
      </w:rPr>
    </w:lvl>
    <w:lvl w:ilvl="8" w:tplc="D084DD8E">
      <w:numFmt w:val="bullet"/>
      <w:lvlText w:val="•"/>
      <w:lvlJc w:val="left"/>
      <w:pPr>
        <w:ind w:left="7545" w:hanging="161"/>
      </w:pPr>
      <w:rPr>
        <w:rFonts w:hint="default"/>
        <w:lang w:val="en-GB" w:eastAsia="en-GB" w:bidi="en-GB"/>
      </w:rPr>
    </w:lvl>
  </w:abstractNum>
  <w:abstractNum w:abstractNumId="3" w15:restartNumberingAfterBreak="0">
    <w:nsid w:val="690C3BB6"/>
    <w:multiLevelType w:val="multilevel"/>
    <w:tmpl w:val="CB88D81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69BE7BD8"/>
    <w:multiLevelType w:val="multilevel"/>
    <w:tmpl w:val="D774285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70AD7645"/>
    <w:multiLevelType w:val="multilevel"/>
    <w:tmpl w:val="11E26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ohn Gladman">
    <w15:presenceInfo w15:providerId="AD" w15:userId="S-1-5-21-1664130791-3153540899-3044996548-54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7056CA-595E-423B-BA01-8F9788091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gs.org.uk/falls-and-bone-health" TargetMode="External"/><Relationship Id="rId13" Type="http://schemas.openxmlformats.org/officeDocument/2006/relationships/hyperlink" Target="http://www.abhi.org.uk/who-we-are/member-groups/special-interest-" TargetMode="External"/><Relationship Id="rId18" Type="http://schemas.openxmlformats.org/officeDocument/2006/relationships/hyperlink" Target="http://www.traumanurses.org/about/stn-europe)" TargetMode="External"/><Relationship Id="rId26" Type="http://schemas.openxmlformats.org/officeDocument/2006/relationships/hyperlink" Target="https://www.eatright.o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erwcpt.eu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bgs.org.uk" TargetMode="External"/><Relationship Id="rId12" Type="http://schemas.openxmlformats.org/officeDocument/2006/relationships/hyperlink" Target="https://www.rcseng.ac.uk" TargetMode="External"/><Relationship Id="rId17" Type="http://schemas.openxmlformats.org/officeDocument/2006/relationships/hyperlink" Target="https://www.traumanurses.org/" TargetMode="External"/><Relationship Id="rId25" Type="http://schemas.openxmlformats.org/officeDocument/2006/relationships/hyperlink" Target="https://www.bda.uk.com" TargetMode="External"/><Relationship Id="rId33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hyperlink" Target="https://www.bna.co.uk/" TargetMode="External"/><Relationship Id="rId20" Type="http://schemas.openxmlformats.org/officeDocument/2006/relationships/hyperlink" Target="https://agile.csp.org.uk" TargetMode="External"/><Relationship Id="rId29" Type="http://schemas.openxmlformats.org/officeDocument/2006/relationships/hyperlink" Target="https://www.ukclinicalpharmacy.o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eugms.org/research-cooperation/special-interest-groups/falls-and-fractures.html" TargetMode="External"/><Relationship Id="rId24" Type="http://schemas.openxmlformats.org/officeDocument/2006/relationships/hyperlink" Target="https://www.rcot.co.uk/about-us/specialist-sections/trauma-and-musculoskeletal-rcot-ss/clinical-forums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rcn.org.uk/" TargetMode="External"/><Relationship Id="rId23" Type="http://schemas.openxmlformats.org/officeDocument/2006/relationships/hyperlink" Target="https://www.rcot.co.uk/about-us/specialist-sections/trauma-and-musculoskeletal-rcot-ss/clinical-forums" TargetMode="External"/><Relationship Id="rId28" Type="http://schemas.openxmlformats.org/officeDocument/2006/relationships/hyperlink" Target="https://www.pharmacyregulation.org" TargetMode="External"/><Relationship Id="rId10" Type="http://schemas.openxmlformats.org/officeDocument/2006/relationships/hyperlink" Target="https://www.eugms.org/research-cooperation/special-interest-groups/falls-and-fractures.html" TargetMode="External"/><Relationship Id="rId19" Type="http://schemas.openxmlformats.org/officeDocument/2006/relationships/hyperlink" Target="https://acpomit.csp.org.uk" TargetMode="External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eugms.org/" TargetMode="External"/><Relationship Id="rId14" Type="http://schemas.openxmlformats.org/officeDocument/2006/relationships/hyperlink" Target="https://www.orthopaedictrauma.org.uk/" TargetMode="External"/><Relationship Id="rId22" Type="http://schemas.openxmlformats.org/officeDocument/2006/relationships/hyperlink" Target="http://www.rcot.co.uk/about-" TargetMode="External"/><Relationship Id="rId27" Type="http://schemas.openxmlformats.org/officeDocument/2006/relationships/hyperlink" Target="http://www.efad.org/en-us/about-efad/" TargetMode="External"/><Relationship Id="rId30" Type="http://schemas.openxmlformats.org/officeDocument/2006/relationships/hyperlink" Target="https://www.eahp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1433</Words>
  <Characters>8170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saleh aloraibi</dc:creator>
  <cp:keywords/>
  <dc:description/>
  <cp:lastModifiedBy>saleh aloraibi</cp:lastModifiedBy>
  <cp:revision>3</cp:revision>
  <dcterms:created xsi:type="dcterms:W3CDTF">2020-12-18T13:23:00Z</dcterms:created>
  <dcterms:modified xsi:type="dcterms:W3CDTF">2021-01-20T09:05:00Z</dcterms:modified>
</cp:coreProperties>
</file>