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26F544" w14:textId="77777777" w:rsidR="008A0252" w:rsidRPr="00BE7F81" w:rsidRDefault="008A0252" w:rsidP="008A0252">
      <w:pPr>
        <w:outlineLvl w:val="0"/>
        <w:rPr>
          <w:b/>
        </w:rPr>
      </w:pPr>
      <w:r>
        <w:rPr>
          <w:b/>
        </w:rPr>
        <w:t>Launch</w:t>
      </w:r>
      <w:r w:rsidRPr="00BE7F81">
        <w:rPr>
          <w:b/>
        </w:rPr>
        <w:t xml:space="preserve"> </w:t>
      </w:r>
      <w:r>
        <w:rPr>
          <w:b/>
        </w:rPr>
        <w:t>Sequencing of Pharmaceuticals with</w:t>
      </w:r>
      <w:r w:rsidRPr="00BE7F81">
        <w:rPr>
          <w:b/>
        </w:rPr>
        <w:t xml:space="preserve"> Multiple </w:t>
      </w:r>
      <w:r>
        <w:rPr>
          <w:b/>
        </w:rPr>
        <w:t xml:space="preserve">Therapeutic </w:t>
      </w:r>
      <w:r w:rsidRPr="00BE7F81">
        <w:rPr>
          <w:b/>
        </w:rPr>
        <w:t>Indications: Evidence from Seven Countries</w:t>
      </w:r>
    </w:p>
    <w:p w14:paraId="6FE6CA02" w14:textId="77777777" w:rsidR="008A0252" w:rsidRDefault="008A0252" w:rsidP="00851052">
      <w:pPr>
        <w:spacing w:line="480" w:lineRule="auto"/>
        <w:jc w:val="both"/>
        <w:rPr>
          <w:i/>
          <w:iCs/>
        </w:rPr>
      </w:pPr>
    </w:p>
    <w:p w14:paraId="513C691A" w14:textId="5E11E764" w:rsidR="00851052" w:rsidRPr="00851052" w:rsidRDefault="008A0252" w:rsidP="00851052">
      <w:pPr>
        <w:spacing w:line="480" w:lineRule="auto"/>
        <w:jc w:val="both"/>
        <w:rPr>
          <w:i/>
          <w:iCs/>
        </w:rPr>
      </w:pPr>
      <w:r>
        <w:rPr>
          <w:i/>
          <w:iCs/>
        </w:rPr>
        <w:t>BMC Health Services Research</w:t>
      </w:r>
    </w:p>
    <w:p w14:paraId="49DB8E44" w14:textId="1598E722" w:rsidR="00851052" w:rsidRDefault="00851052" w:rsidP="00851052">
      <w:pPr>
        <w:outlineLvl w:val="0"/>
        <w:rPr>
          <w:bCs/>
        </w:rPr>
      </w:pPr>
    </w:p>
    <w:p w14:paraId="25E7D147" w14:textId="77777777" w:rsidR="00851052" w:rsidRDefault="00851052" w:rsidP="00851052">
      <w:pPr>
        <w:outlineLvl w:val="0"/>
        <w:rPr>
          <w:b/>
          <w:bCs/>
        </w:rPr>
      </w:pPr>
    </w:p>
    <w:p w14:paraId="5E9918A6" w14:textId="5C732EE9" w:rsidR="00851052" w:rsidRPr="00184E45" w:rsidRDefault="00851052" w:rsidP="00851052">
      <w:pPr>
        <w:outlineLvl w:val="0"/>
        <w:rPr>
          <w:b/>
        </w:rPr>
      </w:pPr>
      <w:r w:rsidRPr="00BE7F81">
        <w:rPr>
          <w:b/>
        </w:rPr>
        <w:t xml:space="preserve">Mackenzie </w:t>
      </w:r>
      <w:proofErr w:type="spellStart"/>
      <w:r w:rsidRPr="00BE7F81">
        <w:rPr>
          <w:b/>
        </w:rPr>
        <w:t>Mills</w:t>
      </w:r>
      <w:r w:rsidRPr="00BE7F81">
        <w:rPr>
          <w:b/>
          <w:vertAlign w:val="superscript"/>
        </w:rPr>
        <w:t>A</w:t>
      </w:r>
      <w:proofErr w:type="spellEnd"/>
      <w:r w:rsidRPr="00BE7F81">
        <w:rPr>
          <w:b/>
        </w:rPr>
        <w:t>,</w:t>
      </w:r>
      <w:r>
        <w:rPr>
          <w:b/>
        </w:rPr>
        <w:t xml:space="preserve"> MSc,</w:t>
      </w:r>
      <w:r w:rsidRPr="00BE7F81">
        <w:rPr>
          <w:b/>
        </w:rPr>
        <w:t xml:space="preserve"> Daniel </w:t>
      </w:r>
      <w:proofErr w:type="spellStart"/>
      <w:r w:rsidRPr="00BE7F81">
        <w:rPr>
          <w:b/>
        </w:rPr>
        <w:t>Michaeli</w:t>
      </w:r>
      <w:r w:rsidRPr="00BE7F81">
        <w:rPr>
          <w:b/>
          <w:vertAlign w:val="superscript"/>
        </w:rPr>
        <w:t>A</w:t>
      </w:r>
      <w:proofErr w:type="spellEnd"/>
      <w:r w:rsidRPr="00BE7F81">
        <w:rPr>
          <w:b/>
        </w:rPr>
        <w:t>,</w:t>
      </w:r>
      <w:r>
        <w:rPr>
          <w:b/>
        </w:rPr>
        <w:t xml:space="preserve"> MSc,</w:t>
      </w:r>
      <w:r w:rsidRPr="00BE7F81">
        <w:rPr>
          <w:b/>
        </w:rPr>
        <w:t xml:space="preserve"> Aurelio </w:t>
      </w:r>
      <w:proofErr w:type="spellStart"/>
      <w:r w:rsidRPr="00BE7F81">
        <w:rPr>
          <w:b/>
        </w:rPr>
        <w:t>Miracolo</w:t>
      </w:r>
      <w:r w:rsidRPr="00BE7F81">
        <w:rPr>
          <w:b/>
          <w:vertAlign w:val="superscript"/>
        </w:rPr>
        <w:t>A</w:t>
      </w:r>
      <w:proofErr w:type="spellEnd"/>
      <w:r w:rsidRPr="00BE7F81">
        <w:rPr>
          <w:b/>
        </w:rPr>
        <w:t>,</w:t>
      </w:r>
      <w:r>
        <w:rPr>
          <w:b/>
        </w:rPr>
        <w:t xml:space="preserve"> MSc,</w:t>
      </w:r>
      <w:r w:rsidRPr="00BE7F81">
        <w:rPr>
          <w:b/>
        </w:rPr>
        <w:t xml:space="preserve"> </w:t>
      </w:r>
      <w:proofErr w:type="spellStart"/>
      <w:r w:rsidRPr="00BE7F81">
        <w:rPr>
          <w:b/>
        </w:rPr>
        <w:t>Panos</w:t>
      </w:r>
      <w:proofErr w:type="spellEnd"/>
      <w:r w:rsidRPr="00BE7F81">
        <w:rPr>
          <w:b/>
        </w:rPr>
        <w:t xml:space="preserve"> </w:t>
      </w:r>
      <w:proofErr w:type="spellStart"/>
      <w:r w:rsidRPr="00BE7F81">
        <w:rPr>
          <w:b/>
        </w:rPr>
        <w:t>Kanavos</w:t>
      </w:r>
      <w:r w:rsidRPr="00BE7F81">
        <w:rPr>
          <w:b/>
          <w:vertAlign w:val="superscript"/>
        </w:rPr>
        <w:t>A</w:t>
      </w:r>
      <w:proofErr w:type="spellEnd"/>
      <w:r>
        <w:rPr>
          <w:b/>
        </w:rPr>
        <w:t>, PhD</w:t>
      </w:r>
    </w:p>
    <w:p w14:paraId="32538E8B" w14:textId="77777777" w:rsidR="00851052" w:rsidRPr="00BE7F81" w:rsidRDefault="00851052" w:rsidP="00851052">
      <w:pPr>
        <w:outlineLvl w:val="0"/>
        <w:rPr>
          <w:b/>
          <w:vertAlign w:val="superscript"/>
        </w:rPr>
      </w:pPr>
    </w:p>
    <w:p w14:paraId="4A903619" w14:textId="77777777" w:rsidR="00851052" w:rsidRPr="00BE7F81" w:rsidRDefault="00851052" w:rsidP="00851052">
      <w:pPr>
        <w:outlineLvl w:val="0"/>
        <w:rPr>
          <w:bCs/>
        </w:rPr>
      </w:pPr>
      <w:r w:rsidRPr="00BE7F81">
        <w:rPr>
          <w:bCs/>
        </w:rPr>
        <w:t>A – Department of Health Policy and LSE Health, Medical Technology Research Group, London School of Economics and Political Science</w:t>
      </w:r>
    </w:p>
    <w:p w14:paraId="1978417D" w14:textId="77777777" w:rsidR="00851052" w:rsidRDefault="00851052" w:rsidP="00851052">
      <w:pPr>
        <w:rPr>
          <w:bCs/>
        </w:rPr>
      </w:pPr>
    </w:p>
    <w:p w14:paraId="35751B2C" w14:textId="77777777" w:rsidR="00851052" w:rsidRDefault="00851052" w:rsidP="00851052">
      <w:pPr>
        <w:rPr>
          <w:bCs/>
        </w:rPr>
      </w:pPr>
    </w:p>
    <w:p w14:paraId="68A03AC1" w14:textId="77777777" w:rsidR="00851052" w:rsidRPr="00BE7F81" w:rsidRDefault="00851052" w:rsidP="00851052">
      <w:pPr>
        <w:rPr>
          <w:b/>
        </w:rPr>
      </w:pPr>
      <w:r w:rsidRPr="00BE7F81">
        <w:rPr>
          <w:b/>
        </w:rPr>
        <w:t>ADDRESS FOR CORRESPONDENCE</w:t>
      </w:r>
    </w:p>
    <w:p w14:paraId="65FADACC" w14:textId="77777777" w:rsidR="00851052" w:rsidRPr="00BE7F81" w:rsidRDefault="00851052" w:rsidP="00851052">
      <w:pPr>
        <w:rPr>
          <w:b/>
        </w:rPr>
      </w:pPr>
    </w:p>
    <w:p w14:paraId="63A8B865" w14:textId="77777777" w:rsidR="00851052" w:rsidRPr="00BE7F81" w:rsidRDefault="00851052" w:rsidP="00851052">
      <w:r w:rsidRPr="00BE7F81">
        <w:t xml:space="preserve">Mackenzie Mills </w:t>
      </w:r>
    </w:p>
    <w:p w14:paraId="5AB6F74C" w14:textId="77777777" w:rsidR="00851052" w:rsidRPr="00BE7F81" w:rsidRDefault="00851052" w:rsidP="00851052">
      <w:r w:rsidRPr="00BE7F81">
        <w:t xml:space="preserve">Department of Health Policy </w:t>
      </w:r>
    </w:p>
    <w:p w14:paraId="3839FB12" w14:textId="77777777" w:rsidR="00851052" w:rsidRPr="00BE7F81" w:rsidRDefault="00851052" w:rsidP="00851052">
      <w:r w:rsidRPr="00BE7F81">
        <w:t xml:space="preserve">Medical Technology Research Group, LSE Health </w:t>
      </w:r>
    </w:p>
    <w:p w14:paraId="2361C0ED" w14:textId="77777777" w:rsidR="00851052" w:rsidRPr="00BE7F81" w:rsidRDefault="00851052" w:rsidP="00851052">
      <w:r w:rsidRPr="00BE7F81">
        <w:t xml:space="preserve">Houghton Street London </w:t>
      </w:r>
    </w:p>
    <w:p w14:paraId="78330056" w14:textId="77777777" w:rsidR="00851052" w:rsidRPr="00BE7F81" w:rsidRDefault="00851052" w:rsidP="00851052">
      <w:r w:rsidRPr="00BE7F81">
        <w:t xml:space="preserve">WC2A 2AE </w:t>
      </w:r>
    </w:p>
    <w:p w14:paraId="57A0E4F1" w14:textId="77777777" w:rsidR="00851052" w:rsidRPr="00BE7F81" w:rsidRDefault="00851052" w:rsidP="00851052">
      <w:r w:rsidRPr="00BE7F81">
        <w:t xml:space="preserve">England </w:t>
      </w:r>
    </w:p>
    <w:p w14:paraId="527BDB93" w14:textId="77777777" w:rsidR="00851052" w:rsidRPr="00BE7F81" w:rsidRDefault="00B96B7D" w:rsidP="00851052">
      <w:hyperlink r:id="rId7" w:history="1">
        <w:r w:rsidR="00851052" w:rsidRPr="00BE7F81">
          <w:rPr>
            <w:rStyle w:val="Hyperlink"/>
          </w:rPr>
          <w:t>M.J.Mills@lse.ac.uk</w:t>
        </w:r>
      </w:hyperlink>
      <w:r w:rsidR="00851052" w:rsidRPr="00BE7F81">
        <w:t xml:space="preserve"> </w:t>
      </w:r>
    </w:p>
    <w:p w14:paraId="74A37110" w14:textId="77777777" w:rsidR="00851052" w:rsidRPr="00BE7F81" w:rsidRDefault="00851052" w:rsidP="00851052">
      <w:r w:rsidRPr="00BE7F81">
        <w:t>+44 (0) 7522725371</w:t>
      </w:r>
    </w:p>
    <w:p w14:paraId="3D356AC6" w14:textId="77777777" w:rsidR="00851052" w:rsidRPr="00BE7F81" w:rsidRDefault="00851052" w:rsidP="00851052">
      <w:r w:rsidRPr="00BE7F81">
        <w:t>ORCID: 0000-0002-8756-3484</w:t>
      </w:r>
    </w:p>
    <w:p w14:paraId="04592AE3" w14:textId="77777777" w:rsidR="005F5615" w:rsidRDefault="005F5615" w:rsidP="00E27E4C">
      <w:pPr>
        <w:spacing w:line="480" w:lineRule="auto"/>
        <w:jc w:val="both"/>
        <w:rPr>
          <w:b/>
          <w:bCs/>
        </w:rPr>
      </w:pPr>
    </w:p>
    <w:p w14:paraId="49ECEAF8" w14:textId="49546709" w:rsidR="005F5615" w:rsidRDefault="005F5615" w:rsidP="00E27E4C">
      <w:pPr>
        <w:spacing w:line="480" w:lineRule="auto"/>
        <w:jc w:val="both"/>
        <w:rPr>
          <w:b/>
          <w:bCs/>
        </w:rPr>
      </w:pPr>
    </w:p>
    <w:p w14:paraId="4601A0BB" w14:textId="47800551" w:rsidR="00851052" w:rsidRDefault="00851052" w:rsidP="00E27E4C">
      <w:pPr>
        <w:spacing w:line="480" w:lineRule="auto"/>
        <w:jc w:val="both"/>
        <w:rPr>
          <w:b/>
          <w:bCs/>
        </w:rPr>
      </w:pPr>
    </w:p>
    <w:p w14:paraId="1558D709" w14:textId="0C3E293F" w:rsidR="00851052" w:rsidRDefault="00851052" w:rsidP="00E27E4C">
      <w:pPr>
        <w:spacing w:line="480" w:lineRule="auto"/>
        <w:jc w:val="both"/>
        <w:rPr>
          <w:b/>
          <w:bCs/>
        </w:rPr>
      </w:pPr>
    </w:p>
    <w:p w14:paraId="47C11979" w14:textId="55FB0AA7" w:rsidR="00851052" w:rsidRDefault="00851052" w:rsidP="00E27E4C">
      <w:pPr>
        <w:spacing w:line="480" w:lineRule="auto"/>
        <w:jc w:val="both"/>
        <w:rPr>
          <w:b/>
          <w:bCs/>
        </w:rPr>
      </w:pPr>
    </w:p>
    <w:p w14:paraId="1AD47E63" w14:textId="65016E02" w:rsidR="00851052" w:rsidRDefault="00851052" w:rsidP="00E27E4C">
      <w:pPr>
        <w:spacing w:line="480" w:lineRule="auto"/>
        <w:jc w:val="both"/>
        <w:rPr>
          <w:b/>
          <w:bCs/>
        </w:rPr>
      </w:pPr>
    </w:p>
    <w:p w14:paraId="02E63EF6" w14:textId="560A1CFC" w:rsidR="00851052" w:rsidRDefault="00851052" w:rsidP="00E27E4C">
      <w:pPr>
        <w:spacing w:line="480" w:lineRule="auto"/>
        <w:jc w:val="both"/>
        <w:rPr>
          <w:b/>
          <w:bCs/>
        </w:rPr>
      </w:pPr>
    </w:p>
    <w:p w14:paraId="5D06E389" w14:textId="6C53F681" w:rsidR="00851052" w:rsidRDefault="00851052" w:rsidP="00E27E4C">
      <w:pPr>
        <w:spacing w:line="480" w:lineRule="auto"/>
        <w:jc w:val="both"/>
        <w:rPr>
          <w:b/>
          <w:bCs/>
        </w:rPr>
      </w:pPr>
    </w:p>
    <w:p w14:paraId="6C2496BE" w14:textId="52B7D5CF" w:rsidR="00851052" w:rsidRDefault="00851052" w:rsidP="00E27E4C">
      <w:pPr>
        <w:spacing w:line="480" w:lineRule="auto"/>
        <w:jc w:val="both"/>
        <w:rPr>
          <w:b/>
          <w:bCs/>
        </w:rPr>
      </w:pPr>
    </w:p>
    <w:p w14:paraId="7192377E" w14:textId="1167E00D" w:rsidR="00851052" w:rsidRDefault="00851052" w:rsidP="00E27E4C">
      <w:pPr>
        <w:spacing w:line="480" w:lineRule="auto"/>
        <w:jc w:val="both"/>
        <w:rPr>
          <w:b/>
          <w:bCs/>
        </w:rPr>
      </w:pPr>
    </w:p>
    <w:p w14:paraId="590B0F30" w14:textId="185294AF" w:rsidR="00851052" w:rsidRDefault="00851052" w:rsidP="00E27E4C">
      <w:pPr>
        <w:spacing w:line="480" w:lineRule="auto"/>
        <w:jc w:val="both"/>
        <w:rPr>
          <w:b/>
          <w:bCs/>
        </w:rPr>
      </w:pPr>
    </w:p>
    <w:p w14:paraId="331EB4CC" w14:textId="77777777" w:rsidR="00851052" w:rsidRDefault="00851052" w:rsidP="00E27E4C">
      <w:pPr>
        <w:spacing w:line="480" w:lineRule="auto"/>
        <w:jc w:val="both"/>
        <w:rPr>
          <w:b/>
          <w:bCs/>
        </w:rPr>
      </w:pPr>
    </w:p>
    <w:p w14:paraId="098CE3D3" w14:textId="20FEF8BF" w:rsidR="00F21156" w:rsidRPr="00F21156" w:rsidRDefault="00F21156" w:rsidP="00E27E4C">
      <w:pPr>
        <w:spacing w:line="480" w:lineRule="auto"/>
        <w:jc w:val="both"/>
        <w:rPr>
          <w:b/>
          <w:bCs/>
        </w:rPr>
      </w:pPr>
      <w:r>
        <w:rPr>
          <w:b/>
          <w:bCs/>
        </w:rPr>
        <w:lastRenderedPageBreak/>
        <w:t xml:space="preserve">Appendix  – Country specific approaches to pricing multi-indication products. </w:t>
      </w:r>
    </w:p>
    <w:p w14:paraId="6F367805" w14:textId="77777777" w:rsidR="00F21156" w:rsidRDefault="00F21156" w:rsidP="00E27E4C">
      <w:pPr>
        <w:spacing w:line="480" w:lineRule="auto"/>
        <w:jc w:val="both"/>
      </w:pPr>
    </w:p>
    <w:p w14:paraId="57577CF7" w14:textId="2B88D892" w:rsidR="00F21156" w:rsidRDefault="00F21156" w:rsidP="00E27E4C">
      <w:pPr>
        <w:spacing w:line="480" w:lineRule="auto"/>
        <w:jc w:val="both"/>
      </w:pPr>
      <w:r>
        <w:t>T</w:t>
      </w:r>
      <w:r w:rsidRPr="00695D6D">
        <w:t>here are four broad mechanisms for implementation of IBP: a) blended or weighted pricing, b) differential discounting, c) different brand names for different indications, or d) outcomes-based reimbursement models</w:t>
      </w:r>
    </w:p>
    <w:p w14:paraId="12418C98" w14:textId="77777777" w:rsidR="00F21156" w:rsidRDefault="00F21156" w:rsidP="00E27E4C">
      <w:pPr>
        <w:spacing w:line="480" w:lineRule="auto"/>
        <w:jc w:val="both"/>
      </w:pPr>
    </w:p>
    <w:p w14:paraId="41091E49" w14:textId="34B0989C" w:rsidR="00F21156" w:rsidRPr="00695D6D" w:rsidRDefault="00F21156" w:rsidP="00E27E4C">
      <w:pPr>
        <w:spacing w:line="480" w:lineRule="auto"/>
        <w:jc w:val="both"/>
      </w:pPr>
      <w:r w:rsidRPr="00695D6D">
        <w:t>In some countries, such as Germany, France and Australia a weighted pricing system is used to indirectly achieve indication-based pricing. Under a weighted pricing system, the price</w:t>
      </w:r>
      <w:r>
        <w:t xml:space="preserve"> o</w:t>
      </w:r>
      <w:r w:rsidRPr="00695D6D">
        <w:t xml:space="preserve">f a </w:t>
      </w:r>
      <w:r>
        <w:t>medicine</w:t>
      </w:r>
      <w:r w:rsidRPr="00695D6D">
        <w:t xml:space="preserve"> is re-negotiated after the launch of a new therapeutic indication</w:t>
      </w:r>
      <w:r w:rsidR="00E94CBB">
        <w:t xml:space="preserve"> [5].</w:t>
      </w:r>
      <w:r>
        <w:t xml:space="preserve"> Weighted pricing can apply to the list price of a molecule, or to the net price of a molecule in settings where confidential discounting takes place. </w:t>
      </w:r>
      <w:r w:rsidRPr="00695D6D">
        <w:t xml:space="preserve">The price is calculated based on the respective value of each indication and weighted according to the expected utilisation. In theory, this would generate the same level of sales as an </w:t>
      </w:r>
      <w:r>
        <w:t>IBP</w:t>
      </w:r>
      <w:r w:rsidRPr="00695D6D">
        <w:t xml:space="preserve"> system. In practice, </w:t>
      </w:r>
      <w:r>
        <w:t xml:space="preserve">however, </w:t>
      </w:r>
      <w:r w:rsidRPr="00695D6D">
        <w:t>the weighted price may not reflect the true value or utilisation of respective indications (</w:t>
      </w:r>
      <w:proofErr w:type="gramStart"/>
      <w:r w:rsidRPr="00695D6D">
        <w:t>e.g.</w:t>
      </w:r>
      <w:proofErr w:type="gramEnd"/>
      <w:r w:rsidRPr="00695D6D">
        <w:t xml:space="preserve"> if a competitor launched in one indication and reduced utilisation). As a result, manufacturers may still be reluctant to launch lower value indications under a weighted pricing system unless a retrospective adjustment provision is in </w:t>
      </w:r>
      <w:r>
        <w:t>place</w:t>
      </w:r>
      <w:r w:rsidRPr="00695D6D">
        <w:t xml:space="preserve"> to reflect actual patient volumes. </w:t>
      </w:r>
      <w:proofErr w:type="gramStart"/>
      <w:r w:rsidRPr="00695D6D">
        <w:t>This</w:t>
      </w:r>
      <w:proofErr w:type="gramEnd"/>
      <w:r w:rsidRPr="00695D6D">
        <w:t xml:space="preserve"> however, requires robust data capabilities and may be associated with high administrative burden</w:t>
      </w:r>
      <w:r w:rsidR="00E94CBB">
        <w:t xml:space="preserve"> [5].</w:t>
      </w:r>
    </w:p>
    <w:p w14:paraId="15DBA4D3" w14:textId="77777777" w:rsidR="00F21156" w:rsidRPr="00695D6D" w:rsidRDefault="00F21156" w:rsidP="00E27E4C">
      <w:pPr>
        <w:spacing w:line="480" w:lineRule="auto"/>
        <w:jc w:val="both"/>
        <w:rPr>
          <w:b/>
        </w:rPr>
      </w:pPr>
    </w:p>
    <w:p w14:paraId="264EDF03" w14:textId="1E40992F" w:rsidR="00F21156" w:rsidRPr="00695D6D" w:rsidRDefault="00F21156" w:rsidP="00E27E4C">
      <w:pPr>
        <w:spacing w:line="480" w:lineRule="auto"/>
        <w:jc w:val="both"/>
      </w:pPr>
      <w:r w:rsidRPr="00695D6D">
        <w:t xml:space="preserve">In settings such as the UK, Switzerland and Italy different </w:t>
      </w:r>
      <w:r>
        <w:t>confidential discount</w:t>
      </w:r>
      <w:r w:rsidRPr="00695D6D">
        <w:t xml:space="preserve"> rates can be applied </w:t>
      </w:r>
      <w:r>
        <w:t xml:space="preserve">off a single list price </w:t>
      </w:r>
      <w:r w:rsidRPr="00695D6D">
        <w:t>to individual indications for a molecule</w:t>
      </w:r>
      <w:r>
        <w:t>, particularly if the epidemiology or expected use varies substantially across indications</w:t>
      </w:r>
      <w:r w:rsidRPr="00695D6D">
        <w:t xml:space="preserve">. In these settings, regulatory and legal systems allow for the </w:t>
      </w:r>
      <w:r>
        <w:t>rate of reimbursement</w:t>
      </w:r>
      <w:r w:rsidRPr="00695D6D">
        <w:t xml:space="preserve"> </w:t>
      </w:r>
      <w:r>
        <w:t>for a molecule</w:t>
      </w:r>
      <w:r w:rsidRPr="00695D6D">
        <w:t xml:space="preserve"> to vary according to each indication</w:t>
      </w:r>
      <w:r>
        <w:t>’</w:t>
      </w:r>
      <w:r w:rsidRPr="00695D6D">
        <w:t>s value</w:t>
      </w:r>
      <w:r>
        <w:t xml:space="preserve"> relative to the standard of care</w:t>
      </w:r>
      <w:r w:rsidR="00E94CBB">
        <w:t xml:space="preserve"> [11].</w:t>
      </w:r>
      <w:r w:rsidRPr="00695D6D">
        <w:t xml:space="preserve"> A payer’s willingness to provide differential discounts may be limited by issues in data capability and financial flow</w:t>
      </w:r>
      <w:r>
        <w:t xml:space="preserve"> </w:t>
      </w:r>
      <w:r>
        <w:lastRenderedPageBreak/>
        <w:t>through distribution networks</w:t>
      </w:r>
      <w:r w:rsidRPr="00695D6D">
        <w:t>. Differential discounting requires tracking of a molecule</w:t>
      </w:r>
      <w:r>
        <w:t>’</w:t>
      </w:r>
      <w:r w:rsidRPr="00695D6D">
        <w:t xml:space="preserve">s use by indication and </w:t>
      </w:r>
      <w:r>
        <w:t>can</w:t>
      </w:r>
      <w:r w:rsidRPr="00695D6D">
        <w:t xml:space="preserve"> be associated with substantial administrative burden. </w:t>
      </w:r>
      <w:r>
        <w:t>Wholesale distribution may</w:t>
      </w:r>
      <w:r w:rsidRPr="00695D6D">
        <w:t xml:space="preserve"> lead to complexities in managing payments across indications</w:t>
      </w:r>
      <w:r w:rsidR="00E94CBB">
        <w:t xml:space="preserve"> [9].</w:t>
      </w:r>
    </w:p>
    <w:p w14:paraId="3ACE3DF2" w14:textId="77777777" w:rsidR="00F21156" w:rsidRPr="00695D6D" w:rsidRDefault="00F21156" w:rsidP="00E27E4C">
      <w:pPr>
        <w:spacing w:line="480" w:lineRule="auto"/>
        <w:jc w:val="both"/>
      </w:pPr>
    </w:p>
    <w:p w14:paraId="152B4E2D" w14:textId="23BAB180" w:rsidR="00F21156" w:rsidRPr="00717684" w:rsidRDefault="00F21156" w:rsidP="00E27E4C">
      <w:pPr>
        <w:spacing w:line="480" w:lineRule="auto"/>
        <w:jc w:val="both"/>
        <w:rPr>
          <w:vertAlign w:val="superscript"/>
        </w:rPr>
      </w:pPr>
      <w:r w:rsidRPr="00695D6D">
        <w:t>Alternatively, regulatory and legal requirements may require that single price be used for each branded molecule</w:t>
      </w:r>
      <w:r w:rsidR="00E94CBB">
        <w:t xml:space="preserve"> [12].</w:t>
      </w:r>
      <w:r w:rsidRPr="00695D6D">
        <w:t xml:space="preserve"> Using different brand names for individual indications may provide flexibility to assign prices according to brand name. However, implementation of multiple brand names when indications are similar (</w:t>
      </w:r>
      <w:proofErr w:type="gramStart"/>
      <w:r w:rsidRPr="00695D6D">
        <w:t>e.g.</w:t>
      </w:r>
      <w:proofErr w:type="gramEnd"/>
      <w:r w:rsidRPr="00695D6D">
        <w:t xml:space="preserve"> for a molecule with multiple cancer indications) may be too confusing and burdensome for healthcare providers and patients</w:t>
      </w:r>
      <w:r w:rsidR="00E94CBB">
        <w:t xml:space="preserve"> [5].</w:t>
      </w:r>
      <w:r w:rsidRPr="00695D6D">
        <w:t xml:space="preserve"> </w:t>
      </w:r>
      <w:r>
        <w:t>Further, strict monitoring would be required to prevent off-label use of the lower-priced brand, a practice that is common in oncology where there is often high unmet need and patients may be more willing to use a medicine where definitive efficacy and safety have yet to be established</w:t>
      </w:r>
      <w:r w:rsidR="00E94CBB">
        <w:t xml:space="preserve"> [13].</w:t>
      </w:r>
    </w:p>
    <w:p w14:paraId="3962BEFC" w14:textId="77777777" w:rsidR="00F21156" w:rsidRPr="00695D6D" w:rsidRDefault="00F21156" w:rsidP="00E27E4C">
      <w:pPr>
        <w:spacing w:line="480" w:lineRule="auto"/>
        <w:jc w:val="both"/>
      </w:pPr>
    </w:p>
    <w:p w14:paraId="1C458A96" w14:textId="6E9BD280" w:rsidR="00F21156" w:rsidRPr="00695D6D" w:rsidRDefault="00F21156" w:rsidP="00E27E4C">
      <w:pPr>
        <w:spacing w:line="480" w:lineRule="auto"/>
        <w:jc w:val="both"/>
      </w:pPr>
      <w:r>
        <w:t>Outcome-based reimbursement models have also been proposed as a potential solution to single pricing system.</w:t>
      </w:r>
      <w:r w:rsidRPr="00695D6D">
        <w:t xml:space="preserve"> Outcome-based reimbursement models</w:t>
      </w:r>
      <w:r>
        <w:t xml:space="preserve"> </w:t>
      </w:r>
      <w:r w:rsidRPr="00695D6D">
        <w:t xml:space="preserve">directly link payment to the real-world value that a </w:t>
      </w:r>
      <w:r>
        <w:t>medicine</w:t>
      </w:r>
      <w:r w:rsidRPr="00695D6D">
        <w:t xml:space="preserve"> provides to patients. Effective outcomes-based reimbursement models could solve the disconnect between single payment models and the incremental value of multiple indications. In a recent study, authors evaluated the potential of outcomes-based payments to address issues in indication-based pricing of trastuzumab for breast cancer and for gastric cancer. Based on clinical trial efficacy, the expected value of trastuzumab in breast cancer and gastric cancer was $3.50 per mg</w:t>
      </w:r>
      <w:r>
        <w:t xml:space="preserve"> and</w:t>
      </w:r>
      <w:r w:rsidRPr="00695D6D">
        <w:t xml:space="preserve"> $0.93 per mg</w:t>
      </w:r>
      <w:r>
        <w:t>,</w:t>
      </w:r>
      <w:r w:rsidRPr="00695D6D">
        <w:t xml:space="preserve"> respectively. However, based on data from an observational cohort, the expected value of trastuzumab in breast cancer and gastric cancer was $8.66 per mg and $0.20 per mg</w:t>
      </w:r>
      <w:r>
        <w:t>,</w:t>
      </w:r>
      <w:r w:rsidRPr="00695D6D">
        <w:t xml:space="preserve"> respectively</w:t>
      </w:r>
      <w:r w:rsidR="00E94CBB">
        <w:t xml:space="preserve"> [6].</w:t>
      </w:r>
      <w:r w:rsidRPr="00695D6D">
        <w:t xml:space="preserve">  </w:t>
      </w:r>
    </w:p>
    <w:p w14:paraId="4239BF0D" w14:textId="3BE91C2D" w:rsidR="000953F3" w:rsidRDefault="000953F3" w:rsidP="00E27E4C">
      <w:pPr>
        <w:spacing w:line="480" w:lineRule="auto"/>
      </w:pPr>
    </w:p>
    <w:p w14:paraId="5779D91D" w14:textId="77777777" w:rsidR="00F21156" w:rsidRPr="00F21156" w:rsidRDefault="00F21156" w:rsidP="00E27E4C">
      <w:pPr>
        <w:spacing w:line="480" w:lineRule="auto"/>
        <w:rPr>
          <w:b/>
          <w:bCs/>
        </w:rPr>
      </w:pPr>
    </w:p>
    <w:sectPr w:rsidR="00F21156" w:rsidRPr="00F21156" w:rsidSect="006A39C6">
      <w:footerReference w:type="even" r:id="rId8"/>
      <w:footerReference w:type="default" r:id="rId9"/>
      <w:pgSz w:w="11900" w:h="16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F925CB2" w14:textId="77777777" w:rsidR="00B96B7D" w:rsidRDefault="00B96B7D" w:rsidP="00E27E4C">
      <w:r>
        <w:separator/>
      </w:r>
    </w:p>
  </w:endnote>
  <w:endnote w:type="continuationSeparator" w:id="0">
    <w:p w14:paraId="3990DBFA" w14:textId="77777777" w:rsidR="00B96B7D" w:rsidRDefault="00B96B7D" w:rsidP="00E27E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517669047"/>
      <w:docPartObj>
        <w:docPartGallery w:val="Page Numbers (Bottom of Page)"/>
        <w:docPartUnique/>
      </w:docPartObj>
    </w:sdtPr>
    <w:sdtEndPr>
      <w:rPr>
        <w:rStyle w:val="PageNumber"/>
      </w:rPr>
    </w:sdtEndPr>
    <w:sdtContent>
      <w:p w14:paraId="082066CB" w14:textId="45740843" w:rsidR="00E27E4C" w:rsidRDefault="00E27E4C" w:rsidP="004E4B4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9E6D904" w14:textId="77777777" w:rsidR="00E27E4C" w:rsidRDefault="00E27E4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473796392"/>
      <w:docPartObj>
        <w:docPartGallery w:val="Page Numbers (Bottom of Page)"/>
        <w:docPartUnique/>
      </w:docPartObj>
    </w:sdtPr>
    <w:sdtEndPr>
      <w:rPr>
        <w:rStyle w:val="PageNumber"/>
      </w:rPr>
    </w:sdtEndPr>
    <w:sdtContent>
      <w:p w14:paraId="79513AA5" w14:textId="29EB1711" w:rsidR="00E27E4C" w:rsidRDefault="00E27E4C" w:rsidP="004E4B46">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2AB8670" w14:textId="77777777" w:rsidR="00E27E4C" w:rsidRDefault="00E27E4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EE9B4F" w14:textId="77777777" w:rsidR="00B96B7D" w:rsidRDefault="00B96B7D" w:rsidP="00E27E4C">
      <w:r>
        <w:separator/>
      </w:r>
    </w:p>
  </w:footnote>
  <w:footnote w:type="continuationSeparator" w:id="0">
    <w:p w14:paraId="744A887F" w14:textId="77777777" w:rsidR="00B96B7D" w:rsidRDefault="00B96B7D" w:rsidP="00E27E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44EC8"/>
    <w:multiLevelType w:val="hybridMultilevel"/>
    <w:tmpl w:val="31C00F6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05C367E"/>
    <w:multiLevelType w:val="hybridMultilevel"/>
    <w:tmpl w:val="110419E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29E677F"/>
    <w:multiLevelType w:val="hybridMultilevel"/>
    <w:tmpl w:val="7868ABB6"/>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2071033617">
    <w:abstractNumId w:val="2"/>
  </w:num>
  <w:num w:numId="2" w16cid:durableId="46730045">
    <w:abstractNumId w:val="1"/>
  </w:num>
  <w:num w:numId="3" w16cid:durableId="137607773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7345"/>
    <w:rsid w:val="0001048D"/>
    <w:rsid w:val="000953F3"/>
    <w:rsid w:val="001B208F"/>
    <w:rsid w:val="002329A4"/>
    <w:rsid w:val="00414005"/>
    <w:rsid w:val="005F5615"/>
    <w:rsid w:val="00635552"/>
    <w:rsid w:val="006A39C6"/>
    <w:rsid w:val="006B0C64"/>
    <w:rsid w:val="00717684"/>
    <w:rsid w:val="00764890"/>
    <w:rsid w:val="00851052"/>
    <w:rsid w:val="0089395C"/>
    <w:rsid w:val="008A0252"/>
    <w:rsid w:val="00904005"/>
    <w:rsid w:val="00977345"/>
    <w:rsid w:val="00A23CDB"/>
    <w:rsid w:val="00AA2346"/>
    <w:rsid w:val="00B1122D"/>
    <w:rsid w:val="00B900D8"/>
    <w:rsid w:val="00B96B7D"/>
    <w:rsid w:val="00BA7567"/>
    <w:rsid w:val="00BD336A"/>
    <w:rsid w:val="00BE4BD1"/>
    <w:rsid w:val="00CC3C70"/>
    <w:rsid w:val="00D86D7E"/>
    <w:rsid w:val="00E27E4C"/>
    <w:rsid w:val="00E94CBB"/>
    <w:rsid w:val="00EE023B"/>
    <w:rsid w:val="00F211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444CB72D"/>
  <w14:defaultImageDpi w14:val="32767"/>
  <w15:chartTrackingRefBased/>
  <w15:docId w15:val="{35D0AC1D-CA63-3941-94D1-B46C2D75A1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21156"/>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F21156"/>
    <w:rPr>
      <w:sz w:val="18"/>
      <w:szCs w:val="18"/>
    </w:rPr>
  </w:style>
  <w:style w:type="paragraph" w:styleId="CommentText">
    <w:name w:val="annotation text"/>
    <w:basedOn w:val="Normal"/>
    <w:link w:val="CommentTextChar"/>
    <w:uiPriority w:val="99"/>
    <w:semiHidden/>
    <w:unhideWhenUsed/>
    <w:rsid w:val="00F21156"/>
    <w:rPr>
      <w:rFonts w:eastAsiaTheme="minorHAnsi"/>
    </w:rPr>
  </w:style>
  <w:style w:type="character" w:customStyle="1" w:styleId="CommentTextChar">
    <w:name w:val="Comment Text Char"/>
    <w:basedOn w:val="DefaultParagraphFont"/>
    <w:link w:val="CommentText"/>
    <w:uiPriority w:val="99"/>
    <w:semiHidden/>
    <w:rsid w:val="00F21156"/>
    <w:rPr>
      <w:rFonts w:ascii="Times New Roman" w:hAnsi="Times New Roman" w:cs="Times New Roman"/>
      <w:lang w:eastAsia="en-GB"/>
    </w:rPr>
  </w:style>
  <w:style w:type="paragraph" w:styleId="ListParagraph">
    <w:name w:val="List Paragraph"/>
    <w:basedOn w:val="Normal"/>
    <w:uiPriority w:val="34"/>
    <w:qFormat/>
    <w:rsid w:val="00F21156"/>
    <w:pPr>
      <w:ind w:left="720"/>
      <w:contextualSpacing/>
    </w:pPr>
    <w:rPr>
      <w:rFonts w:asciiTheme="minorHAnsi" w:eastAsiaTheme="minorHAnsi" w:hAnsiTheme="minorHAnsi" w:cstheme="minorBidi"/>
      <w:lang w:eastAsia="en-US"/>
    </w:rPr>
  </w:style>
  <w:style w:type="paragraph" w:styleId="Revision">
    <w:name w:val="Revision"/>
    <w:hidden/>
    <w:uiPriority w:val="99"/>
    <w:semiHidden/>
    <w:rsid w:val="00D86D7E"/>
    <w:rPr>
      <w:rFonts w:ascii="Times New Roman" w:eastAsia="Times New Roman" w:hAnsi="Times New Roman" w:cs="Times New Roman"/>
      <w:lang w:eastAsia="en-GB"/>
    </w:rPr>
  </w:style>
  <w:style w:type="character" w:styleId="LineNumber">
    <w:name w:val="line number"/>
    <w:basedOn w:val="DefaultParagraphFont"/>
    <w:uiPriority w:val="99"/>
    <w:semiHidden/>
    <w:unhideWhenUsed/>
    <w:rsid w:val="00E27E4C"/>
  </w:style>
  <w:style w:type="paragraph" w:styleId="Footer">
    <w:name w:val="footer"/>
    <w:basedOn w:val="Normal"/>
    <w:link w:val="FooterChar"/>
    <w:uiPriority w:val="99"/>
    <w:unhideWhenUsed/>
    <w:rsid w:val="00E27E4C"/>
    <w:pPr>
      <w:tabs>
        <w:tab w:val="center" w:pos="4513"/>
        <w:tab w:val="right" w:pos="9026"/>
      </w:tabs>
    </w:pPr>
  </w:style>
  <w:style w:type="character" w:customStyle="1" w:styleId="FooterChar">
    <w:name w:val="Footer Char"/>
    <w:basedOn w:val="DefaultParagraphFont"/>
    <w:link w:val="Footer"/>
    <w:uiPriority w:val="99"/>
    <w:rsid w:val="00E27E4C"/>
    <w:rPr>
      <w:rFonts w:ascii="Times New Roman" w:eastAsia="Times New Roman" w:hAnsi="Times New Roman" w:cs="Times New Roman"/>
      <w:lang w:eastAsia="en-GB"/>
    </w:rPr>
  </w:style>
  <w:style w:type="character" w:styleId="PageNumber">
    <w:name w:val="page number"/>
    <w:basedOn w:val="DefaultParagraphFont"/>
    <w:uiPriority w:val="99"/>
    <w:semiHidden/>
    <w:unhideWhenUsed/>
    <w:rsid w:val="00E27E4C"/>
  </w:style>
  <w:style w:type="character" w:styleId="Hyperlink">
    <w:name w:val="Hyperlink"/>
    <w:basedOn w:val="DefaultParagraphFont"/>
    <w:uiPriority w:val="99"/>
    <w:unhideWhenUsed/>
    <w:rsid w:val="0085105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M.J.Mills@lse.ac.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675</Words>
  <Characters>3853</Characters>
  <Application>Microsoft Office Word</Application>
  <DocSecurity>0</DocSecurity>
  <Lines>32</Lines>
  <Paragraphs>9</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
      <vt:lpstr>Pharmaceutical Clinical Development and HTA Across Multiple Oncology Indications</vt:lpstr>
      <vt:lpstr/>
      <vt:lpstr/>
      <vt:lpstr>Mackenzie MillsA, MSc, Daniel MichaeliA, MSc, Aurelio MiracoloA, MSc, Panos Kana</vt:lpstr>
      <vt:lpstr/>
      <vt:lpstr>A – Department of Health Policy and LSE Health, Medical Technology Research Grou</vt:lpstr>
    </vt:vector>
  </TitlesOfParts>
  <Company/>
  <LinksUpToDate>false</LinksUpToDate>
  <CharactersWithSpaces>4519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Mills,MJ</dc:creator>
  <cp:keywords/>
  <dc:description/>
  <cp:lastModifiedBy>Mills,MJ</cp:lastModifiedBy>
  <cp:revision>2</cp:revision>
  <dcterms:created xsi:type="dcterms:W3CDTF">2022-08-11T16:03:00Z</dcterms:created>
  <dcterms:modified xsi:type="dcterms:W3CDTF">2022-08-11T16:03:00Z</dcterms:modified>
</cp:coreProperties>
</file>