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69B8" w:rsidRDefault="0045735F" w:rsidP="004E5295">
      <w:pPr>
        <w:jc w:val="center"/>
        <w:rPr>
          <w:rFonts w:ascii="Times New Roman" w:eastAsia="新細明體" w:hAnsi="Times New Roman" w:cs="Times New Roman"/>
          <w:b/>
          <w:color w:val="000000"/>
          <w:kern w:val="0"/>
          <w:szCs w:val="24"/>
        </w:rPr>
      </w:pPr>
      <w:r w:rsidRPr="000069B8">
        <w:rPr>
          <w:rFonts w:ascii="Times New Roman" w:eastAsia="DFKai-SB" w:hAnsi="Times New Roman" w:cs="Times New Roman"/>
          <w:b/>
          <w:szCs w:val="24"/>
        </w:rPr>
        <w:t>Table</w:t>
      </w:r>
      <w:r w:rsidRPr="000069B8">
        <w:rPr>
          <w:rFonts w:ascii="Times New Roman" w:hAnsi="Times New Roman" w:cs="Times New Roman"/>
          <w:b/>
          <w:szCs w:val="24"/>
        </w:rPr>
        <w:t xml:space="preserve"> S</w:t>
      </w:r>
      <w:r w:rsidR="00573761" w:rsidRPr="000069B8">
        <w:rPr>
          <w:rFonts w:ascii="Times New Roman" w:hAnsi="Times New Roman" w:cs="Times New Roman"/>
          <w:b/>
          <w:szCs w:val="24"/>
        </w:rPr>
        <w:t>4</w:t>
      </w:r>
      <w:r w:rsidRPr="000069B8">
        <w:rPr>
          <w:rFonts w:ascii="Times New Roman" w:hAnsi="Times New Roman" w:cs="Times New Roman"/>
          <w:szCs w:val="24"/>
        </w:rPr>
        <w:t>.</w:t>
      </w:r>
      <w:r w:rsidR="004E5295" w:rsidRPr="000069B8">
        <w:rPr>
          <w:rFonts w:ascii="Times New Roman" w:eastAsia="DFKai-SB" w:hAnsi="Times New Roman" w:cs="Times New Roman"/>
          <w:b/>
          <w:szCs w:val="24"/>
        </w:rPr>
        <w:t xml:space="preserve">Mechanical ventilation and </w:t>
      </w:r>
      <w:r w:rsidR="004E5295" w:rsidRPr="000069B8">
        <w:rPr>
          <w:rFonts w:ascii="Times New Roman" w:hAnsi="Times New Roman" w:cs="Times New Roman"/>
          <w:b/>
          <w:szCs w:val="24"/>
        </w:rPr>
        <w:t xml:space="preserve">adjunctive therapy between </w:t>
      </w:r>
      <w:r w:rsidR="004E5295" w:rsidRPr="000069B8">
        <w:rPr>
          <w:rFonts w:ascii="Times New Roman" w:eastAsia="新細明體" w:hAnsi="Times New Roman" w:cs="Times New Roman"/>
          <w:b/>
          <w:color w:val="000000"/>
          <w:kern w:val="0"/>
          <w:szCs w:val="24"/>
        </w:rPr>
        <w:t>DP</w:t>
      </w:r>
      <w:r w:rsidR="004E5295" w:rsidRPr="000069B8">
        <w:rPr>
          <w:rFonts w:ascii="Times New Roman" w:eastAsia="新細明體" w:hAnsi="新細明體" w:cs="Times New Roman"/>
          <w:b/>
          <w:color w:val="000000"/>
          <w:kern w:val="0"/>
          <w:szCs w:val="24"/>
        </w:rPr>
        <w:t>≦</w:t>
      </w:r>
      <w:r w:rsidR="004E5295" w:rsidRPr="000069B8">
        <w:rPr>
          <w:rFonts w:ascii="Times New Roman" w:eastAsia="新細明體" w:hAnsi="Times New Roman" w:cs="Times New Roman"/>
          <w:b/>
          <w:color w:val="000000"/>
          <w:kern w:val="0"/>
          <w:szCs w:val="24"/>
        </w:rPr>
        <w:t>14</w:t>
      </w:r>
      <w:r w:rsidR="000069B8">
        <w:rPr>
          <w:rFonts w:ascii="Times New Roman" w:eastAsia="新細明體" w:hAnsi="Times New Roman" w:cs="Times New Roman"/>
          <w:b/>
          <w:color w:val="000000"/>
          <w:kern w:val="0"/>
          <w:szCs w:val="24"/>
        </w:rPr>
        <w:t xml:space="preserve"> and</w:t>
      </w:r>
    </w:p>
    <w:p w:rsidR="007E059C" w:rsidRPr="000069B8" w:rsidRDefault="004E5295" w:rsidP="000069B8">
      <w:pPr>
        <w:ind w:leftChars="472" w:left="1133"/>
        <w:rPr>
          <w:rFonts w:ascii="Times New Roman" w:hAnsi="Times New Roman" w:cs="Times New Roman"/>
          <w:b/>
          <w:szCs w:val="24"/>
        </w:rPr>
      </w:pPr>
      <w:r w:rsidRPr="000069B8">
        <w:rPr>
          <w:rFonts w:ascii="Times New Roman" w:eastAsia="新細明體" w:hAnsi="Times New Roman" w:cs="Times New Roman"/>
          <w:b/>
          <w:color w:val="000000"/>
          <w:kern w:val="0"/>
          <w:szCs w:val="24"/>
        </w:rPr>
        <w:t>DP</w:t>
      </w:r>
      <w:r w:rsidRPr="000069B8">
        <w:rPr>
          <w:rFonts w:ascii="Times New Roman" w:eastAsia="新細明體" w:hAnsi="Times New Roman" w:cs="Times New Roman"/>
          <w:b/>
          <w:color w:val="000000"/>
          <w:kern w:val="0"/>
          <w:szCs w:val="24"/>
        </w:rPr>
        <w:t>＞</w:t>
      </w:r>
      <w:r w:rsidRPr="000069B8">
        <w:rPr>
          <w:rFonts w:ascii="Times New Roman" w:eastAsia="新細明體" w:hAnsi="Times New Roman" w:cs="Times New Roman"/>
          <w:b/>
          <w:color w:val="000000"/>
          <w:kern w:val="0"/>
          <w:szCs w:val="24"/>
        </w:rPr>
        <w:t>14</w:t>
      </w:r>
    </w:p>
    <w:p w:rsidR="004E5295" w:rsidRDefault="004E5295"/>
    <w:tbl>
      <w:tblPr>
        <w:tblW w:w="9117" w:type="dxa"/>
        <w:tblInd w:w="-398" w:type="dxa"/>
        <w:tblCellMar>
          <w:left w:w="28" w:type="dxa"/>
          <w:right w:w="28" w:type="dxa"/>
        </w:tblCellMar>
        <w:tblLook w:val="04A0"/>
      </w:tblPr>
      <w:tblGrid>
        <w:gridCol w:w="3828"/>
        <w:gridCol w:w="1418"/>
        <w:gridCol w:w="1417"/>
        <w:gridCol w:w="1418"/>
        <w:gridCol w:w="1036"/>
      </w:tblGrid>
      <w:tr w:rsidR="005F277D" w:rsidRPr="004E5295" w:rsidTr="000D53DB">
        <w:trPr>
          <w:trHeight w:val="330"/>
        </w:trPr>
        <w:tc>
          <w:tcPr>
            <w:tcW w:w="3828" w:type="dxa"/>
            <w:vMerge w:val="restart"/>
            <w:tcBorders>
              <w:top w:val="single" w:sz="18" w:space="0" w:color="auto"/>
            </w:tcBorders>
            <w:shd w:val="clear" w:color="auto" w:fill="auto"/>
            <w:noWrap/>
            <w:vAlign w:val="center"/>
            <w:hideMark/>
          </w:tcPr>
          <w:p w:rsidR="005F277D" w:rsidRPr="004E5295" w:rsidRDefault="005F277D" w:rsidP="005F277D">
            <w:pPr>
              <w:widowControl/>
              <w:rPr>
                <w:rFonts w:ascii="Arial" w:eastAsia="新細明體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b/>
                <w:bCs/>
                <w:color w:val="000000"/>
                <w:kern w:val="0"/>
                <w:sz w:val="18"/>
                <w:szCs w:val="18"/>
              </w:rPr>
              <w:t>Characteristics</w:t>
            </w:r>
          </w:p>
        </w:tc>
        <w:tc>
          <w:tcPr>
            <w:tcW w:w="1418" w:type="dxa"/>
            <w:tcBorders>
              <w:top w:val="single" w:sz="18" w:space="0" w:color="auto"/>
            </w:tcBorders>
            <w:shd w:val="clear" w:color="auto" w:fill="auto"/>
            <w:vAlign w:val="center"/>
            <w:hideMark/>
          </w:tcPr>
          <w:p w:rsidR="005F277D" w:rsidRPr="004E5295" w:rsidRDefault="005F277D" w:rsidP="004E5295">
            <w:pPr>
              <w:widowControl/>
              <w:jc w:val="center"/>
              <w:rPr>
                <w:rFonts w:ascii="Arial" w:eastAsia="新細明體" w:hAnsi="Arial" w:cs="Arial"/>
                <w:b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b/>
                <w:color w:val="000000"/>
                <w:kern w:val="0"/>
                <w:sz w:val="18"/>
                <w:szCs w:val="18"/>
              </w:rPr>
              <w:t>All</w:t>
            </w:r>
          </w:p>
        </w:tc>
        <w:tc>
          <w:tcPr>
            <w:tcW w:w="1417" w:type="dxa"/>
            <w:tcBorders>
              <w:top w:val="single" w:sz="18" w:space="0" w:color="auto"/>
            </w:tcBorders>
            <w:shd w:val="clear" w:color="auto" w:fill="auto"/>
            <w:noWrap/>
            <w:vAlign w:val="center"/>
            <w:hideMark/>
          </w:tcPr>
          <w:p w:rsidR="005F277D" w:rsidRPr="004E5295" w:rsidRDefault="005F277D" w:rsidP="004E5295">
            <w:pPr>
              <w:widowControl/>
              <w:jc w:val="center"/>
              <w:rPr>
                <w:rFonts w:ascii="Arial" w:eastAsia="新細明體" w:hAnsi="Arial" w:cs="Arial"/>
                <w:b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b/>
                <w:color w:val="000000"/>
                <w:kern w:val="0"/>
                <w:sz w:val="18"/>
                <w:szCs w:val="18"/>
              </w:rPr>
              <w:t>DP</w:t>
            </w:r>
            <w:proofErr w:type="gramStart"/>
            <w:r w:rsidRPr="004E5295">
              <w:rPr>
                <w:rFonts w:ascii="新細明體" w:eastAsia="新細明體" w:hAnsi="新細明體" w:cs="Arial" w:hint="eastAsia"/>
                <w:b/>
                <w:color w:val="000000"/>
                <w:kern w:val="0"/>
                <w:sz w:val="18"/>
                <w:szCs w:val="18"/>
              </w:rPr>
              <w:t>≦</w:t>
            </w:r>
            <w:proofErr w:type="gramEnd"/>
            <w:r w:rsidRPr="004E5295">
              <w:rPr>
                <w:rFonts w:ascii="Arial" w:eastAsia="新細明體" w:hAnsi="Arial" w:cs="Arial"/>
                <w:b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418" w:type="dxa"/>
            <w:tcBorders>
              <w:top w:val="single" w:sz="18" w:space="0" w:color="auto"/>
            </w:tcBorders>
            <w:shd w:val="clear" w:color="auto" w:fill="auto"/>
            <w:noWrap/>
            <w:vAlign w:val="center"/>
            <w:hideMark/>
          </w:tcPr>
          <w:p w:rsidR="005F277D" w:rsidRPr="004E5295" w:rsidRDefault="005F277D" w:rsidP="004E5295">
            <w:pPr>
              <w:widowControl/>
              <w:jc w:val="center"/>
              <w:rPr>
                <w:rFonts w:ascii="Arial" w:eastAsia="新細明體" w:hAnsi="Arial" w:cs="Arial"/>
                <w:b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b/>
                <w:color w:val="000000"/>
                <w:kern w:val="0"/>
                <w:sz w:val="18"/>
                <w:szCs w:val="18"/>
              </w:rPr>
              <w:t>DP</w:t>
            </w:r>
            <w:r w:rsidRPr="004E5295">
              <w:rPr>
                <w:rFonts w:ascii="新細明體" w:eastAsia="新細明體" w:hAnsi="新細明體" w:cs="Arial" w:hint="eastAsia"/>
                <w:b/>
                <w:color w:val="000000"/>
                <w:kern w:val="0"/>
                <w:sz w:val="18"/>
                <w:szCs w:val="18"/>
              </w:rPr>
              <w:t>＞</w:t>
            </w:r>
            <w:r w:rsidRPr="004E5295">
              <w:rPr>
                <w:rFonts w:ascii="Arial" w:eastAsia="新細明體" w:hAnsi="Arial" w:cs="Arial"/>
                <w:b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036" w:type="dxa"/>
            <w:vMerge w:val="restart"/>
            <w:tcBorders>
              <w:top w:val="single" w:sz="18" w:space="0" w:color="auto"/>
            </w:tcBorders>
            <w:shd w:val="clear" w:color="auto" w:fill="auto"/>
            <w:noWrap/>
            <w:vAlign w:val="center"/>
            <w:hideMark/>
          </w:tcPr>
          <w:p w:rsidR="005F277D" w:rsidRPr="004E5295" w:rsidRDefault="005F277D" w:rsidP="005F277D">
            <w:pPr>
              <w:widowControl/>
              <w:jc w:val="center"/>
              <w:rPr>
                <w:rFonts w:ascii="Arial" w:eastAsia="新細明體" w:hAnsi="Arial" w:cs="Arial"/>
                <w:b/>
                <w:i/>
                <w:iCs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b/>
                <w:i/>
                <w:iCs/>
                <w:color w:val="000000"/>
                <w:kern w:val="0"/>
                <w:sz w:val="18"/>
                <w:szCs w:val="18"/>
              </w:rPr>
              <w:t>P</w:t>
            </w:r>
            <w:r w:rsidRPr="004E5295">
              <w:rPr>
                <w:rFonts w:ascii="Arial" w:eastAsia="新細明體" w:hAnsi="Arial" w:cs="Arial" w:hint="eastAsia"/>
                <w:b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4E5295">
              <w:rPr>
                <w:rFonts w:ascii="Arial" w:eastAsia="新細明體" w:hAnsi="Arial" w:cs="Arial"/>
                <w:b/>
                <w:iCs/>
                <w:color w:val="000000"/>
                <w:kern w:val="0"/>
                <w:sz w:val="18"/>
                <w:szCs w:val="18"/>
              </w:rPr>
              <w:t>Value</w:t>
            </w:r>
            <w:r w:rsidR="00DE0ECD" w:rsidRPr="00DE0ECD">
              <w:rPr>
                <w:rFonts w:ascii="Arial" w:eastAsia="新細明體" w:hAnsi="Arial" w:cs="Arial" w:hint="eastAsia"/>
                <w:b/>
                <w:iCs/>
                <w:color w:val="000000"/>
                <w:kern w:val="0"/>
                <w:sz w:val="18"/>
                <w:szCs w:val="18"/>
                <w:vertAlign w:val="superscript"/>
              </w:rPr>
              <w:t>a</w:t>
            </w:r>
            <w:proofErr w:type="spellEnd"/>
          </w:p>
        </w:tc>
      </w:tr>
      <w:tr w:rsidR="005F277D" w:rsidRPr="004E5295" w:rsidTr="000D53DB">
        <w:trPr>
          <w:trHeight w:val="330"/>
        </w:trPr>
        <w:tc>
          <w:tcPr>
            <w:tcW w:w="3828" w:type="dxa"/>
            <w:vMerge/>
            <w:tcBorders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:rsidR="005F277D" w:rsidRPr="004E5295" w:rsidRDefault="005F277D" w:rsidP="004E5295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tcBorders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:rsidR="005F277D" w:rsidRPr="004E5295" w:rsidRDefault="005F277D" w:rsidP="004E5295">
            <w:pPr>
              <w:widowControl/>
              <w:jc w:val="center"/>
              <w:rPr>
                <w:rFonts w:ascii="Arial" w:eastAsia="新細明體" w:hAnsi="Arial" w:cs="Arial"/>
                <w:b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b/>
                <w:color w:val="000000"/>
                <w:kern w:val="0"/>
                <w:sz w:val="18"/>
                <w:szCs w:val="18"/>
              </w:rPr>
              <w:t>N=370</w:t>
            </w:r>
          </w:p>
        </w:tc>
        <w:tc>
          <w:tcPr>
            <w:tcW w:w="1417" w:type="dxa"/>
            <w:tcBorders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:rsidR="005F277D" w:rsidRPr="004E5295" w:rsidRDefault="005F277D" w:rsidP="004E5295">
            <w:pPr>
              <w:widowControl/>
              <w:jc w:val="center"/>
              <w:rPr>
                <w:rFonts w:ascii="Arial" w:eastAsia="新細明體" w:hAnsi="Arial" w:cs="Arial"/>
                <w:b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b/>
                <w:color w:val="000000"/>
                <w:kern w:val="0"/>
                <w:sz w:val="18"/>
                <w:szCs w:val="18"/>
              </w:rPr>
              <w:t>N=211</w:t>
            </w:r>
            <w:r>
              <w:rPr>
                <w:rFonts w:ascii="Arial" w:eastAsia="新細明體" w:hAnsi="Arial" w:cs="Arial" w:hint="eastAsia"/>
                <w:b/>
                <w:color w:val="000000"/>
                <w:kern w:val="0"/>
                <w:sz w:val="18"/>
                <w:szCs w:val="18"/>
              </w:rPr>
              <w:t xml:space="preserve"> </w:t>
            </w:r>
            <w:r w:rsidRPr="004E5295">
              <w:rPr>
                <w:rFonts w:ascii="Arial" w:eastAsia="新細明體" w:hAnsi="Arial" w:cs="Arial"/>
                <w:b/>
                <w:color w:val="000000"/>
                <w:kern w:val="0"/>
                <w:sz w:val="18"/>
                <w:szCs w:val="18"/>
              </w:rPr>
              <w:t>(57.0%)</w:t>
            </w:r>
          </w:p>
        </w:tc>
        <w:tc>
          <w:tcPr>
            <w:tcW w:w="1418" w:type="dxa"/>
            <w:tcBorders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:rsidR="005F277D" w:rsidRPr="004E5295" w:rsidRDefault="005F277D" w:rsidP="004E5295">
            <w:pPr>
              <w:widowControl/>
              <w:jc w:val="center"/>
              <w:rPr>
                <w:rFonts w:ascii="Arial" w:eastAsia="新細明體" w:hAnsi="Arial" w:cs="Arial"/>
                <w:b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b/>
                <w:color w:val="000000"/>
                <w:kern w:val="0"/>
                <w:sz w:val="18"/>
                <w:szCs w:val="18"/>
              </w:rPr>
              <w:t>N=107</w:t>
            </w:r>
            <w:r>
              <w:rPr>
                <w:rFonts w:ascii="Arial" w:eastAsia="新細明體" w:hAnsi="Arial" w:cs="Arial" w:hint="eastAsia"/>
                <w:b/>
                <w:color w:val="000000"/>
                <w:kern w:val="0"/>
                <w:sz w:val="18"/>
                <w:szCs w:val="18"/>
              </w:rPr>
              <w:t xml:space="preserve"> </w:t>
            </w:r>
            <w:r w:rsidRPr="004E5295">
              <w:rPr>
                <w:rFonts w:ascii="Arial" w:eastAsia="新細明體" w:hAnsi="Arial" w:cs="Arial"/>
                <w:b/>
                <w:color w:val="000000"/>
                <w:kern w:val="0"/>
                <w:sz w:val="18"/>
                <w:szCs w:val="18"/>
              </w:rPr>
              <w:t>(28.9%)</w:t>
            </w:r>
          </w:p>
        </w:tc>
        <w:tc>
          <w:tcPr>
            <w:tcW w:w="1036" w:type="dxa"/>
            <w:vMerge/>
            <w:tcBorders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:rsidR="005F277D" w:rsidRPr="004E5295" w:rsidRDefault="005F277D" w:rsidP="004E5295">
            <w:pPr>
              <w:widowControl/>
              <w:jc w:val="center"/>
              <w:rPr>
                <w:rFonts w:ascii="Arial" w:eastAsia="新細明體" w:hAnsi="Arial" w:cs="Arial"/>
                <w:b/>
                <w:color w:val="000000"/>
                <w:kern w:val="0"/>
                <w:sz w:val="18"/>
                <w:szCs w:val="18"/>
              </w:rPr>
            </w:pPr>
          </w:p>
        </w:tc>
      </w:tr>
      <w:tr w:rsidR="004E5295" w:rsidRPr="004E5295" w:rsidTr="000D53DB">
        <w:trPr>
          <w:trHeight w:val="330"/>
        </w:trPr>
        <w:tc>
          <w:tcPr>
            <w:tcW w:w="3828" w:type="dxa"/>
            <w:tcBorders>
              <w:top w:val="single" w:sz="18" w:space="0" w:color="auto"/>
            </w:tcBorders>
            <w:shd w:val="clear" w:color="auto" w:fill="auto"/>
            <w:noWrap/>
            <w:vAlign w:val="center"/>
            <w:hideMark/>
          </w:tcPr>
          <w:p w:rsidR="004E5295" w:rsidRPr="004E5295" w:rsidRDefault="004E5295" w:rsidP="004E5295">
            <w:pPr>
              <w:widowControl/>
              <w:rPr>
                <w:rFonts w:ascii="Arial" w:eastAsia="新細明體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b/>
                <w:bCs/>
                <w:color w:val="000000"/>
                <w:kern w:val="0"/>
                <w:sz w:val="18"/>
                <w:szCs w:val="18"/>
              </w:rPr>
              <w:t>Ventilator settings</w:t>
            </w: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 xml:space="preserve">, </w:t>
            </w:r>
            <w:r w:rsidRPr="004E5295">
              <w:rPr>
                <w:rFonts w:ascii="Arial" w:eastAsia="新細明體" w:hAnsi="Arial" w:cs="Arial"/>
                <w:b/>
                <w:bCs/>
                <w:color w:val="000000"/>
                <w:kern w:val="0"/>
                <w:sz w:val="18"/>
                <w:szCs w:val="18"/>
              </w:rPr>
              <w:t>first day of ARDS(Day0)</w:t>
            </w:r>
          </w:p>
        </w:tc>
        <w:tc>
          <w:tcPr>
            <w:tcW w:w="1418" w:type="dxa"/>
            <w:tcBorders>
              <w:top w:val="single" w:sz="18" w:space="0" w:color="auto"/>
            </w:tcBorders>
            <w:shd w:val="clear" w:color="auto" w:fill="auto"/>
            <w:noWrap/>
            <w:vAlign w:val="center"/>
            <w:hideMark/>
          </w:tcPr>
          <w:p w:rsidR="004E5295" w:rsidRPr="004E5295" w:rsidRDefault="004E5295" w:rsidP="004E5295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17" w:type="dxa"/>
            <w:tcBorders>
              <w:top w:val="single" w:sz="18" w:space="0" w:color="auto"/>
            </w:tcBorders>
            <w:shd w:val="clear" w:color="auto" w:fill="auto"/>
            <w:noWrap/>
            <w:vAlign w:val="center"/>
            <w:hideMark/>
          </w:tcPr>
          <w:p w:rsidR="004E5295" w:rsidRPr="004E5295" w:rsidRDefault="004E5295" w:rsidP="004E5295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18" w:type="dxa"/>
            <w:tcBorders>
              <w:top w:val="single" w:sz="18" w:space="0" w:color="auto"/>
            </w:tcBorders>
            <w:shd w:val="clear" w:color="auto" w:fill="auto"/>
            <w:noWrap/>
            <w:vAlign w:val="center"/>
            <w:hideMark/>
          </w:tcPr>
          <w:p w:rsidR="004E5295" w:rsidRPr="004E5295" w:rsidRDefault="004E5295" w:rsidP="004E5295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36" w:type="dxa"/>
            <w:tcBorders>
              <w:top w:val="single" w:sz="18" w:space="0" w:color="auto"/>
            </w:tcBorders>
            <w:shd w:val="clear" w:color="auto" w:fill="auto"/>
            <w:noWrap/>
            <w:vAlign w:val="center"/>
            <w:hideMark/>
          </w:tcPr>
          <w:p w:rsidR="004E5295" w:rsidRPr="004E5295" w:rsidRDefault="004E5295" w:rsidP="004E5295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E5295" w:rsidRPr="004E5295" w:rsidTr="000D53DB">
        <w:trPr>
          <w:trHeight w:val="345"/>
        </w:trPr>
        <w:tc>
          <w:tcPr>
            <w:tcW w:w="3828" w:type="dxa"/>
            <w:shd w:val="clear" w:color="auto" w:fill="auto"/>
            <w:vAlign w:val="center"/>
            <w:hideMark/>
          </w:tcPr>
          <w:p w:rsidR="004E5295" w:rsidRPr="004E5295" w:rsidRDefault="004E5295" w:rsidP="004E5295">
            <w:pPr>
              <w:widowControl/>
              <w:rPr>
                <w:rFonts w:ascii="Arial" w:eastAsia="新細明體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b/>
                <w:bCs/>
                <w:color w:val="000000"/>
                <w:kern w:val="0"/>
                <w:sz w:val="18"/>
                <w:szCs w:val="18"/>
              </w:rPr>
              <w:t>Mode, No. (%)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4E5295" w:rsidRPr="004E5295" w:rsidRDefault="004E5295" w:rsidP="004E5295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4E5295" w:rsidRPr="004E5295" w:rsidRDefault="004E5295" w:rsidP="004E5295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4E5295" w:rsidRPr="004E5295" w:rsidRDefault="004E5295" w:rsidP="004E5295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36" w:type="dxa"/>
            <w:shd w:val="clear" w:color="auto" w:fill="auto"/>
            <w:noWrap/>
            <w:vAlign w:val="center"/>
            <w:hideMark/>
          </w:tcPr>
          <w:p w:rsidR="004E5295" w:rsidRPr="004E5295" w:rsidRDefault="004E5295" w:rsidP="004E5295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CE7F5D" w:rsidRPr="004E5295" w:rsidTr="000D53DB">
        <w:trPr>
          <w:trHeight w:val="330"/>
        </w:trPr>
        <w:tc>
          <w:tcPr>
            <w:tcW w:w="3828" w:type="dxa"/>
            <w:shd w:val="clear" w:color="auto" w:fill="auto"/>
            <w:vAlign w:val="center"/>
            <w:hideMark/>
          </w:tcPr>
          <w:p w:rsidR="00CE7F5D" w:rsidRPr="004E5295" w:rsidRDefault="00CE7F5D" w:rsidP="003A23EE">
            <w:pPr>
              <w:widowControl/>
              <w:ind w:firstLineChars="50" w:firstLine="90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Volume -targeted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CE7F5D" w:rsidRPr="004E5295" w:rsidRDefault="00CE7F5D" w:rsidP="004E5295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305 (82.4%)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E7F5D" w:rsidRPr="004E5295" w:rsidRDefault="00CE7F5D" w:rsidP="004E5295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190</w:t>
            </w:r>
            <w:r>
              <w:rPr>
                <w:rFonts w:ascii="Arial" w:eastAsia="新細明體" w:hAnsi="Arial" w:cs="Arial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(90%)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CE7F5D" w:rsidRPr="004E5295" w:rsidRDefault="00CE7F5D" w:rsidP="004E5295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88</w:t>
            </w:r>
            <w:r>
              <w:rPr>
                <w:rFonts w:ascii="Arial" w:eastAsia="新細明體" w:hAnsi="Arial" w:cs="Arial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(82.2%)</w:t>
            </w:r>
          </w:p>
        </w:tc>
        <w:tc>
          <w:tcPr>
            <w:tcW w:w="1036" w:type="dxa"/>
            <w:vMerge w:val="restart"/>
            <w:shd w:val="clear" w:color="auto" w:fill="auto"/>
            <w:noWrap/>
            <w:vAlign w:val="center"/>
            <w:hideMark/>
          </w:tcPr>
          <w:p w:rsidR="00CE7F5D" w:rsidRPr="004E5295" w:rsidRDefault="00CE7F5D" w:rsidP="00CE7F5D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0.047</w:t>
            </w:r>
          </w:p>
        </w:tc>
      </w:tr>
      <w:tr w:rsidR="00CE7F5D" w:rsidRPr="004E5295" w:rsidTr="000D53DB">
        <w:trPr>
          <w:trHeight w:val="330"/>
        </w:trPr>
        <w:tc>
          <w:tcPr>
            <w:tcW w:w="3828" w:type="dxa"/>
            <w:shd w:val="clear" w:color="auto" w:fill="auto"/>
            <w:vAlign w:val="center"/>
            <w:hideMark/>
          </w:tcPr>
          <w:p w:rsidR="00CE7F5D" w:rsidRPr="004E5295" w:rsidRDefault="00CE7F5D" w:rsidP="003A23EE">
            <w:pPr>
              <w:widowControl/>
              <w:ind w:firstLineChars="50" w:firstLine="90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Pressure-targeted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CE7F5D" w:rsidRPr="004E5295" w:rsidRDefault="00CE7F5D" w:rsidP="004E5295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65 (17.6%)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E7F5D" w:rsidRPr="004E5295" w:rsidRDefault="00CE7F5D" w:rsidP="004E5295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21</w:t>
            </w:r>
            <w:r>
              <w:rPr>
                <w:rFonts w:ascii="Arial" w:eastAsia="新細明體" w:hAnsi="Arial" w:cs="Arial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(10.0%)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CE7F5D" w:rsidRPr="004E5295" w:rsidRDefault="00CE7F5D" w:rsidP="004E5295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19</w:t>
            </w:r>
            <w:r>
              <w:rPr>
                <w:rFonts w:ascii="Arial" w:eastAsia="新細明體" w:hAnsi="Arial" w:cs="Arial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(17.8%)</w:t>
            </w:r>
          </w:p>
        </w:tc>
        <w:tc>
          <w:tcPr>
            <w:tcW w:w="1036" w:type="dxa"/>
            <w:vMerge/>
            <w:shd w:val="clear" w:color="auto" w:fill="auto"/>
            <w:noWrap/>
            <w:vAlign w:val="center"/>
            <w:hideMark/>
          </w:tcPr>
          <w:p w:rsidR="00CE7F5D" w:rsidRPr="004E5295" w:rsidRDefault="00CE7F5D" w:rsidP="004E5295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4E5295" w:rsidRPr="004E5295" w:rsidTr="000D53DB">
        <w:trPr>
          <w:trHeight w:val="330"/>
        </w:trPr>
        <w:tc>
          <w:tcPr>
            <w:tcW w:w="3828" w:type="dxa"/>
            <w:shd w:val="clear" w:color="auto" w:fill="auto"/>
            <w:vAlign w:val="center"/>
            <w:hideMark/>
          </w:tcPr>
          <w:p w:rsidR="004E5295" w:rsidRPr="004E5295" w:rsidRDefault="004E5295" w:rsidP="004E5295">
            <w:pPr>
              <w:widowControl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FiO</w:t>
            </w: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="00A76FB7">
              <w:rPr>
                <w:rFonts w:ascii="Arial" w:eastAsia="新細明體" w:hAnsi="Arial" w:cs="Arial" w:hint="eastAsia"/>
                <w:color w:val="000000"/>
                <w:kern w:val="0"/>
                <w:sz w:val="18"/>
                <w:szCs w:val="18"/>
                <w:vertAlign w:val="subscript"/>
              </w:rPr>
              <w:t xml:space="preserve"> </w:t>
            </w:r>
            <w:r w:rsidR="00A76FB7">
              <w:rPr>
                <w:rFonts w:ascii="Arial" w:eastAsia="新細明體" w:hAnsi="Arial" w:cs="Arial" w:hint="eastAsia"/>
                <w:color w:val="000000"/>
                <w:kern w:val="0"/>
                <w:sz w:val="18"/>
                <w:szCs w:val="18"/>
              </w:rPr>
              <w:t>(%)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4E5295" w:rsidRPr="004E5295" w:rsidRDefault="004E5295" w:rsidP="004E5295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0.6 ± 0.2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4E5295" w:rsidRPr="004E5295" w:rsidRDefault="004E5295" w:rsidP="004E5295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0.6 ± 0.2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4E5295" w:rsidRPr="004E5295" w:rsidRDefault="004E5295" w:rsidP="004E5295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0.7 ± 0.2</w:t>
            </w:r>
          </w:p>
        </w:tc>
        <w:tc>
          <w:tcPr>
            <w:tcW w:w="1036" w:type="dxa"/>
            <w:shd w:val="clear" w:color="auto" w:fill="auto"/>
            <w:noWrap/>
            <w:vAlign w:val="center"/>
            <w:hideMark/>
          </w:tcPr>
          <w:p w:rsidR="004E5295" w:rsidRPr="004E5295" w:rsidRDefault="004E5295" w:rsidP="004E5295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0.021</w:t>
            </w:r>
          </w:p>
        </w:tc>
      </w:tr>
      <w:tr w:rsidR="004E5295" w:rsidRPr="004E5295" w:rsidTr="000D53DB">
        <w:trPr>
          <w:trHeight w:val="330"/>
        </w:trPr>
        <w:tc>
          <w:tcPr>
            <w:tcW w:w="3828" w:type="dxa"/>
            <w:shd w:val="clear" w:color="auto" w:fill="auto"/>
            <w:vAlign w:val="center"/>
            <w:hideMark/>
          </w:tcPr>
          <w:p w:rsidR="004E5295" w:rsidRPr="004E5295" w:rsidRDefault="004E5295" w:rsidP="004E5295">
            <w:pPr>
              <w:widowControl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PaO</w:t>
            </w: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  <w:vertAlign w:val="subscript"/>
              </w:rPr>
              <w:t xml:space="preserve">2 </w:t>
            </w:r>
            <w:r w:rsidR="002C355E">
              <w:rPr>
                <w:rFonts w:ascii="Arial" w:eastAsia="新細明體" w:hAnsi="Arial" w:cs="Arial" w:hint="eastAsia"/>
                <w:color w:val="000000"/>
                <w:kern w:val="0"/>
                <w:sz w:val="18"/>
                <w:szCs w:val="18"/>
                <w:vertAlign w:val="subscript"/>
              </w:rPr>
              <w:t xml:space="preserve"> </w:t>
            </w: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(mmHg)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4E5295" w:rsidRPr="004E5295" w:rsidRDefault="004E5295" w:rsidP="004E5295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103.9 ± 53.3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4E5295" w:rsidRPr="004E5295" w:rsidRDefault="004E5295" w:rsidP="004E5295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104.3 ± 57.7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4E5295" w:rsidRPr="004E5295" w:rsidRDefault="004E5295" w:rsidP="004E5295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100.1 ± 40.9</w:t>
            </w:r>
          </w:p>
        </w:tc>
        <w:tc>
          <w:tcPr>
            <w:tcW w:w="1036" w:type="dxa"/>
            <w:shd w:val="clear" w:color="auto" w:fill="auto"/>
            <w:noWrap/>
            <w:vAlign w:val="center"/>
            <w:hideMark/>
          </w:tcPr>
          <w:p w:rsidR="004E5295" w:rsidRPr="004E5295" w:rsidRDefault="004E5295" w:rsidP="004E5295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0.501</w:t>
            </w:r>
          </w:p>
        </w:tc>
      </w:tr>
      <w:tr w:rsidR="004E5295" w:rsidRPr="004E5295" w:rsidTr="000D53DB">
        <w:trPr>
          <w:trHeight w:val="330"/>
        </w:trPr>
        <w:tc>
          <w:tcPr>
            <w:tcW w:w="3828" w:type="dxa"/>
            <w:shd w:val="clear" w:color="auto" w:fill="auto"/>
            <w:vAlign w:val="center"/>
            <w:hideMark/>
          </w:tcPr>
          <w:p w:rsidR="004E5295" w:rsidRPr="004E5295" w:rsidRDefault="004E5295" w:rsidP="004E5295">
            <w:pPr>
              <w:widowControl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P/F ratio</w:t>
            </w:r>
            <w:r w:rsidR="009835B9">
              <w:rPr>
                <w:rFonts w:ascii="Arial" w:eastAsia="新細明體" w:hAnsi="Arial" w:cs="Arial" w:hint="eastAsia"/>
                <w:color w:val="000000"/>
                <w:kern w:val="0"/>
                <w:sz w:val="18"/>
                <w:szCs w:val="18"/>
              </w:rPr>
              <w:t xml:space="preserve"> (%)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4E5295" w:rsidRPr="004E5295" w:rsidRDefault="004E5295" w:rsidP="004E5295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173.5 ± 88.4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4E5295" w:rsidRPr="004E5295" w:rsidRDefault="004E5295" w:rsidP="004E5295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178.9 ± 93.6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4E5295" w:rsidRPr="004E5295" w:rsidRDefault="004E5295" w:rsidP="004E5295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158.4 ± 71.1</w:t>
            </w:r>
          </w:p>
        </w:tc>
        <w:tc>
          <w:tcPr>
            <w:tcW w:w="1036" w:type="dxa"/>
            <w:shd w:val="clear" w:color="auto" w:fill="auto"/>
            <w:noWrap/>
            <w:vAlign w:val="center"/>
            <w:hideMark/>
          </w:tcPr>
          <w:p w:rsidR="004E5295" w:rsidRPr="004E5295" w:rsidRDefault="004E5295" w:rsidP="004E5295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0.047</w:t>
            </w:r>
          </w:p>
        </w:tc>
      </w:tr>
      <w:tr w:rsidR="004E5295" w:rsidRPr="004E5295" w:rsidTr="000D53DB">
        <w:trPr>
          <w:trHeight w:val="330"/>
        </w:trPr>
        <w:tc>
          <w:tcPr>
            <w:tcW w:w="3828" w:type="dxa"/>
            <w:shd w:val="clear" w:color="auto" w:fill="auto"/>
            <w:vAlign w:val="center"/>
            <w:hideMark/>
          </w:tcPr>
          <w:p w:rsidR="004E5295" w:rsidRPr="004E5295" w:rsidRDefault="004E5295" w:rsidP="004E5295">
            <w:pPr>
              <w:widowControl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PEEP (cmH</w:t>
            </w: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o)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4E5295" w:rsidRPr="004E5295" w:rsidRDefault="004E5295" w:rsidP="004E5295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8.8 ± 4.1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4E5295" w:rsidRPr="004E5295" w:rsidRDefault="004E5295" w:rsidP="004E5295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9.0 ± 3.2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4E5295" w:rsidRPr="004E5295" w:rsidRDefault="004E5295" w:rsidP="004E5295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8.9 ± 5.8</w:t>
            </w:r>
          </w:p>
        </w:tc>
        <w:tc>
          <w:tcPr>
            <w:tcW w:w="1036" w:type="dxa"/>
            <w:shd w:val="clear" w:color="auto" w:fill="auto"/>
            <w:noWrap/>
            <w:vAlign w:val="center"/>
            <w:hideMark/>
          </w:tcPr>
          <w:p w:rsidR="004E5295" w:rsidRPr="004E5295" w:rsidRDefault="004E5295" w:rsidP="004E5295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0.799</w:t>
            </w:r>
          </w:p>
        </w:tc>
      </w:tr>
      <w:tr w:rsidR="004E5295" w:rsidRPr="004E5295" w:rsidTr="000D53DB">
        <w:trPr>
          <w:trHeight w:val="330"/>
        </w:trPr>
        <w:tc>
          <w:tcPr>
            <w:tcW w:w="3828" w:type="dxa"/>
            <w:shd w:val="clear" w:color="auto" w:fill="auto"/>
            <w:vAlign w:val="center"/>
            <w:hideMark/>
          </w:tcPr>
          <w:p w:rsidR="004E5295" w:rsidRPr="004E5295" w:rsidRDefault="004E5295" w:rsidP="004E5295">
            <w:pPr>
              <w:widowControl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Tidal Volume (</w:t>
            </w:r>
            <w:proofErr w:type="spellStart"/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vt</w:t>
            </w:r>
            <w:proofErr w:type="spellEnd"/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/cc/kg)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4E5295" w:rsidRPr="004E5295" w:rsidRDefault="004E5295" w:rsidP="004E5295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7.5 ± 1.6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4E5295" w:rsidRPr="004E5295" w:rsidRDefault="004E5295" w:rsidP="004E5295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7.3 ± 1.4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4E5295" w:rsidRPr="004E5295" w:rsidRDefault="004E5295" w:rsidP="004E5295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7.3 ± 1.5</w:t>
            </w:r>
          </w:p>
        </w:tc>
        <w:tc>
          <w:tcPr>
            <w:tcW w:w="1036" w:type="dxa"/>
            <w:shd w:val="clear" w:color="auto" w:fill="auto"/>
            <w:noWrap/>
            <w:vAlign w:val="center"/>
            <w:hideMark/>
          </w:tcPr>
          <w:p w:rsidR="004E5295" w:rsidRPr="004E5295" w:rsidRDefault="004E5295" w:rsidP="004E5295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0.997</w:t>
            </w:r>
          </w:p>
        </w:tc>
      </w:tr>
      <w:tr w:rsidR="004E5295" w:rsidRPr="004E5295" w:rsidTr="000D53DB">
        <w:trPr>
          <w:trHeight w:val="330"/>
        </w:trPr>
        <w:tc>
          <w:tcPr>
            <w:tcW w:w="3828" w:type="dxa"/>
            <w:shd w:val="clear" w:color="auto" w:fill="auto"/>
            <w:vAlign w:val="center"/>
            <w:hideMark/>
          </w:tcPr>
          <w:p w:rsidR="004E5295" w:rsidRPr="004E5295" w:rsidRDefault="004E5295" w:rsidP="004E5295">
            <w:pPr>
              <w:widowControl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RR (1breath/min )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4E5295" w:rsidRPr="004E5295" w:rsidRDefault="004E5295" w:rsidP="004E5295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22.2 ± 5.4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4E5295" w:rsidRPr="004E5295" w:rsidRDefault="004E5295" w:rsidP="004E5295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22.2 ± 5.0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4E5295" w:rsidRPr="004E5295" w:rsidRDefault="004E5295" w:rsidP="004E5295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22.5 ± 6.0</w:t>
            </w:r>
          </w:p>
        </w:tc>
        <w:tc>
          <w:tcPr>
            <w:tcW w:w="1036" w:type="dxa"/>
            <w:shd w:val="clear" w:color="auto" w:fill="auto"/>
            <w:noWrap/>
            <w:vAlign w:val="center"/>
            <w:hideMark/>
          </w:tcPr>
          <w:p w:rsidR="004E5295" w:rsidRPr="004E5295" w:rsidRDefault="004E5295" w:rsidP="004E5295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0.627</w:t>
            </w:r>
          </w:p>
        </w:tc>
      </w:tr>
      <w:tr w:rsidR="004E5295" w:rsidRPr="004E5295" w:rsidTr="000D53DB">
        <w:trPr>
          <w:trHeight w:val="330"/>
        </w:trPr>
        <w:tc>
          <w:tcPr>
            <w:tcW w:w="3828" w:type="dxa"/>
            <w:shd w:val="clear" w:color="auto" w:fill="auto"/>
            <w:vAlign w:val="center"/>
            <w:hideMark/>
          </w:tcPr>
          <w:p w:rsidR="004E5295" w:rsidRPr="004E5295" w:rsidRDefault="004E5295" w:rsidP="004E5295">
            <w:pPr>
              <w:widowControl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PIP (mmHg)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4E5295" w:rsidRPr="004E5295" w:rsidRDefault="004E5295" w:rsidP="004E5295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24.9 ± 5.9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4E5295" w:rsidRPr="004E5295" w:rsidRDefault="004E5295" w:rsidP="004E5295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23.4 ± 4.3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4E5295" w:rsidRPr="004E5295" w:rsidRDefault="004E5295" w:rsidP="004E5295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27.7 ± 5.2</w:t>
            </w:r>
          </w:p>
        </w:tc>
        <w:tc>
          <w:tcPr>
            <w:tcW w:w="1036" w:type="dxa"/>
            <w:shd w:val="clear" w:color="auto" w:fill="auto"/>
            <w:noWrap/>
            <w:vAlign w:val="center"/>
            <w:hideMark/>
          </w:tcPr>
          <w:p w:rsidR="004E5295" w:rsidRPr="004E5295" w:rsidRDefault="004E5295" w:rsidP="004E5295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&lt;0.0001</w:t>
            </w:r>
          </w:p>
        </w:tc>
      </w:tr>
      <w:tr w:rsidR="004E5295" w:rsidRPr="004E5295" w:rsidTr="000D53DB">
        <w:trPr>
          <w:trHeight w:val="330"/>
        </w:trPr>
        <w:tc>
          <w:tcPr>
            <w:tcW w:w="3828" w:type="dxa"/>
            <w:shd w:val="clear" w:color="auto" w:fill="auto"/>
            <w:vAlign w:val="center"/>
            <w:hideMark/>
          </w:tcPr>
          <w:p w:rsidR="004E5295" w:rsidRPr="004E5295" w:rsidRDefault="004E5295" w:rsidP="004E5295">
            <w:pPr>
              <w:widowControl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proofErr w:type="spellStart"/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P</w:t>
            </w: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  <w:vertAlign w:val="subscript"/>
              </w:rPr>
              <w:t>plat</w:t>
            </w:r>
            <w:proofErr w:type="spellEnd"/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 xml:space="preserve"> (cmH</w:t>
            </w: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o)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4E5295" w:rsidRPr="004E5295" w:rsidRDefault="004E5295" w:rsidP="004E5295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21.5 ± 5.2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4E5295" w:rsidRPr="004E5295" w:rsidRDefault="004E5295" w:rsidP="004E5295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19.9 ± 3.9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4E5295" w:rsidRPr="004E5295" w:rsidRDefault="004E5295" w:rsidP="004E5295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25.2 ± 4.9</w:t>
            </w:r>
          </w:p>
        </w:tc>
        <w:tc>
          <w:tcPr>
            <w:tcW w:w="1036" w:type="dxa"/>
            <w:shd w:val="clear" w:color="auto" w:fill="auto"/>
            <w:noWrap/>
            <w:vAlign w:val="center"/>
            <w:hideMark/>
          </w:tcPr>
          <w:p w:rsidR="004E5295" w:rsidRPr="004E5295" w:rsidRDefault="004E5295" w:rsidP="004E5295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&lt;0.0001</w:t>
            </w:r>
          </w:p>
        </w:tc>
      </w:tr>
      <w:tr w:rsidR="004E5295" w:rsidRPr="004E5295" w:rsidTr="000D53DB">
        <w:trPr>
          <w:trHeight w:val="330"/>
        </w:trPr>
        <w:tc>
          <w:tcPr>
            <w:tcW w:w="3828" w:type="dxa"/>
            <w:shd w:val="clear" w:color="auto" w:fill="auto"/>
            <w:vAlign w:val="center"/>
            <w:hideMark/>
          </w:tcPr>
          <w:p w:rsidR="004E5295" w:rsidRPr="004E5295" w:rsidRDefault="004E5295" w:rsidP="004E5295">
            <w:pPr>
              <w:widowControl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Driving pressure (cmH</w:t>
            </w: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o)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4E5295" w:rsidRPr="004E5295" w:rsidRDefault="00AF1B7F" w:rsidP="004E5295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B3360A">
              <w:rPr>
                <w:rFonts w:ascii="Arial" w:hAnsi="Arial" w:cs="Arial"/>
                <w:color w:val="000000"/>
                <w:sz w:val="18"/>
                <w:szCs w:val="18"/>
              </w:rPr>
              <w:t>12.9 ± 4.1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4E5295" w:rsidRPr="004E5295" w:rsidRDefault="004E5295" w:rsidP="004E5295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11.0 ± 2.4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4E5295" w:rsidRPr="004E5295" w:rsidRDefault="004E5295" w:rsidP="004E5295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16.8 ± 4.1</w:t>
            </w:r>
          </w:p>
        </w:tc>
        <w:tc>
          <w:tcPr>
            <w:tcW w:w="1036" w:type="dxa"/>
            <w:shd w:val="clear" w:color="auto" w:fill="auto"/>
            <w:noWrap/>
            <w:vAlign w:val="center"/>
            <w:hideMark/>
          </w:tcPr>
          <w:p w:rsidR="004E5295" w:rsidRPr="004E5295" w:rsidRDefault="004E5295" w:rsidP="004E5295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&lt;0.0001</w:t>
            </w:r>
          </w:p>
        </w:tc>
      </w:tr>
      <w:tr w:rsidR="004E5295" w:rsidRPr="004E5295" w:rsidTr="000D53DB">
        <w:trPr>
          <w:trHeight w:val="330"/>
        </w:trPr>
        <w:tc>
          <w:tcPr>
            <w:tcW w:w="3828" w:type="dxa"/>
            <w:shd w:val="clear" w:color="auto" w:fill="auto"/>
            <w:vAlign w:val="center"/>
            <w:hideMark/>
          </w:tcPr>
          <w:p w:rsidR="004E5295" w:rsidRPr="004E5295" w:rsidRDefault="004E5295" w:rsidP="004E5295">
            <w:pPr>
              <w:widowControl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Compliance (cmH</w:t>
            </w: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o)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4E5295" w:rsidRPr="004E5295" w:rsidRDefault="004E5295" w:rsidP="004E5295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32.9 ± 12.3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4E5295" w:rsidRPr="004E5295" w:rsidRDefault="004E5295" w:rsidP="004E5295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39.7 ± 12.5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4E5295" w:rsidRPr="004E5295" w:rsidRDefault="004E5295" w:rsidP="004E5295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26.7 ± 9.0</w:t>
            </w:r>
          </w:p>
        </w:tc>
        <w:tc>
          <w:tcPr>
            <w:tcW w:w="1036" w:type="dxa"/>
            <w:shd w:val="clear" w:color="auto" w:fill="auto"/>
            <w:noWrap/>
            <w:vAlign w:val="center"/>
            <w:hideMark/>
          </w:tcPr>
          <w:p w:rsidR="004E5295" w:rsidRPr="004E5295" w:rsidRDefault="004E5295" w:rsidP="004E5295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&lt;0.0001</w:t>
            </w:r>
          </w:p>
        </w:tc>
      </w:tr>
      <w:tr w:rsidR="004E5295" w:rsidRPr="004E5295" w:rsidTr="000D53DB">
        <w:trPr>
          <w:trHeight w:val="33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:rsidR="004E5295" w:rsidRPr="004E5295" w:rsidRDefault="004E5295" w:rsidP="004E5295">
            <w:pPr>
              <w:widowControl/>
              <w:rPr>
                <w:rFonts w:ascii="Arial" w:eastAsia="新細明體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b/>
                <w:bCs/>
                <w:color w:val="000000"/>
                <w:kern w:val="0"/>
                <w:sz w:val="18"/>
                <w:szCs w:val="18"/>
              </w:rPr>
              <w:t>Artery blood gas(ABG)-patient in ICU 24hrs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4E5295" w:rsidRPr="004E5295" w:rsidRDefault="004E5295" w:rsidP="004E5295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4E5295" w:rsidRPr="004E5295" w:rsidRDefault="004E5295" w:rsidP="004E5295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4E5295" w:rsidRPr="004E5295" w:rsidRDefault="004E5295" w:rsidP="004E5295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36" w:type="dxa"/>
            <w:shd w:val="clear" w:color="auto" w:fill="auto"/>
            <w:noWrap/>
            <w:vAlign w:val="center"/>
            <w:hideMark/>
          </w:tcPr>
          <w:p w:rsidR="004E5295" w:rsidRPr="004E5295" w:rsidRDefault="004E5295" w:rsidP="004E5295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E5295" w:rsidRPr="004E5295" w:rsidTr="000D53DB">
        <w:trPr>
          <w:trHeight w:val="330"/>
        </w:trPr>
        <w:tc>
          <w:tcPr>
            <w:tcW w:w="3828" w:type="dxa"/>
            <w:shd w:val="clear" w:color="auto" w:fill="auto"/>
            <w:vAlign w:val="center"/>
            <w:hideMark/>
          </w:tcPr>
          <w:p w:rsidR="004E5295" w:rsidRPr="004E5295" w:rsidRDefault="004E5295" w:rsidP="003A23EE">
            <w:pPr>
              <w:widowControl/>
              <w:ind w:firstLineChars="50" w:firstLine="90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pH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4E5295" w:rsidRPr="004E5295" w:rsidRDefault="004E5295" w:rsidP="004E5295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7.4 ± 0.1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4E5295" w:rsidRPr="004E5295" w:rsidRDefault="004E5295" w:rsidP="004E5295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7.4 ± 0.1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4E5295" w:rsidRPr="004E5295" w:rsidRDefault="004E5295" w:rsidP="004E5295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7.3 ± 0.1</w:t>
            </w:r>
          </w:p>
        </w:tc>
        <w:tc>
          <w:tcPr>
            <w:tcW w:w="1036" w:type="dxa"/>
            <w:shd w:val="clear" w:color="auto" w:fill="auto"/>
            <w:noWrap/>
            <w:vAlign w:val="center"/>
            <w:hideMark/>
          </w:tcPr>
          <w:p w:rsidR="004E5295" w:rsidRPr="004E5295" w:rsidRDefault="004E5295" w:rsidP="004E5295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0.012</w:t>
            </w:r>
          </w:p>
        </w:tc>
      </w:tr>
      <w:tr w:rsidR="004E5295" w:rsidRPr="004E5295" w:rsidTr="000D53DB">
        <w:trPr>
          <w:trHeight w:val="330"/>
        </w:trPr>
        <w:tc>
          <w:tcPr>
            <w:tcW w:w="3828" w:type="dxa"/>
            <w:shd w:val="clear" w:color="auto" w:fill="auto"/>
            <w:vAlign w:val="center"/>
            <w:hideMark/>
          </w:tcPr>
          <w:p w:rsidR="004E5295" w:rsidRPr="004E5295" w:rsidRDefault="004E5295" w:rsidP="003A23EE">
            <w:pPr>
              <w:widowControl/>
              <w:ind w:firstLineChars="50" w:firstLine="90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PaO</w:t>
            </w: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  <w:vertAlign w:val="subscript"/>
              </w:rPr>
              <w:t xml:space="preserve">2 </w:t>
            </w: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(mmHg)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4E5295" w:rsidRPr="004E5295" w:rsidRDefault="004E5295" w:rsidP="004E5295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122.2 ± 98.0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4E5295" w:rsidRPr="004E5295" w:rsidRDefault="004E5295" w:rsidP="004E5295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124.7 ± 117.2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4E5295" w:rsidRPr="004E5295" w:rsidRDefault="004E5295" w:rsidP="004E5295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115.5 ± 61.3</w:t>
            </w:r>
          </w:p>
        </w:tc>
        <w:tc>
          <w:tcPr>
            <w:tcW w:w="1036" w:type="dxa"/>
            <w:shd w:val="clear" w:color="auto" w:fill="auto"/>
            <w:noWrap/>
            <w:vAlign w:val="center"/>
            <w:hideMark/>
          </w:tcPr>
          <w:p w:rsidR="004E5295" w:rsidRPr="004E5295" w:rsidRDefault="004E5295" w:rsidP="004E5295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0.444</w:t>
            </w:r>
          </w:p>
        </w:tc>
      </w:tr>
      <w:tr w:rsidR="004E5295" w:rsidRPr="004E5295" w:rsidTr="000D53DB">
        <w:trPr>
          <w:trHeight w:val="330"/>
        </w:trPr>
        <w:tc>
          <w:tcPr>
            <w:tcW w:w="3828" w:type="dxa"/>
            <w:shd w:val="clear" w:color="auto" w:fill="auto"/>
            <w:vAlign w:val="center"/>
            <w:hideMark/>
          </w:tcPr>
          <w:p w:rsidR="004E5295" w:rsidRPr="004E5295" w:rsidRDefault="004E5295" w:rsidP="003A23EE">
            <w:pPr>
              <w:widowControl/>
              <w:ind w:firstLineChars="50" w:firstLine="90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PaCO</w:t>
            </w: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  <w:vertAlign w:val="subscript"/>
              </w:rPr>
              <w:t xml:space="preserve">2  </w:t>
            </w: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(mmHg)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4E5295" w:rsidRPr="004E5295" w:rsidRDefault="004E5295" w:rsidP="004E5295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41.8 ± 28.2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4E5295" w:rsidRPr="004E5295" w:rsidRDefault="004E5295" w:rsidP="004E5295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38.9 ± 10.2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4E5295" w:rsidRPr="004E5295" w:rsidRDefault="004E5295" w:rsidP="004E5295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45.4 ± 43.2</w:t>
            </w:r>
          </w:p>
        </w:tc>
        <w:tc>
          <w:tcPr>
            <w:tcW w:w="1036" w:type="dxa"/>
            <w:shd w:val="clear" w:color="auto" w:fill="auto"/>
            <w:noWrap/>
            <w:vAlign w:val="center"/>
            <w:hideMark/>
          </w:tcPr>
          <w:p w:rsidR="004E5295" w:rsidRPr="004E5295" w:rsidRDefault="004E5295" w:rsidP="004E5295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0.124</w:t>
            </w:r>
          </w:p>
        </w:tc>
      </w:tr>
      <w:tr w:rsidR="004E5295" w:rsidRPr="004E5295" w:rsidTr="000D53DB">
        <w:trPr>
          <w:trHeight w:val="330"/>
        </w:trPr>
        <w:tc>
          <w:tcPr>
            <w:tcW w:w="3828" w:type="dxa"/>
            <w:shd w:val="clear" w:color="auto" w:fill="auto"/>
            <w:vAlign w:val="center"/>
            <w:hideMark/>
          </w:tcPr>
          <w:p w:rsidR="004E5295" w:rsidRPr="004E5295" w:rsidRDefault="004E5295" w:rsidP="003A23EE">
            <w:pPr>
              <w:widowControl/>
              <w:ind w:firstLineChars="50" w:firstLine="90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HCO</w:t>
            </w: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4E5295" w:rsidRPr="004E5295" w:rsidRDefault="004E5295" w:rsidP="004E5295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21.9 ± 5.0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4E5295" w:rsidRPr="004E5295" w:rsidRDefault="004E5295" w:rsidP="004E5295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22.0 ± 5.4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4E5295" w:rsidRPr="004E5295" w:rsidRDefault="004E5295" w:rsidP="004E5295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22.0 ± 6.3</w:t>
            </w:r>
          </w:p>
        </w:tc>
        <w:tc>
          <w:tcPr>
            <w:tcW w:w="1036" w:type="dxa"/>
            <w:shd w:val="clear" w:color="auto" w:fill="auto"/>
            <w:noWrap/>
            <w:vAlign w:val="center"/>
            <w:hideMark/>
          </w:tcPr>
          <w:p w:rsidR="004E5295" w:rsidRPr="004E5295" w:rsidRDefault="004E5295" w:rsidP="004E5295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0.918</w:t>
            </w:r>
          </w:p>
        </w:tc>
      </w:tr>
      <w:tr w:rsidR="004E5295" w:rsidRPr="004E5295" w:rsidTr="000D53DB">
        <w:trPr>
          <w:trHeight w:val="33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:rsidR="004E5295" w:rsidRPr="004E5295" w:rsidRDefault="004E5295" w:rsidP="004E5295">
            <w:pPr>
              <w:widowControl/>
              <w:rPr>
                <w:rFonts w:ascii="Arial" w:eastAsia="新細明體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b/>
                <w:bCs/>
                <w:color w:val="000000"/>
                <w:kern w:val="0"/>
                <w:sz w:val="18"/>
                <w:szCs w:val="18"/>
              </w:rPr>
              <w:t>Adjunctive Therapy, No. (%)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4E5295" w:rsidRPr="004E5295" w:rsidRDefault="004E5295" w:rsidP="004E5295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4E5295" w:rsidRPr="004E5295" w:rsidRDefault="004E5295" w:rsidP="004E5295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4E5295" w:rsidRPr="004E5295" w:rsidRDefault="004E5295" w:rsidP="004E5295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36" w:type="dxa"/>
            <w:shd w:val="clear" w:color="auto" w:fill="auto"/>
            <w:noWrap/>
            <w:vAlign w:val="center"/>
            <w:hideMark/>
          </w:tcPr>
          <w:p w:rsidR="004E5295" w:rsidRPr="004E5295" w:rsidRDefault="004E5295" w:rsidP="004E5295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E5295" w:rsidRPr="004E5295" w:rsidTr="000D53DB">
        <w:trPr>
          <w:trHeight w:val="330"/>
        </w:trPr>
        <w:tc>
          <w:tcPr>
            <w:tcW w:w="3828" w:type="dxa"/>
            <w:shd w:val="clear" w:color="auto" w:fill="auto"/>
            <w:vAlign w:val="center"/>
            <w:hideMark/>
          </w:tcPr>
          <w:p w:rsidR="004E5295" w:rsidRPr="004E5295" w:rsidRDefault="004E5295" w:rsidP="003A23EE">
            <w:pPr>
              <w:widowControl/>
              <w:ind w:firstLineChars="50" w:firstLine="90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ECMO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4E5295" w:rsidRPr="004E5295" w:rsidRDefault="004E5295" w:rsidP="004E5295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7 (1.9%)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4E5295" w:rsidRPr="004E5295" w:rsidRDefault="004E5295" w:rsidP="004E5295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1</w:t>
            </w:r>
            <w:r w:rsidR="00313383">
              <w:rPr>
                <w:rFonts w:ascii="Arial" w:eastAsia="新細明體" w:hAnsi="Arial" w:cs="Arial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(0.5%)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4E5295" w:rsidRPr="004E5295" w:rsidRDefault="004E5295" w:rsidP="004E5295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5</w:t>
            </w:r>
            <w:r w:rsidR="00313383">
              <w:rPr>
                <w:rFonts w:ascii="Arial" w:eastAsia="新細明體" w:hAnsi="Arial" w:cs="Arial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(4.7%)</w:t>
            </w:r>
          </w:p>
        </w:tc>
        <w:tc>
          <w:tcPr>
            <w:tcW w:w="1036" w:type="dxa"/>
            <w:shd w:val="clear" w:color="auto" w:fill="auto"/>
            <w:noWrap/>
            <w:vAlign w:val="center"/>
            <w:hideMark/>
          </w:tcPr>
          <w:p w:rsidR="004E5295" w:rsidRPr="004E5295" w:rsidRDefault="004E5295" w:rsidP="004E5295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0.009</w:t>
            </w:r>
          </w:p>
        </w:tc>
      </w:tr>
      <w:tr w:rsidR="004E5295" w:rsidRPr="004E5295" w:rsidTr="000D53DB">
        <w:trPr>
          <w:trHeight w:val="420"/>
        </w:trPr>
        <w:tc>
          <w:tcPr>
            <w:tcW w:w="3828" w:type="dxa"/>
            <w:shd w:val="clear" w:color="auto" w:fill="auto"/>
            <w:vAlign w:val="center"/>
            <w:hideMark/>
          </w:tcPr>
          <w:p w:rsidR="004E5295" w:rsidRPr="004E5295" w:rsidRDefault="004E5295" w:rsidP="003A23EE">
            <w:pPr>
              <w:widowControl/>
              <w:ind w:firstLineChars="50" w:firstLine="90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Lung recruitment maneuver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4E5295" w:rsidRPr="004E5295" w:rsidRDefault="004E5295" w:rsidP="004E5295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48 (13.0%)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4E5295" w:rsidRPr="004E5295" w:rsidRDefault="004E5295" w:rsidP="004E5295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31</w:t>
            </w:r>
            <w:r w:rsidR="00313383">
              <w:rPr>
                <w:rFonts w:ascii="Arial" w:eastAsia="新細明體" w:hAnsi="Arial" w:cs="Arial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(14.7%)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4E5295" w:rsidRPr="004E5295" w:rsidRDefault="004E5295" w:rsidP="004E5295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13</w:t>
            </w:r>
            <w:r w:rsidR="00313383">
              <w:rPr>
                <w:rFonts w:ascii="Arial" w:eastAsia="新細明體" w:hAnsi="Arial" w:cs="Arial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(12.1%)</w:t>
            </w:r>
          </w:p>
        </w:tc>
        <w:tc>
          <w:tcPr>
            <w:tcW w:w="1036" w:type="dxa"/>
            <w:shd w:val="clear" w:color="auto" w:fill="auto"/>
            <w:noWrap/>
            <w:vAlign w:val="center"/>
            <w:hideMark/>
          </w:tcPr>
          <w:p w:rsidR="004E5295" w:rsidRPr="004E5295" w:rsidRDefault="004E5295" w:rsidP="004E5295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0.535</w:t>
            </w:r>
          </w:p>
        </w:tc>
      </w:tr>
      <w:tr w:rsidR="004E5295" w:rsidRPr="004E5295" w:rsidTr="000D53DB">
        <w:trPr>
          <w:trHeight w:val="405"/>
        </w:trPr>
        <w:tc>
          <w:tcPr>
            <w:tcW w:w="3828" w:type="dxa"/>
            <w:shd w:val="clear" w:color="auto" w:fill="auto"/>
            <w:vAlign w:val="center"/>
            <w:hideMark/>
          </w:tcPr>
          <w:p w:rsidR="004E5295" w:rsidRPr="004E5295" w:rsidRDefault="004E5295" w:rsidP="003A23EE">
            <w:pPr>
              <w:widowControl/>
              <w:ind w:firstLineChars="50" w:firstLine="90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Prone position ventilation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4E5295" w:rsidRPr="004E5295" w:rsidRDefault="004E5295" w:rsidP="004E5295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23 (6.2%)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4E5295" w:rsidRPr="004E5295" w:rsidRDefault="004E5295" w:rsidP="004E5295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12</w:t>
            </w:r>
            <w:r w:rsidR="00313383">
              <w:rPr>
                <w:rFonts w:ascii="Arial" w:eastAsia="新細明體" w:hAnsi="Arial" w:cs="Arial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(5.7%)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4E5295" w:rsidRPr="004E5295" w:rsidRDefault="004E5295" w:rsidP="004E5295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7</w:t>
            </w:r>
            <w:r w:rsidR="00313383">
              <w:rPr>
                <w:rFonts w:ascii="Arial" w:eastAsia="新細明體" w:hAnsi="Arial" w:cs="Arial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(6.5%)</w:t>
            </w:r>
          </w:p>
        </w:tc>
        <w:tc>
          <w:tcPr>
            <w:tcW w:w="1036" w:type="dxa"/>
            <w:shd w:val="clear" w:color="auto" w:fill="auto"/>
            <w:noWrap/>
            <w:vAlign w:val="center"/>
            <w:hideMark/>
          </w:tcPr>
          <w:p w:rsidR="004E5295" w:rsidRPr="004E5295" w:rsidRDefault="004E5295" w:rsidP="004E5295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0.761</w:t>
            </w:r>
          </w:p>
        </w:tc>
      </w:tr>
      <w:tr w:rsidR="004E5295" w:rsidRPr="004E5295" w:rsidTr="000D53DB">
        <w:trPr>
          <w:trHeight w:val="345"/>
        </w:trPr>
        <w:tc>
          <w:tcPr>
            <w:tcW w:w="3828" w:type="dxa"/>
            <w:tcBorders>
              <w:bottom w:val="single" w:sz="18" w:space="0" w:color="auto"/>
            </w:tcBorders>
            <w:shd w:val="clear" w:color="auto" w:fill="auto"/>
            <w:vAlign w:val="center"/>
            <w:hideMark/>
          </w:tcPr>
          <w:p w:rsidR="004E5295" w:rsidRPr="004E5295" w:rsidRDefault="004E5295" w:rsidP="003A23EE">
            <w:pPr>
              <w:widowControl/>
              <w:ind w:firstLineChars="50" w:firstLine="90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Neuromuscular blockade</w:t>
            </w:r>
          </w:p>
        </w:tc>
        <w:tc>
          <w:tcPr>
            <w:tcW w:w="1418" w:type="dxa"/>
            <w:tcBorders>
              <w:bottom w:val="single" w:sz="18" w:space="0" w:color="auto"/>
            </w:tcBorders>
            <w:shd w:val="clear" w:color="auto" w:fill="auto"/>
            <w:vAlign w:val="center"/>
            <w:hideMark/>
          </w:tcPr>
          <w:p w:rsidR="004E5295" w:rsidRPr="004E5295" w:rsidRDefault="004E5295" w:rsidP="004E5295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159 (43.0%)</w:t>
            </w:r>
          </w:p>
        </w:tc>
        <w:tc>
          <w:tcPr>
            <w:tcW w:w="1417" w:type="dxa"/>
            <w:tcBorders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:rsidR="004E5295" w:rsidRPr="000B3EB1" w:rsidRDefault="004E5295" w:rsidP="00014459">
            <w:pPr>
              <w:widowControl/>
              <w:jc w:val="center"/>
              <w:rPr>
                <w:rFonts w:ascii="Arial" w:eastAsia="新細明體" w:hAnsi="Arial" w:cs="Arial"/>
                <w:kern w:val="0"/>
                <w:sz w:val="18"/>
                <w:szCs w:val="18"/>
              </w:rPr>
            </w:pPr>
            <w:r w:rsidRPr="000B3EB1">
              <w:rPr>
                <w:rFonts w:ascii="Arial" w:eastAsia="新細明體" w:hAnsi="Arial" w:cs="Arial"/>
                <w:kern w:val="0"/>
                <w:sz w:val="18"/>
                <w:szCs w:val="18"/>
              </w:rPr>
              <w:t>84</w:t>
            </w:r>
            <w:r w:rsidR="00313383" w:rsidRPr="000B3EB1">
              <w:rPr>
                <w:rFonts w:ascii="Arial" w:eastAsia="新細明體" w:hAnsi="Arial" w:cs="Arial" w:hint="eastAsia"/>
                <w:kern w:val="0"/>
                <w:sz w:val="18"/>
                <w:szCs w:val="18"/>
              </w:rPr>
              <w:t xml:space="preserve"> </w:t>
            </w:r>
            <w:r w:rsidRPr="000B3EB1">
              <w:rPr>
                <w:rFonts w:ascii="Arial" w:eastAsia="新細明體" w:hAnsi="Arial" w:cs="Arial"/>
                <w:kern w:val="0"/>
                <w:sz w:val="18"/>
                <w:szCs w:val="18"/>
              </w:rPr>
              <w:t>(</w:t>
            </w:r>
            <w:r w:rsidR="00014459" w:rsidRPr="000B3EB1">
              <w:rPr>
                <w:rFonts w:ascii="Arial" w:eastAsia="新細明體" w:hAnsi="Arial" w:cs="Arial" w:hint="eastAsia"/>
                <w:kern w:val="0"/>
                <w:sz w:val="18"/>
                <w:szCs w:val="18"/>
              </w:rPr>
              <w:t>39.8</w:t>
            </w:r>
            <w:r w:rsidRPr="000B3EB1">
              <w:rPr>
                <w:rFonts w:ascii="Arial" w:eastAsia="新細明體" w:hAnsi="Arial" w:cs="Arial"/>
                <w:kern w:val="0"/>
                <w:sz w:val="18"/>
                <w:szCs w:val="18"/>
              </w:rPr>
              <w:t>%)</w:t>
            </w:r>
          </w:p>
        </w:tc>
        <w:tc>
          <w:tcPr>
            <w:tcW w:w="1418" w:type="dxa"/>
            <w:tcBorders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:rsidR="004E5295" w:rsidRPr="000B3EB1" w:rsidRDefault="004E5295" w:rsidP="0079533F">
            <w:pPr>
              <w:widowControl/>
              <w:jc w:val="center"/>
              <w:rPr>
                <w:rFonts w:ascii="Arial" w:eastAsia="新細明體" w:hAnsi="Arial" w:cs="Arial"/>
                <w:kern w:val="0"/>
                <w:sz w:val="18"/>
                <w:szCs w:val="18"/>
              </w:rPr>
            </w:pPr>
            <w:r w:rsidRPr="000B3EB1">
              <w:rPr>
                <w:rFonts w:ascii="Arial" w:eastAsia="新細明體" w:hAnsi="Arial" w:cs="Arial"/>
                <w:kern w:val="0"/>
                <w:sz w:val="18"/>
                <w:szCs w:val="18"/>
              </w:rPr>
              <w:t>49</w:t>
            </w:r>
            <w:r w:rsidR="00313383" w:rsidRPr="000B3EB1">
              <w:rPr>
                <w:rFonts w:ascii="Arial" w:eastAsia="新細明體" w:hAnsi="Arial" w:cs="Arial" w:hint="eastAsia"/>
                <w:kern w:val="0"/>
                <w:sz w:val="18"/>
                <w:szCs w:val="18"/>
              </w:rPr>
              <w:t xml:space="preserve"> </w:t>
            </w:r>
            <w:r w:rsidRPr="000B3EB1">
              <w:rPr>
                <w:rFonts w:ascii="Arial" w:eastAsia="新細明體" w:hAnsi="Arial" w:cs="Arial"/>
                <w:kern w:val="0"/>
                <w:sz w:val="18"/>
                <w:szCs w:val="18"/>
              </w:rPr>
              <w:t>(</w:t>
            </w:r>
            <w:r w:rsidR="0079533F" w:rsidRPr="000B3EB1">
              <w:rPr>
                <w:rFonts w:ascii="Arial" w:eastAsia="新細明體" w:hAnsi="Arial" w:cs="Arial" w:hint="eastAsia"/>
                <w:kern w:val="0"/>
                <w:sz w:val="18"/>
                <w:szCs w:val="18"/>
              </w:rPr>
              <w:t>45</w:t>
            </w:r>
            <w:r w:rsidRPr="000B3EB1">
              <w:rPr>
                <w:rFonts w:ascii="Arial" w:eastAsia="新細明體" w:hAnsi="Arial" w:cs="Arial"/>
                <w:kern w:val="0"/>
                <w:sz w:val="18"/>
                <w:szCs w:val="18"/>
              </w:rPr>
              <w:t>.8%)</w:t>
            </w:r>
          </w:p>
        </w:tc>
        <w:tc>
          <w:tcPr>
            <w:tcW w:w="1036" w:type="dxa"/>
            <w:tcBorders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:rsidR="004E5295" w:rsidRPr="004E5295" w:rsidRDefault="004E5295" w:rsidP="004E5295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4E5295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0.307</w:t>
            </w:r>
          </w:p>
        </w:tc>
      </w:tr>
    </w:tbl>
    <w:p w:rsidR="004E5295" w:rsidRDefault="004E5295"/>
    <w:p w:rsidR="00DE0ECD" w:rsidRPr="005D7FE7" w:rsidRDefault="00DE0ECD" w:rsidP="00E22F95">
      <w:pPr>
        <w:ind w:leftChars="-177" w:left="-425"/>
        <w:rPr>
          <w:rFonts w:ascii="Times New Roman" w:eastAsia="新細明體" w:hAnsi="Times New Roman" w:cs="Times New Roman"/>
          <w:sz w:val="18"/>
          <w:szCs w:val="18"/>
        </w:rPr>
      </w:pPr>
      <w:r w:rsidRPr="005D7FE7">
        <w:rPr>
          <w:rFonts w:ascii="Times New Roman" w:hAnsi="Times New Roman" w:cs="Times New Roman"/>
          <w:sz w:val="18"/>
          <w:szCs w:val="18"/>
        </w:rPr>
        <w:t>A</w:t>
      </w:r>
      <w:r w:rsidRPr="005D7FE7">
        <w:rPr>
          <w:rFonts w:ascii="Times New Roman" w:eastAsia="新細明體" w:hAnsi="Times New Roman" w:cs="Times New Roman"/>
          <w:sz w:val="18"/>
          <w:szCs w:val="18"/>
        </w:rPr>
        <w:t xml:space="preserve">bbreviations: </w:t>
      </w:r>
      <w:r w:rsidRPr="005D7FE7">
        <w:rPr>
          <w:rFonts w:ascii="Times New Roman" w:eastAsia="新細明體" w:hAnsi="Times New Roman" w:cs="Times New Roman"/>
          <w:iCs/>
          <w:sz w:val="18"/>
          <w:szCs w:val="18"/>
        </w:rPr>
        <w:t>ARDS, acute respiratory distress syndrome</w:t>
      </w:r>
      <w:r w:rsidRPr="005D7FE7">
        <w:rPr>
          <w:rFonts w:ascii="Times New Roman" w:eastAsia="新細明體" w:hAnsi="Times New Roman" w:cs="Times New Roman"/>
          <w:sz w:val="18"/>
          <w:szCs w:val="18"/>
        </w:rPr>
        <w:t>;</w:t>
      </w:r>
      <w:r w:rsidRPr="005D7FE7">
        <w:rPr>
          <w:rFonts w:ascii="Times New Roman" w:eastAsia="新細明體" w:hAnsi="Times New Roman" w:cs="Times New Roman"/>
          <w:i/>
          <w:iCs/>
          <w:sz w:val="18"/>
          <w:szCs w:val="18"/>
        </w:rPr>
        <w:t xml:space="preserve"> </w:t>
      </w:r>
      <w:r w:rsidRPr="005D7FE7">
        <w:rPr>
          <w:rFonts w:ascii="Times New Roman" w:eastAsia="新細明體" w:hAnsi="Times New Roman" w:cs="Times New Roman"/>
          <w:sz w:val="18"/>
          <w:szCs w:val="18"/>
        </w:rPr>
        <w:t xml:space="preserve">RR, respiratory rate; PEEP, positive end-expiratory pressure; FiO2, inspired fraction of oxygen; PaO2, partial pressure of oxygen; PaO2/FIO2, partial pressure of oxygen to fraction of inspired oxygen; </w:t>
      </w:r>
      <w:proofErr w:type="spellStart"/>
      <w:r w:rsidRPr="005D7FE7">
        <w:rPr>
          <w:rFonts w:ascii="Times New Roman" w:eastAsia="新細明體" w:hAnsi="Times New Roman" w:cs="Times New Roman"/>
          <w:sz w:val="18"/>
          <w:szCs w:val="18"/>
        </w:rPr>
        <w:t>Pplat</w:t>
      </w:r>
      <w:proofErr w:type="spellEnd"/>
      <w:r w:rsidRPr="005D7FE7">
        <w:rPr>
          <w:rFonts w:ascii="Times New Roman" w:eastAsia="新細明體" w:hAnsi="Times New Roman" w:cs="Times New Roman"/>
          <w:sz w:val="18"/>
          <w:szCs w:val="18"/>
        </w:rPr>
        <w:t xml:space="preserve">, plateau pressure; VT, tidal volume; PIP, peak </w:t>
      </w:r>
      <w:proofErr w:type="spellStart"/>
      <w:r w:rsidRPr="005D7FE7">
        <w:rPr>
          <w:rFonts w:ascii="Times New Roman" w:eastAsia="新細明體" w:hAnsi="Times New Roman" w:cs="Times New Roman"/>
          <w:sz w:val="18"/>
          <w:szCs w:val="18"/>
        </w:rPr>
        <w:t>inspiratory</w:t>
      </w:r>
      <w:proofErr w:type="spellEnd"/>
      <w:r w:rsidRPr="005D7FE7">
        <w:rPr>
          <w:rFonts w:ascii="Times New Roman" w:eastAsia="新細明體" w:hAnsi="Times New Roman" w:cs="Times New Roman"/>
          <w:sz w:val="18"/>
          <w:szCs w:val="18"/>
        </w:rPr>
        <w:t xml:space="preserve"> pressure; ECMO, extracorporeal membrane oxygenation; </w:t>
      </w:r>
      <w:proofErr w:type="spellStart"/>
      <w:r w:rsidRPr="005D7FE7">
        <w:rPr>
          <w:rFonts w:ascii="Times New Roman" w:eastAsia="新細明體" w:hAnsi="Times New Roman" w:cs="Times New Roman"/>
          <w:sz w:val="18"/>
          <w:szCs w:val="18"/>
        </w:rPr>
        <w:t>sd</w:t>
      </w:r>
      <w:proofErr w:type="spellEnd"/>
      <w:r w:rsidRPr="005D7FE7">
        <w:rPr>
          <w:rFonts w:ascii="Times New Roman" w:eastAsia="新細明體" w:hAnsi="Times New Roman" w:cs="Times New Roman"/>
          <w:sz w:val="18"/>
          <w:szCs w:val="18"/>
        </w:rPr>
        <w:t xml:space="preserve"> , standard deviation; IQR (</w:t>
      </w:r>
      <w:proofErr w:type="spellStart"/>
      <w:r w:rsidRPr="005D7FE7">
        <w:rPr>
          <w:rFonts w:ascii="Times New Roman" w:eastAsia="新細明體" w:hAnsi="Times New Roman" w:cs="Times New Roman"/>
          <w:sz w:val="18"/>
          <w:szCs w:val="18"/>
        </w:rPr>
        <w:t>interquartile</w:t>
      </w:r>
      <w:proofErr w:type="spellEnd"/>
      <w:r w:rsidRPr="005D7FE7">
        <w:rPr>
          <w:rFonts w:ascii="Times New Roman" w:eastAsia="新細明體" w:hAnsi="Times New Roman" w:cs="Times New Roman"/>
          <w:sz w:val="18"/>
          <w:szCs w:val="18"/>
        </w:rPr>
        <w:t xml:space="preserve"> range); ABG, Artery blood gas.</w:t>
      </w:r>
    </w:p>
    <w:p w:rsidR="00DE0ECD" w:rsidRPr="005101E1" w:rsidRDefault="00DE0ECD" w:rsidP="00E22F95">
      <w:pPr>
        <w:ind w:leftChars="-177" w:left="-425"/>
        <w:rPr>
          <w:rFonts w:ascii="Times New Roman" w:eastAsia="新細明體" w:hAnsi="Times New Roman" w:cs="Times New Roman"/>
          <w:sz w:val="18"/>
          <w:szCs w:val="18"/>
        </w:rPr>
      </w:pPr>
      <w:r w:rsidRPr="005101E1">
        <w:rPr>
          <w:rFonts w:ascii="Times New Roman" w:eastAsia="新細明體" w:hAnsi="Times New Roman" w:cs="Times New Roman"/>
          <w:sz w:val="18"/>
          <w:szCs w:val="18"/>
          <w:vertAlign w:val="superscript"/>
        </w:rPr>
        <w:t>a</w:t>
      </w:r>
      <w:r w:rsidRPr="005101E1">
        <w:rPr>
          <w:rFonts w:ascii="Times New Roman" w:eastAsia="新細明體" w:hAnsi="Times New Roman" w:cs="Times New Roman"/>
          <w:sz w:val="18"/>
          <w:szCs w:val="18"/>
        </w:rPr>
        <w:t xml:space="preserve"> P value represents comparisons between the </w:t>
      </w:r>
      <w:r w:rsidRPr="005101E1">
        <w:rPr>
          <w:rFonts w:ascii="Times New Roman" w:eastAsia="新細明體" w:hAnsi="Times New Roman" w:cs="Times New Roman"/>
          <w:color w:val="000000"/>
          <w:kern w:val="0"/>
          <w:sz w:val="18"/>
          <w:szCs w:val="18"/>
        </w:rPr>
        <w:t>DP</w:t>
      </w:r>
      <w:proofErr w:type="gramStart"/>
      <w:r w:rsidRPr="005101E1">
        <w:rPr>
          <w:rFonts w:ascii="Times New Roman" w:eastAsia="新細明體" w:hAnsi="新細明體" w:cs="Times New Roman"/>
          <w:color w:val="000000"/>
          <w:kern w:val="0"/>
          <w:sz w:val="18"/>
          <w:szCs w:val="18"/>
        </w:rPr>
        <w:t>≦</w:t>
      </w:r>
      <w:proofErr w:type="gramEnd"/>
      <w:r w:rsidRPr="005101E1">
        <w:rPr>
          <w:rFonts w:ascii="Times New Roman" w:eastAsia="新細明體" w:hAnsi="Times New Roman" w:cs="Times New Roman"/>
          <w:color w:val="000000"/>
          <w:kern w:val="0"/>
          <w:sz w:val="18"/>
          <w:szCs w:val="18"/>
        </w:rPr>
        <w:t>14 and DP</w:t>
      </w:r>
      <w:r w:rsidRPr="005101E1">
        <w:rPr>
          <w:rFonts w:ascii="Times New Roman" w:eastAsia="新細明體" w:hAnsi="新細明體" w:cs="Times New Roman"/>
          <w:color w:val="000000"/>
          <w:kern w:val="0"/>
          <w:sz w:val="18"/>
          <w:szCs w:val="18"/>
        </w:rPr>
        <w:t>＞</w:t>
      </w:r>
      <w:r w:rsidRPr="005101E1">
        <w:rPr>
          <w:rFonts w:ascii="Times New Roman" w:eastAsia="新細明體" w:hAnsi="Times New Roman" w:cs="Times New Roman"/>
          <w:color w:val="000000"/>
          <w:kern w:val="0"/>
          <w:sz w:val="18"/>
          <w:szCs w:val="18"/>
        </w:rPr>
        <w:t>14</w:t>
      </w:r>
      <w:r w:rsidRPr="005101E1">
        <w:rPr>
          <w:rFonts w:ascii="Times New Roman" w:eastAsia="新細明體" w:hAnsi="Times New Roman" w:cs="Times New Roman"/>
          <w:sz w:val="18"/>
          <w:szCs w:val="18"/>
        </w:rPr>
        <w:t xml:space="preserve"> ARDS patients.</w:t>
      </w:r>
    </w:p>
    <w:p w:rsidR="00DE0ECD" w:rsidRPr="00DE0ECD" w:rsidRDefault="00DE0ECD"/>
    <w:sectPr w:rsidR="00DE0ECD" w:rsidRPr="00DE0ECD" w:rsidSect="007E059C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5735F" w:rsidRDefault="0045735F" w:rsidP="0045735F">
      <w:r>
        <w:separator/>
      </w:r>
    </w:p>
  </w:endnote>
  <w:endnote w:type="continuationSeparator" w:id="0">
    <w:p w:rsidR="0045735F" w:rsidRDefault="0045735F" w:rsidP="004573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FKai-SB">
    <w:altName w:val="Microsoft YaHei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5735F" w:rsidRDefault="0045735F" w:rsidP="0045735F">
      <w:r>
        <w:separator/>
      </w:r>
    </w:p>
  </w:footnote>
  <w:footnote w:type="continuationSeparator" w:id="0">
    <w:p w:rsidR="0045735F" w:rsidRDefault="0045735F" w:rsidP="0045735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E5295"/>
    <w:rsid w:val="000069B8"/>
    <w:rsid w:val="00014459"/>
    <w:rsid w:val="000B3EB1"/>
    <w:rsid w:val="000D53DB"/>
    <w:rsid w:val="00182AF5"/>
    <w:rsid w:val="002C2B95"/>
    <w:rsid w:val="002C355E"/>
    <w:rsid w:val="002D7DA0"/>
    <w:rsid w:val="00313383"/>
    <w:rsid w:val="003A23EE"/>
    <w:rsid w:val="003F765F"/>
    <w:rsid w:val="00434333"/>
    <w:rsid w:val="0045735F"/>
    <w:rsid w:val="004C768B"/>
    <w:rsid w:val="004E5295"/>
    <w:rsid w:val="004F4E35"/>
    <w:rsid w:val="005101E1"/>
    <w:rsid w:val="00573761"/>
    <w:rsid w:val="005D7FE7"/>
    <w:rsid w:val="005F277D"/>
    <w:rsid w:val="005F5E68"/>
    <w:rsid w:val="006279AE"/>
    <w:rsid w:val="006D2B38"/>
    <w:rsid w:val="00781BC7"/>
    <w:rsid w:val="0079533F"/>
    <w:rsid w:val="007E059C"/>
    <w:rsid w:val="00853F4C"/>
    <w:rsid w:val="00915164"/>
    <w:rsid w:val="009835B9"/>
    <w:rsid w:val="00993A87"/>
    <w:rsid w:val="009F1B35"/>
    <w:rsid w:val="00A324DB"/>
    <w:rsid w:val="00A76FB7"/>
    <w:rsid w:val="00AF1B7F"/>
    <w:rsid w:val="00CE7F5D"/>
    <w:rsid w:val="00DE0ECD"/>
    <w:rsid w:val="00E22F95"/>
    <w:rsid w:val="00E27CAF"/>
    <w:rsid w:val="00E3519B"/>
    <w:rsid w:val="00F45B75"/>
    <w:rsid w:val="00FA2D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059C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45735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semiHidden/>
    <w:rsid w:val="0045735F"/>
    <w:rPr>
      <w:sz w:val="20"/>
      <w:szCs w:val="20"/>
    </w:rPr>
  </w:style>
  <w:style w:type="paragraph" w:styleId="a5">
    <w:name w:val="footer"/>
    <w:basedOn w:val="a"/>
    <w:link w:val="a6"/>
    <w:uiPriority w:val="99"/>
    <w:semiHidden/>
    <w:unhideWhenUsed/>
    <w:rsid w:val="0045735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semiHidden/>
    <w:rsid w:val="0045735F"/>
    <w:rPr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8212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294</Words>
  <Characters>1677</Characters>
  <Application>Microsoft Office Word</Application>
  <DocSecurity>0</DocSecurity>
  <Lines>13</Lines>
  <Paragraphs>3</Paragraphs>
  <ScaleCrop>false</ScaleCrop>
  <Company/>
  <LinksUpToDate>false</LinksUpToDate>
  <CharactersWithSpaces>1968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VGH00</dc:creator>
  <cp:lastModifiedBy>VGH00</cp:lastModifiedBy>
  <cp:revision>35</cp:revision>
  <dcterms:created xsi:type="dcterms:W3CDTF">2022-04-01T02:00:00Z</dcterms:created>
  <dcterms:modified xsi:type="dcterms:W3CDTF">2022-08-31T03:56:00Z</dcterms:modified>
</cp:coreProperties>
</file>