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2A4" w:rsidRPr="000341D9" w:rsidRDefault="00DB1605" w:rsidP="00EF22A4">
      <w:pPr>
        <w:widowControl/>
        <w:jc w:val="center"/>
        <w:rPr>
          <w:rFonts w:ascii="Times New Roman" w:hAnsi="Times New Roman" w:cs="Times New Roman"/>
          <w:b/>
          <w:szCs w:val="24"/>
        </w:rPr>
      </w:pPr>
      <w:r w:rsidRPr="000341D9">
        <w:rPr>
          <w:rFonts w:ascii="Times New Roman" w:hAnsi="Times New Roman" w:cs="Times New Roman"/>
          <w:b/>
          <w:szCs w:val="24"/>
        </w:rPr>
        <w:t xml:space="preserve">Table </w:t>
      </w:r>
      <w:r w:rsidR="007D60B0" w:rsidRPr="000341D9">
        <w:rPr>
          <w:rFonts w:ascii="Times New Roman" w:hAnsi="Times New Roman" w:cs="Times New Roman"/>
          <w:b/>
          <w:szCs w:val="24"/>
        </w:rPr>
        <w:t>S3</w:t>
      </w:r>
      <w:r w:rsidR="00EF22A4" w:rsidRPr="000341D9">
        <w:rPr>
          <w:rFonts w:ascii="Times New Roman" w:hAnsi="Times New Roman" w:cs="Times New Roman"/>
          <w:b/>
          <w:szCs w:val="24"/>
        </w:rPr>
        <w:t xml:space="preserve">. </w:t>
      </w:r>
      <w:r w:rsidR="00EF22A4" w:rsidRPr="000341D9">
        <w:rPr>
          <w:rFonts w:ascii="Times New Roman" w:eastAsia="新細明體" w:hAnsi="Times New Roman" w:cs="Times New Roman"/>
          <w:b/>
          <w:bCs/>
          <w:color w:val="000000"/>
          <w:kern w:val="0"/>
          <w:szCs w:val="24"/>
        </w:rPr>
        <w:t>Characteristics</w:t>
      </w:r>
      <w:r w:rsidR="00EF22A4" w:rsidRPr="000341D9">
        <w:rPr>
          <w:rFonts w:ascii="Times New Roman" w:hAnsi="Times New Roman" w:cs="Times New Roman"/>
          <w:b/>
          <w:szCs w:val="24"/>
        </w:rPr>
        <w:t xml:space="preserve"> of ARDS patients between </w:t>
      </w:r>
      <w:r w:rsidR="00EF22A4" w:rsidRPr="000341D9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DP</w:t>
      </w:r>
      <w:proofErr w:type="gramStart"/>
      <w:r w:rsidR="00EF22A4" w:rsidRPr="000341D9">
        <w:rPr>
          <w:rFonts w:ascii="Times New Roman" w:eastAsia="新細明體" w:hAnsi="新細明體" w:cs="Times New Roman"/>
          <w:b/>
          <w:color w:val="000000"/>
          <w:kern w:val="0"/>
          <w:szCs w:val="24"/>
        </w:rPr>
        <w:t>≦</w:t>
      </w:r>
      <w:proofErr w:type="gramEnd"/>
      <w:r w:rsidR="00EF22A4" w:rsidRPr="000341D9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14 and DP</w:t>
      </w:r>
      <w:r w:rsidR="00EF22A4" w:rsidRPr="000341D9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＞</w:t>
      </w:r>
      <w:r w:rsidR="00EF22A4" w:rsidRPr="000341D9">
        <w:rPr>
          <w:rFonts w:ascii="Times New Roman" w:eastAsia="新細明體" w:hAnsi="Times New Roman" w:cs="Times New Roman"/>
          <w:b/>
          <w:color w:val="000000"/>
          <w:kern w:val="0"/>
          <w:szCs w:val="24"/>
        </w:rPr>
        <w:t>14</w:t>
      </w:r>
    </w:p>
    <w:p w:rsidR="003B063A" w:rsidRDefault="003B063A"/>
    <w:tbl>
      <w:tblPr>
        <w:tblW w:w="9875" w:type="dxa"/>
        <w:tblInd w:w="-539" w:type="dxa"/>
        <w:tblCellMar>
          <w:left w:w="28" w:type="dxa"/>
          <w:right w:w="28" w:type="dxa"/>
        </w:tblCellMar>
        <w:tblLook w:val="04A0"/>
      </w:tblPr>
      <w:tblGrid>
        <w:gridCol w:w="3115"/>
        <w:gridCol w:w="1720"/>
        <w:gridCol w:w="1760"/>
        <w:gridCol w:w="1860"/>
        <w:gridCol w:w="1420"/>
      </w:tblGrid>
      <w:tr w:rsidR="00AE29D6" w:rsidRPr="003B063A" w:rsidTr="00DC4155">
        <w:trPr>
          <w:trHeight w:val="330"/>
        </w:trPr>
        <w:tc>
          <w:tcPr>
            <w:tcW w:w="3115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AE29D6">
            <w:pPr>
              <w:widowControl/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bCs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720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All</w:t>
            </w:r>
          </w:p>
        </w:tc>
        <w:tc>
          <w:tcPr>
            <w:tcW w:w="176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DP</w:t>
            </w:r>
            <w:proofErr w:type="gramStart"/>
            <w:r w:rsidRPr="003B063A">
              <w:rPr>
                <w:rFonts w:ascii="新細明體" w:eastAsia="新細明體" w:hAnsi="新細明體" w:cs="Arial" w:hint="eastAsia"/>
                <w:b/>
                <w:color w:val="000000"/>
                <w:kern w:val="0"/>
                <w:sz w:val="18"/>
                <w:szCs w:val="18"/>
              </w:rPr>
              <w:t>≦</w:t>
            </w:r>
            <w:proofErr w:type="gramEnd"/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6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DP</w:t>
            </w:r>
            <w:r w:rsidRPr="003B063A">
              <w:rPr>
                <w:rFonts w:ascii="新細明體" w:eastAsia="新細明體" w:hAnsi="新細明體" w:cs="Arial" w:hint="eastAsia"/>
                <w:b/>
                <w:color w:val="000000"/>
                <w:kern w:val="0"/>
                <w:sz w:val="18"/>
                <w:szCs w:val="18"/>
              </w:rPr>
              <w:t>＞</w:t>
            </w: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420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AE29D6">
            <w:pPr>
              <w:widowControl/>
              <w:jc w:val="center"/>
              <w:rPr>
                <w:rFonts w:ascii="Arial" w:eastAsia="新細明體" w:hAnsi="Arial" w:cs="Arial"/>
                <w:b/>
                <w:i/>
                <w:iCs/>
                <w:color w:val="000000"/>
                <w:kern w:val="0"/>
                <w:sz w:val="18"/>
                <w:szCs w:val="18"/>
              </w:rPr>
            </w:pPr>
            <w:r w:rsidRPr="00EF22A4">
              <w:rPr>
                <w:rFonts w:ascii="Arial" w:eastAsia="新細明體" w:hAnsi="Arial" w:cs="Arial"/>
                <w:b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EF22A4">
              <w:rPr>
                <w:rFonts w:ascii="Arial" w:eastAsia="新細明體" w:hAnsi="Arial" w:cs="Arial" w:hint="eastAsia"/>
                <w:b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3B063A">
              <w:rPr>
                <w:rFonts w:ascii="Arial" w:eastAsia="新細明體" w:hAnsi="Arial" w:cs="Arial"/>
                <w:b/>
                <w:iCs/>
                <w:color w:val="000000"/>
                <w:kern w:val="0"/>
                <w:sz w:val="18"/>
                <w:szCs w:val="18"/>
              </w:rPr>
              <w:t>Value</w:t>
            </w:r>
            <w:r w:rsidR="00274369" w:rsidRPr="00274369">
              <w:rPr>
                <w:rFonts w:ascii="Arial" w:eastAsia="新細明體" w:hAnsi="Arial" w:cs="Arial" w:hint="eastAsia"/>
                <w:b/>
                <w:i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AE29D6" w:rsidRPr="003B063A" w:rsidTr="00DC4155">
        <w:trPr>
          <w:trHeight w:val="330"/>
        </w:trPr>
        <w:tc>
          <w:tcPr>
            <w:tcW w:w="3115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N=370</w:t>
            </w:r>
          </w:p>
        </w:tc>
        <w:tc>
          <w:tcPr>
            <w:tcW w:w="176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2521B4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N=211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2521B4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/318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</w:t>
            </w:r>
            <w:r w:rsidR="002521B4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66.4%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6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2521B4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N=107</w:t>
            </w:r>
            <w:r w:rsidR="002521B4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/318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</w:t>
            </w:r>
            <w:r w:rsidR="002521B4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33.6%</w:t>
            </w:r>
            <w:r w:rsidR="00884931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20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1720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67.7 ± 16.9</w:t>
            </w:r>
          </w:p>
        </w:tc>
        <w:tc>
          <w:tcPr>
            <w:tcW w:w="176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68.6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15.8</w:t>
            </w:r>
          </w:p>
        </w:tc>
        <w:tc>
          <w:tcPr>
            <w:tcW w:w="186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67.2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±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18.8</w:t>
            </w:r>
          </w:p>
        </w:tc>
        <w:tc>
          <w:tcPr>
            <w:tcW w:w="142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0.486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Male, No. (%)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252 (68.1%)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141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(66.8%)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74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(69.2%)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0.674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BMI (kg/m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23.7 ± 4.9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23.7 ± 4.9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24.4 ± 5.2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41191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0.220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Admission source, No. (%)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14E47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814E47" w:rsidRPr="003B063A" w:rsidRDefault="00814E47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Emergency Room (ER)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303 (81.9%)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172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(81.5%)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92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(86.0%)</w:t>
            </w:r>
          </w:p>
        </w:tc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814E47" w:rsidRPr="003B063A" w:rsidRDefault="00814E47" w:rsidP="00814E47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0.604</w:t>
            </w:r>
          </w:p>
        </w:tc>
      </w:tr>
      <w:tr w:rsidR="00814E47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814E47" w:rsidRPr="003B063A" w:rsidRDefault="00814E47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Non-Emergency Room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67 (18.1%)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(18.5%)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(14.0%)</w:t>
            </w:r>
          </w:p>
        </w:tc>
        <w:tc>
          <w:tcPr>
            <w:tcW w:w="1420" w:type="dxa"/>
            <w:vMerge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Type of ICU, No. (%)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14E47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814E47" w:rsidRPr="003B063A" w:rsidRDefault="00814E47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Medical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295 (79.7%)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178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(84.4%)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77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(72.0%)</w:t>
            </w:r>
          </w:p>
        </w:tc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814E47" w:rsidRPr="003B063A" w:rsidRDefault="00814E47" w:rsidP="00814E47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0.009</w:t>
            </w:r>
          </w:p>
        </w:tc>
      </w:tr>
      <w:tr w:rsidR="00814E47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814E47" w:rsidRPr="003B063A" w:rsidRDefault="00814E47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Surgical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75 (20.3%)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33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(15.6%)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(28.0%)</w:t>
            </w:r>
          </w:p>
        </w:tc>
        <w:tc>
          <w:tcPr>
            <w:tcW w:w="1420" w:type="dxa"/>
            <w:vMerge/>
            <w:shd w:val="clear" w:color="auto" w:fill="auto"/>
            <w:noWrap/>
            <w:vAlign w:val="center"/>
            <w:hideMark/>
          </w:tcPr>
          <w:p w:rsidR="00814E47" w:rsidRPr="003B063A" w:rsidRDefault="00814E47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Severity scores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APACHE </w:t>
            </w:r>
            <w:proofErr w:type="spellStart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ll</w:t>
            </w:r>
            <w:proofErr w:type="spellEnd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 score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28.0 ± 6.9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27.7 ± 6.8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28.7 ± 6.8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0.192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SOFA score, Day 1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10.3 ± 3.5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10.0 ± 3.4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10.9 ± 3.7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0.030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SOFA score, Day 3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C2620D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9.3 ± 4.</w:t>
            </w:r>
            <w:r w:rsidR="00C2620D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8.8 ± 3.9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9.8 ± 4.7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0.056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SOFA score, Day 7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7.7 ± 4.2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7.3 ± 4.0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8.0 ± 4.7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0.254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ARDS Hypoxia severity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C4155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DC4155" w:rsidRPr="003B063A" w:rsidRDefault="00DC4155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Mild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103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(27.8%)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(32.2%)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27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(28.4%)</w:t>
            </w:r>
          </w:p>
        </w:tc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DC4155" w:rsidRPr="003B063A" w:rsidRDefault="00DC4155" w:rsidP="00DC4155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0.432</w:t>
            </w:r>
          </w:p>
          <w:p w:rsidR="00DC4155" w:rsidRPr="003B063A" w:rsidRDefault="00DC4155" w:rsidP="003B063A">
            <w:pPr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C4155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DC4155" w:rsidRPr="003B063A" w:rsidRDefault="00DC4155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Moderate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196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(53%)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105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(49.8%)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58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(35.6%)</w:t>
            </w:r>
          </w:p>
        </w:tc>
        <w:tc>
          <w:tcPr>
            <w:tcW w:w="1420" w:type="dxa"/>
            <w:vMerge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4155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DC4155" w:rsidRPr="003B063A" w:rsidRDefault="00DC4155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Severe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71 (19.2%)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(18.0%)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(36.7%)</w:t>
            </w:r>
          </w:p>
        </w:tc>
        <w:tc>
          <w:tcPr>
            <w:tcW w:w="1420" w:type="dxa"/>
            <w:vMerge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DC4155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DC4155" w:rsidRPr="003B063A" w:rsidRDefault="00DC4155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Comorbidities</w:t>
            </w:r>
            <w:proofErr w:type="spellEnd"/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, No. (%)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vMerge/>
            <w:shd w:val="clear" w:color="auto" w:fill="auto"/>
            <w:noWrap/>
            <w:vAlign w:val="center"/>
            <w:hideMark/>
          </w:tcPr>
          <w:p w:rsidR="00DC4155" w:rsidRPr="003B063A" w:rsidRDefault="00DC4155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Cardiovascular disease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102 (27.6%)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59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(65.6%)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(34.4%)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0.850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Cerebrovascular</w:t>
            </w:r>
            <w:proofErr w:type="spellEnd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 disease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75 (20.3%)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47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(69.1%)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(30.9%)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0.586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Dementia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26 (7.0%)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(65.4%)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(34.6%)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0.913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Chronic pulmonary disease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76 (20.5%)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42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(68.9%)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(31.3%)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0.646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Rheumatic disease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30 (8.1%)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(70.8%)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(29.2%)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0.629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Hepatic disease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67 (18.1%)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36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(66.7%)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(33.3%)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0.957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Diabetes mellitus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145 (39.2%)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(68.8%)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(31.3%)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0.458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Renal disease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127 (34.3%)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(64.5%)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(35.5%)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0.620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Malignancy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141 (38.1%)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72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(60.0%)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(40.0%)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0.062</w:t>
            </w:r>
          </w:p>
        </w:tc>
      </w:tr>
      <w:tr w:rsidR="003B063A" w:rsidRPr="003B063A" w:rsidTr="00DC4155">
        <w:trPr>
          <w:trHeight w:val="48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Charlson</w:t>
            </w:r>
            <w:proofErr w:type="spellEnd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Comorbidity</w:t>
            </w:r>
            <w:proofErr w:type="spellEnd"/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 Index (CCI)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3.6 ± 2.9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3.6 ± 2.8</w:t>
            </w:r>
          </w:p>
        </w:tc>
        <w:tc>
          <w:tcPr>
            <w:tcW w:w="186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3.9 ± 3.2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0.378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Etiology of ARDS, No. (%)</w:t>
            </w: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Pulmonary, No. (%)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100" w:firstLine="18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Pneumonia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255 (68.9%)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145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(68.7%)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76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(71.0%)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0.673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100" w:firstLine="18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Aspiration 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37 (10.0%)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(10.9%)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(7.5%)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0.331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100" w:firstLine="18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Pulmonary contusion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6 (1.6%)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(1.4%)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(1.9%)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0.762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firstLineChars="50" w:firstLine="90"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lastRenderedPageBreak/>
              <w:t>Extrapulmonary</w:t>
            </w:r>
            <w:proofErr w:type="spellEnd"/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, No. (%)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B063A" w:rsidRPr="003B063A" w:rsidTr="00DC4155">
        <w:trPr>
          <w:trHeight w:val="48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A781E">
            <w:pPr>
              <w:widowControl/>
              <w:ind w:leftChars="102" w:left="245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Sepsis (non-pulmonary source)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48 (13%)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24</w:t>
            </w:r>
            <w:r w:rsidR="00F54982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(11.4%)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16</w:t>
            </w:r>
            <w:r w:rsidR="00F54982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(15.0%)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0.363</w:t>
            </w:r>
          </w:p>
        </w:tc>
      </w:tr>
      <w:tr w:rsidR="003B063A" w:rsidRPr="003B063A" w:rsidTr="00DC4155">
        <w:trPr>
          <w:trHeight w:val="48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EB3BD5">
            <w:pPr>
              <w:widowControl/>
              <w:ind w:leftChars="100" w:left="24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Trauma or hemorrhagic shock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 (1.1%)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</w:t>
            </w:r>
            <w:r w:rsidR="00F54982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(0.9%)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1(0.9%)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0.991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EB3BD5">
            <w:pPr>
              <w:widowControl/>
              <w:ind w:firstLineChars="100" w:firstLine="18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Pancreatitis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4 (1.1%)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</w:t>
            </w:r>
            <w:r w:rsidR="00F54982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(0.9%)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</w:t>
            </w:r>
            <w:r w:rsidR="00F54982"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(1.9%)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0.486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EB3BD5">
            <w:pPr>
              <w:widowControl/>
              <w:ind w:firstLineChars="100" w:firstLine="18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TRALI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10 (2.7%)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8(3.8%)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1(0.9%)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0.147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Clinical outcomes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EB3BD5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ICU length of stay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13 (8-22)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(8-21)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(8-24)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0.630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EB3BD5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Hospital length of stay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29.5 (18-46)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29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(18-44)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33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(18-51)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0.153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vAlign w:val="center"/>
            <w:hideMark/>
          </w:tcPr>
          <w:p w:rsidR="003B063A" w:rsidRPr="003B063A" w:rsidRDefault="003B063A" w:rsidP="00EB3BD5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Ventilator-day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13 (7-24)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(7-21)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(7-28)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0.170</w:t>
            </w:r>
          </w:p>
        </w:tc>
      </w:tr>
      <w:tr w:rsidR="003B063A" w:rsidRPr="003B063A" w:rsidTr="00DC4155">
        <w:trPr>
          <w:trHeight w:val="330"/>
        </w:trPr>
        <w:tc>
          <w:tcPr>
            <w:tcW w:w="3115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b/>
                <w:color w:val="000000"/>
                <w:kern w:val="0"/>
                <w:sz w:val="18"/>
                <w:szCs w:val="18"/>
              </w:rPr>
              <w:t>Discharge Status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B063A" w:rsidRPr="003B063A" w:rsidRDefault="003B063A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29D6" w:rsidRPr="003B063A" w:rsidTr="00DC4155">
        <w:trPr>
          <w:trHeight w:val="330"/>
        </w:trPr>
        <w:tc>
          <w:tcPr>
            <w:tcW w:w="3115" w:type="dxa"/>
            <w:shd w:val="clear" w:color="auto" w:fill="auto"/>
            <w:noWrap/>
            <w:vAlign w:val="center"/>
            <w:hideMark/>
          </w:tcPr>
          <w:p w:rsidR="00AE29D6" w:rsidRPr="003B063A" w:rsidRDefault="00AE29D6" w:rsidP="00EB3BD5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Survival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214 (57.8%)</w:t>
            </w:r>
          </w:p>
        </w:tc>
        <w:tc>
          <w:tcPr>
            <w:tcW w:w="1760" w:type="dxa"/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140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(66.4%)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(47.7%)</w:t>
            </w:r>
          </w:p>
        </w:tc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AE29D6" w:rsidRPr="003B063A" w:rsidRDefault="00AE29D6" w:rsidP="00AE29D6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AE29D6" w:rsidRPr="003B063A" w:rsidTr="00DC4155">
        <w:trPr>
          <w:trHeight w:val="330"/>
        </w:trPr>
        <w:tc>
          <w:tcPr>
            <w:tcW w:w="3115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EB3BD5">
            <w:pPr>
              <w:widowControl/>
              <w:ind w:firstLineChars="50" w:firstLine="90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Mortality</w:t>
            </w:r>
          </w:p>
        </w:tc>
        <w:tc>
          <w:tcPr>
            <w:tcW w:w="172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156 (42.2%)</w:t>
            </w:r>
          </w:p>
        </w:tc>
        <w:tc>
          <w:tcPr>
            <w:tcW w:w="176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71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(33.6%)</w:t>
            </w:r>
          </w:p>
        </w:tc>
        <w:tc>
          <w:tcPr>
            <w:tcW w:w="186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56</w:t>
            </w:r>
            <w:r>
              <w:rPr>
                <w:rFonts w:ascii="Arial" w:eastAsia="新細明體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B063A"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  <w:t>(52.3%)</w:t>
            </w:r>
          </w:p>
        </w:tc>
        <w:tc>
          <w:tcPr>
            <w:tcW w:w="1420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AE29D6" w:rsidRPr="003B063A" w:rsidRDefault="00AE29D6" w:rsidP="003B063A">
            <w:pPr>
              <w:widowControl/>
              <w:jc w:val="center"/>
              <w:rPr>
                <w:rFonts w:ascii="Arial" w:eastAsia="新細明體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3B063A" w:rsidRDefault="003B063A" w:rsidP="003B063A">
      <w:pPr>
        <w:ind w:leftChars="-118" w:left="-283"/>
      </w:pPr>
    </w:p>
    <w:p w:rsidR="00274369" w:rsidRPr="008E76EA" w:rsidRDefault="00274369" w:rsidP="00274369">
      <w:pPr>
        <w:ind w:leftChars="-354" w:left="-850" w:rightChars="-82" w:right="-197"/>
        <w:rPr>
          <w:rFonts w:ascii="Times New Roman" w:hAnsi="Times New Roman" w:cs="Times New Roman"/>
          <w:sz w:val="18"/>
          <w:szCs w:val="18"/>
        </w:rPr>
      </w:pPr>
      <w:r w:rsidRPr="008E76EA">
        <w:rPr>
          <w:rFonts w:ascii="Times New Roman" w:hAnsi="Times New Roman" w:cs="Times New Roman"/>
          <w:sz w:val="18"/>
          <w:szCs w:val="18"/>
        </w:rPr>
        <w:t xml:space="preserve">Abbreviations: </w:t>
      </w:r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ARDS, acute respiratory distress syndrome</w:t>
      </w:r>
      <w:r w:rsidRPr="008E76EA">
        <w:rPr>
          <w:rFonts w:ascii="Times New Roman" w:eastAsia="DFKai-SB" w:hAnsi="Times New Roman" w:cs="Times New Roman"/>
          <w:sz w:val="18"/>
          <w:szCs w:val="18"/>
        </w:rPr>
        <w:t xml:space="preserve">; </w:t>
      </w:r>
      <w:r w:rsidRPr="008E76EA">
        <w:rPr>
          <w:rFonts w:ascii="Times New Roman" w:eastAsia="PMingLiU" w:hAnsi="Times New Roman" w:cs="Times New Roman"/>
          <w:color w:val="000000"/>
          <w:kern w:val="0"/>
          <w:sz w:val="18"/>
          <w:szCs w:val="18"/>
        </w:rPr>
        <w:t>BMI,</w:t>
      </w:r>
      <w:r w:rsidRPr="008E76EA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Body Mass Index</w:t>
      </w:r>
      <w:r w:rsidRPr="008E76EA">
        <w:rPr>
          <w:rFonts w:ascii="Times New Roman" w:eastAsia="DFKai-SB" w:hAnsi="Times New Roman" w:cs="Times New Roman"/>
          <w:i/>
          <w:sz w:val="18"/>
          <w:szCs w:val="18"/>
        </w:rPr>
        <w:t xml:space="preserve">; </w:t>
      </w:r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ICU, intensive care unit; </w:t>
      </w:r>
      <w:r w:rsidRPr="008E76EA">
        <w:rPr>
          <w:rFonts w:ascii="Times New Roman" w:eastAsia="DFKai-SB" w:hAnsi="Times New Roman" w:cs="Times New Roman"/>
          <w:sz w:val="18"/>
          <w:szCs w:val="18"/>
        </w:rPr>
        <w:t>APCHE II,</w:t>
      </w:r>
      <w:r w:rsidRPr="008E76EA">
        <w:rPr>
          <w:rFonts w:ascii="Times New Roman" w:hAnsi="Times New Roman" w:cs="Times New Roman"/>
          <w:sz w:val="18"/>
          <w:szCs w:val="18"/>
        </w:rPr>
        <w:t xml:space="preserve"> </w:t>
      </w:r>
      <w:r w:rsidRPr="008E76EA">
        <w:rPr>
          <w:rFonts w:ascii="Times New Roman" w:eastAsia="DFKai-SB" w:hAnsi="Times New Roman" w:cs="Times New Roman"/>
          <w:sz w:val="18"/>
          <w:szCs w:val="18"/>
          <w:lang w:val="en-CA"/>
        </w:rPr>
        <w:t>Acute Physiology And Chronic Health Evaluation II; SOFA, The sequential organ failure assessment score;</w:t>
      </w:r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 CCI, </w:t>
      </w:r>
      <w:proofErr w:type="spellStart"/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Charlson</w:t>
      </w:r>
      <w:proofErr w:type="spellEnd"/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comorbidity</w:t>
      </w:r>
      <w:proofErr w:type="spellEnd"/>
      <w:r w:rsidRPr="008E76EA">
        <w:rPr>
          <w:rStyle w:val="a7"/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 index; </w:t>
      </w:r>
      <w:r w:rsidRPr="008E76EA">
        <w:rPr>
          <w:rFonts w:ascii="Times New Roman" w:eastAsia="DFKai-SB" w:hAnsi="Times New Roman" w:cs="Times New Roman"/>
          <w:sz w:val="18"/>
          <w:szCs w:val="18"/>
        </w:rPr>
        <w:t>TRALI, transfusion-related acute lung injury;</w:t>
      </w:r>
      <w:r w:rsidRPr="008E76EA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8E76EA">
        <w:rPr>
          <w:rFonts w:ascii="Times New Roman" w:hAnsi="Times New Roman" w:cs="Times New Roman"/>
          <w:sz w:val="18"/>
          <w:szCs w:val="18"/>
        </w:rPr>
        <w:t>sd</w:t>
      </w:r>
      <w:proofErr w:type="spellEnd"/>
      <w:r w:rsidRPr="008E76EA">
        <w:rPr>
          <w:rFonts w:ascii="Times New Roman" w:hAnsi="Times New Roman" w:cs="Times New Roman"/>
          <w:sz w:val="18"/>
          <w:szCs w:val="18"/>
        </w:rPr>
        <w:t xml:space="preserve"> , standard deviation</w:t>
      </w:r>
      <w:r w:rsidRPr="008E76EA">
        <w:rPr>
          <w:rFonts w:ascii="Times New Roman" w:eastAsia="DFKai-SB" w:hAnsi="Times New Roman" w:cs="Times New Roman"/>
          <w:sz w:val="18"/>
          <w:szCs w:val="18"/>
          <w:lang w:val="en-CA"/>
        </w:rPr>
        <w:t>;</w:t>
      </w:r>
      <w:r w:rsidRPr="008E76EA">
        <w:rPr>
          <w:rFonts w:ascii="Times New Roman" w:hAnsi="Times New Roman" w:cs="Times New Roman"/>
          <w:sz w:val="18"/>
          <w:szCs w:val="18"/>
        </w:rPr>
        <w:t xml:space="preserve"> </w:t>
      </w:r>
      <w:r w:rsidRPr="008E76EA">
        <w:rPr>
          <w:rFonts w:ascii="Times New Roman" w:eastAsia="標楷體" w:hAnsi="Times New Roman" w:cs="Times New Roman"/>
          <w:sz w:val="18"/>
          <w:szCs w:val="18"/>
        </w:rPr>
        <w:t>IQR (</w:t>
      </w:r>
      <w:proofErr w:type="spellStart"/>
      <w:r w:rsidRPr="008E76EA">
        <w:rPr>
          <w:rFonts w:ascii="Times New Roman" w:eastAsia="標楷體" w:hAnsi="Times New Roman" w:cs="Times New Roman"/>
          <w:sz w:val="18"/>
          <w:szCs w:val="18"/>
        </w:rPr>
        <w:t>interquartile</w:t>
      </w:r>
      <w:proofErr w:type="spellEnd"/>
      <w:r w:rsidRPr="008E76EA">
        <w:rPr>
          <w:rFonts w:ascii="Times New Roman" w:eastAsia="標楷體" w:hAnsi="Times New Roman" w:cs="Times New Roman"/>
          <w:sz w:val="18"/>
          <w:szCs w:val="18"/>
        </w:rPr>
        <w:t xml:space="preserve"> range)</w:t>
      </w:r>
      <w:r w:rsidR="009A6115" w:rsidRPr="008E76EA">
        <w:rPr>
          <w:rFonts w:ascii="Times New Roman" w:eastAsia="DFKai-SB" w:hAnsi="Times New Roman" w:cs="Times New Roman"/>
          <w:sz w:val="18"/>
          <w:szCs w:val="18"/>
          <w:lang w:val="en-CA"/>
        </w:rPr>
        <w:t xml:space="preserve"> ;</w:t>
      </w:r>
      <w:r w:rsidR="009A6115" w:rsidRPr="008E76EA">
        <w:rPr>
          <w:rFonts w:ascii="Times New Roman" w:hAnsi="Times New Roman" w:cs="Times New Roman"/>
          <w:sz w:val="18"/>
          <w:szCs w:val="18"/>
          <w:lang w:val="en-CA"/>
        </w:rPr>
        <w:t>DP, driving pressure</w:t>
      </w:r>
      <w:r w:rsidRPr="008E76EA">
        <w:rPr>
          <w:rFonts w:ascii="Times New Roman" w:eastAsia="標楷體" w:hAnsi="Times New Roman" w:cs="Times New Roman"/>
          <w:sz w:val="18"/>
          <w:szCs w:val="18"/>
        </w:rPr>
        <w:t>.</w:t>
      </w:r>
    </w:p>
    <w:p w:rsidR="00274369" w:rsidRPr="008E76EA" w:rsidRDefault="00274369" w:rsidP="00274369">
      <w:pPr>
        <w:ind w:leftChars="-354" w:left="-850"/>
        <w:rPr>
          <w:rFonts w:ascii="Times New Roman" w:hAnsi="Times New Roman" w:cs="Times New Roman"/>
          <w:sz w:val="18"/>
          <w:szCs w:val="18"/>
        </w:rPr>
      </w:pPr>
      <w:r w:rsidRPr="008E76EA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8E76EA">
        <w:rPr>
          <w:rFonts w:ascii="Times New Roman" w:hAnsi="Times New Roman" w:cs="Times New Roman"/>
          <w:i/>
          <w:sz w:val="18"/>
          <w:szCs w:val="18"/>
        </w:rPr>
        <w:t xml:space="preserve"> P</w:t>
      </w:r>
      <w:r w:rsidRPr="008E76EA">
        <w:rPr>
          <w:rFonts w:ascii="Times New Roman" w:hAnsi="Times New Roman" w:cs="Times New Roman"/>
          <w:sz w:val="18"/>
          <w:szCs w:val="18"/>
        </w:rPr>
        <w:t xml:space="preserve"> value represents comparisons between the </w:t>
      </w:r>
      <w:r w:rsidRPr="008E76EA">
        <w:rPr>
          <w:rFonts w:ascii="Times New Roman" w:eastAsia="新細明體" w:hAnsi="Times New Roman" w:cs="Times New Roman"/>
          <w:color w:val="000000"/>
          <w:kern w:val="0"/>
          <w:sz w:val="18"/>
          <w:szCs w:val="18"/>
        </w:rPr>
        <w:t>DP</w:t>
      </w:r>
      <w:proofErr w:type="gramStart"/>
      <w:r w:rsidRPr="008E76EA">
        <w:rPr>
          <w:rFonts w:ascii="Times New Roman" w:eastAsia="新細明體" w:hAnsi="新細明體" w:cs="Times New Roman"/>
          <w:color w:val="000000"/>
          <w:kern w:val="0"/>
          <w:sz w:val="18"/>
          <w:szCs w:val="18"/>
        </w:rPr>
        <w:t>≦</w:t>
      </w:r>
      <w:proofErr w:type="gramEnd"/>
      <w:r w:rsidRPr="008E76EA">
        <w:rPr>
          <w:rFonts w:ascii="Times New Roman" w:eastAsia="新細明體" w:hAnsi="Times New Roman" w:cs="Times New Roman"/>
          <w:color w:val="000000"/>
          <w:kern w:val="0"/>
          <w:sz w:val="18"/>
          <w:szCs w:val="18"/>
        </w:rPr>
        <w:t>14 and DP</w:t>
      </w:r>
      <w:r w:rsidRPr="008E76EA">
        <w:rPr>
          <w:rFonts w:ascii="Times New Roman" w:eastAsia="新細明體" w:hAnsi="Arial" w:cs="Times New Roman"/>
          <w:color w:val="000000"/>
          <w:kern w:val="0"/>
          <w:sz w:val="18"/>
          <w:szCs w:val="18"/>
        </w:rPr>
        <w:t>＞</w:t>
      </w:r>
      <w:r w:rsidRPr="008E76EA">
        <w:rPr>
          <w:rFonts w:ascii="Times New Roman" w:eastAsia="新細明體" w:hAnsi="Times New Roman" w:cs="Times New Roman"/>
          <w:color w:val="000000"/>
          <w:kern w:val="0"/>
          <w:sz w:val="18"/>
          <w:szCs w:val="18"/>
        </w:rPr>
        <w:t>14</w:t>
      </w:r>
      <w:r w:rsidRPr="008E76EA">
        <w:rPr>
          <w:rFonts w:ascii="Times New Roman" w:hAnsi="Times New Roman" w:cs="Times New Roman"/>
          <w:sz w:val="18"/>
          <w:szCs w:val="18"/>
        </w:rPr>
        <w:t xml:space="preserve"> ARDS patients.</w:t>
      </w:r>
    </w:p>
    <w:p w:rsidR="00274369" w:rsidRPr="00A967FF" w:rsidRDefault="00274369" w:rsidP="00274369"/>
    <w:p w:rsidR="00851F16" w:rsidRPr="00274369" w:rsidRDefault="00851F16" w:rsidP="003B063A">
      <w:pPr>
        <w:ind w:leftChars="-118" w:left="-283"/>
      </w:pPr>
    </w:p>
    <w:sectPr w:rsidR="00851F16" w:rsidRPr="00274369" w:rsidSect="007E059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C76" w:rsidRDefault="00743C76" w:rsidP="00851F16">
      <w:r>
        <w:separator/>
      </w:r>
    </w:p>
  </w:endnote>
  <w:endnote w:type="continuationSeparator" w:id="0">
    <w:p w:rsidR="00743C76" w:rsidRDefault="00743C76" w:rsidP="00851F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Kai-SB">
    <w:altName w:val="Microsoft YaHe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C76" w:rsidRDefault="00743C76" w:rsidP="00851F16">
      <w:r>
        <w:separator/>
      </w:r>
    </w:p>
  </w:footnote>
  <w:footnote w:type="continuationSeparator" w:id="0">
    <w:p w:rsidR="00743C76" w:rsidRDefault="00743C76" w:rsidP="00851F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63A"/>
    <w:rsid w:val="000341D9"/>
    <w:rsid w:val="002109CC"/>
    <w:rsid w:val="002521B4"/>
    <w:rsid w:val="00274369"/>
    <w:rsid w:val="00292109"/>
    <w:rsid w:val="00340BAA"/>
    <w:rsid w:val="003A781E"/>
    <w:rsid w:val="003B063A"/>
    <w:rsid w:val="003C3729"/>
    <w:rsid w:val="0041191A"/>
    <w:rsid w:val="004752F0"/>
    <w:rsid w:val="004C768B"/>
    <w:rsid w:val="004F4E35"/>
    <w:rsid w:val="00503894"/>
    <w:rsid w:val="00625CC9"/>
    <w:rsid w:val="0065262E"/>
    <w:rsid w:val="006A17EA"/>
    <w:rsid w:val="006B4A39"/>
    <w:rsid w:val="00743C76"/>
    <w:rsid w:val="00747605"/>
    <w:rsid w:val="007D60B0"/>
    <w:rsid w:val="007E059C"/>
    <w:rsid w:val="00814E47"/>
    <w:rsid w:val="00851F16"/>
    <w:rsid w:val="00884931"/>
    <w:rsid w:val="008E76EA"/>
    <w:rsid w:val="00925868"/>
    <w:rsid w:val="0096003C"/>
    <w:rsid w:val="009A5C4E"/>
    <w:rsid w:val="009A6115"/>
    <w:rsid w:val="00A1067C"/>
    <w:rsid w:val="00AE29D6"/>
    <w:rsid w:val="00C2620D"/>
    <w:rsid w:val="00DB1605"/>
    <w:rsid w:val="00DC4155"/>
    <w:rsid w:val="00EB3BD5"/>
    <w:rsid w:val="00EF22A4"/>
    <w:rsid w:val="00F54982"/>
    <w:rsid w:val="00FD2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59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51F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851F16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851F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851F16"/>
    <w:rPr>
      <w:sz w:val="20"/>
      <w:szCs w:val="20"/>
    </w:rPr>
  </w:style>
  <w:style w:type="character" w:styleId="a7">
    <w:name w:val="Emphasis"/>
    <w:basedOn w:val="a0"/>
    <w:uiPriority w:val="20"/>
    <w:qFormat/>
    <w:rsid w:val="00274369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2521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2521B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3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VGH00</dc:creator>
  <cp:lastModifiedBy>VGH00</cp:lastModifiedBy>
  <cp:revision>2</cp:revision>
  <dcterms:created xsi:type="dcterms:W3CDTF">2022-09-01T02:57:00Z</dcterms:created>
  <dcterms:modified xsi:type="dcterms:W3CDTF">2022-09-01T02:57:00Z</dcterms:modified>
</cp:coreProperties>
</file>