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2D7E9" w14:textId="77777777" w:rsidR="00C155F5" w:rsidRPr="000B019A" w:rsidRDefault="00C155F5" w:rsidP="00C155F5">
      <w:pPr>
        <w:spacing w:line="480" w:lineRule="auto"/>
        <w:rPr>
          <w:rFonts w:ascii="Times" w:hAnsi="Times" w:cs="Times"/>
          <w:szCs w:val="21"/>
        </w:rPr>
      </w:pPr>
      <w:r w:rsidRPr="000B019A">
        <w:rPr>
          <w:rFonts w:ascii="Times" w:hAnsi="Times" w:cs="Times"/>
          <w:b/>
          <w:bCs/>
          <w:szCs w:val="21"/>
        </w:rPr>
        <w:t>Supplementary Table. 2</w:t>
      </w:r>
      <w:r w:rsidRPr="000B019A">
        <w:rPr>
          <w:rFonts w:ascii="Times" w:hAnsi="Times" w:cs="Times"/>
          <w:szCs w:val="21"/>
        </w:rPr>
        <w:t xml:space="preserve"> </w:t>
      </w:r>
      <w:bookmarkStart w:id="0" w:name="_Hlk111034914"/>
      <w:r w:rsidRPr="0017287F">
        <w:rPr>
          <w:rFonts w:ascii="Times" w:hAnsi="Times" w:cs="Times"/>
          <w:szCs w:val="21"/>
        </w:rPr>
        <w:t xml:space="preserve">Effect of supplemental </w:t>
      </w:r>
      <w:bookmarkStart w:id="1" w:name="_Hlk111033332"/>
      <w:r w:rsidRPr="0017287F">
        <w:rPr>
          <w:rFonts w:ascii="Times" w:hAnsi="Times" w:cs="Times"/>
          <w:i/>
          <w:iCs/>
          <w:szCs w:val="21"/>
        </w:rPr>
        <w:t xml:space="preserve">C. </w:t>
      </w:r>
      <w:proofErr w:type="spellStart"/>
      <w:r w:rsidRPr="0017287F">
        <w:rPr>
          <w:rFonts w:ascii="Times" w:hAnsi="Times" w:cs="Times"/>
          <w:i/>
          <w:iCs/>
          <w:szCs w:val="21"/>
        </w:rPr>
        <w:t>butyricum</w:t>
      </w:r>
      <w:bookmarkEnd w:id="1"/>
      <w:proofErr w:type="spellEnd"/>
      <w:r w:rsidRPr="0017287F">
        <w:rPr>
          <w:rFonts w:ascii="Times" w:hAnsi="Times" w:cs="Times"/>
          <w:szCs w:val="21"/>
        </w:rPr>
        <w:t xml:space="preserve"> on </w:t>
      </w:r>
      <w:r>
        <w:rPr>
          <w:rFonts w:ascii="Times" w:hAnsi="Times" w:cs="Times"/>
          <w:szCs w:val="21"/>
        </w:rPr>
        <w:t>a</w:t>
      </w:r>
      <w:r w:rsidRPr="000B019A">
        <w:rPr>
          <w:rFonts w:ascii="Times" w:hAnsi="Times" w:cs="Times"/>
          <w:szCs w:val="21"/>
        </w:rPr>
        <w:t>lpha diversity of ileal microbiota</w:t>
      </w:r>
      <w:r>
        <w:rPr>
          <w:rFonts w:ascii="Times" w:hAnsi="Times" w:cs="Times"/>
          <w:szCs w:val="21"/>
        </w:rPr>
        <w:t xml:space="preserve"> in </w:t>
      </w:r>
      <w:proofErr w:type="spellStart"/>
      <w:r>
        <w:rPr>
          <w:rFonts w:ascii="Times" w:hAnsi="Times" w:cs="Times"/>
          <w:szCs w:val="21"/>
        </w:rPr>
        <w:t>IUGR</w:t>
      </w:r>
      <w:proofErr w:type="spellEnd"/>
      <w:r>
        <w:rPr>
          <w:rFonts w:ascii="Times" w:hAnsi="Times" w:cs="Times"/>
          <w:szCs w:val="21"/>
        </w:rPr>
        <w:t xml:space="preserve"> suckling piglets</w:t>
      </w:r>
    </w:p>
    <w:tbl>
      <w:tblPr>
        <w:tblStyle w:val="a7"/>
        <w:tblpPr w:leftFromText="181" w:rightFromText="181" w:vertAnchor="text" w:horzAnchor="margin" w:tblpY="52"/>
        <w:tblOverlap w:val="never"/>
        <w:tblW w:w="87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2"/>
        <w:gridCol w:w="1588"/>
        <w:gridCol w:w="1588"/>
        <w:gridCol w:w="1588"/>
        <w:gridCol w:w="737"/>
        <w:gridCol w:w="850"/>
        <w:gridCol w:w="853"/>
      </w:tblGrid>
      <w:tr w:rsidR="00C155F5" w:rsidRPr="000231A7" w14:paraId="181060CA" w14:textId="77777777" w:rsidTr="00EA7F21">
        <w:trPr>
          <w:trHeight w:val="411"/>
        </w:trPr>
        <w:tc>
          <w:tcPr>
            <w:tcW w:w="1532" w:type="dxa"/>
            <w:vMerge w:val="restart"/>
            <w:tcBorders>
              <w:top w:val="single" w:sz="4" w:space="0" w:color="auto"/>
            </w:tcBorders>
            <w:vAlign w:val="center"/>
          </w:tcPr>
          <w:bookmarkEnd w:id="0"/>
          <w:p w14:paraId="4101D299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Items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</w:tcBorders>
            <w:vAlign w:val="center"/>
          </w:tcPr>
          <w:p w14:paraId="7DF8FFF6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proofErr w:type="spellStart"/>
            <w:r w:rsidRPr="000231A7">
              <w:rPr>
                <w:rFonts w:ascii="Times" w:eastAsia="宋体" w:hAnsi="Times" w:cs="Times"/>
                <w:sz w:val="22"/>
              </w:rPr>
              <w:t>NBW</w:t>
            </w:r>
            <w:proofErr w:type="spellEnd"/>
            <w:r w:rsidRPr="000231A7">
              <w:rPr>
                <w:rFonts w:ascii="Times" w:eastAsia="宋体" w:hAnsi="Times" w:cs="Times"/>
                <w:sz w:val="22"/>
              </w:rPr>
              <w:t>-CON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</w:tcBorders>
            <w:vAlign w:val="center"/>
          </w:tcPr>
          <w:p w14:paraId="54806C0A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proofErr w:type="spellStart"/>
            <w:r w:rsidRPr="000231A7">
              <w:rPr>
                <w:rFonts w:ascii="Times" w:eastAsia="宋体" w:hAnsi="Times" w:cs="Times"/>
                <w:sz w:val="22"/>
              </w:rPr>
              <w:t>IUGR</w:t>
            </w:r>
            <w:proofErr w:type="spellEnd"/>
            <w:r w:rsidRPr="000231A7">
              <w:rPr>
                <w:rFonts w:ascii="Times" w:eastAsia="宋体" w:hAnsi="Times" w:cs="Times"/>
                <w:sz w:val="22"/>
              </w:rPr>
              <w:t>-CON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</w:tcBorders>
            <w:vAlign w:val="center"/>
          </w:tcPr>
          <w:p w14:paraId="5DBD9638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proofErr w:type="spellStart"/>
            <w:r w:rsidRPr="000231A7">
              <w:rPr>
                <w:rFonts w:ascii="Times" w:eastAsia="宋体" w:hAnsi="Times" w:cs="Times"/>
                <w:sz w:val="22"/>
              </w:rPr>
              <w:t>IUGR</w:t>
            </w:r>
            <w:proofErr w:type="spellEnd"/>
            <w:r w:rsidRPr="000231A7">
              <w:rPr>
                <w:rFonts w:ascii="Times" w:eastAsia="宋体" w:hAnsi="Times" w:cs="Times"/>
                <w:sz w:val="22"/>
              </w:rPr>
              <w:t>-CB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4D38D356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i/>
                <w:sz w:val="22"/>
              </w:rPr>
              <w:t xml:space="preserve">P </w:t>
            </w:r>
            <w:r w:rsidRPr="000231A7">
              <w:rPr>
                <w:rFonts w:ascii="Times" w:eastAsia="宋体" w:hAnsi="Times" w:cs="Times"/>
                <w:sz w:val="22"/>
              </w:rPr>
              <w:t>values</w:t>
            </w:r>
          </w:p>
        </w:tc>
      </w:tr>
      <w:tr w:rsidR="00C155F5" w:rsidRPr="000231A7" w14:paraId="0B20EE88" w14:textId="77777777" w:rsidTr="00EA7F21">
        <w:trPr>
          <w:trHeight w:val="428"/>
        </w:trPr>
        <w:tc>
          <w:tcPr>
            <w:tcW w:w="1532" w:type="dxa"/>
            <w:vMerge/>
            <w:tcBorders>
              <w:bottom w:val="single" w:sz="4" w:space="0" w:color="auto"/>
            </w:tcBorders>
            <w:vAlign w:val="center"/>
          </w:tcPr>
          <w:p w14:paraId="475DD0FE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</w:p>
        </w:tc>
        <w:tc>
          <w:tcPr>
            <w:tcW w:w="1588" w:type="dxa"/>
            <w:vMerge/>
            <w:tcBorders>
              <w:bottom w:val="single" w:sz="4" w:space="0" w:color="auto"/>
            </w:tcBorders>
            <w:vAlign w:val="center"/>
          </w:tcPr>
          <w:p w14:paraId="75276F2C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</w:p>
        </w:tc>
        <w:tc>
          <w:tcPr>
            <w:tcW w:w="1588" w:type="dxa"/>
            <w:vMerge/>
            <w:tcBorders>
              <w:bottom w:val="single" w:sz="4" w:space="0" w:color="auto"/>
            </w:tcBorders>
            <w:vAlign w:val="center"/>
          </w:tcPr>
          <w:p w14:paraId="04E0CF18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</w:p>
        </w:tc>
        <w:tc>
          <w:tcPr>
            <w:tcW w:w="1588" w:type="dxa"/>
            <w:vMerge/>
            <w:tcBorders>
              <w:bottom w:val="single" w:sz="4" w:space="0" w:color="auto"/>
            </w:tcBorders>
            <w:vAlign w:val="center"/>
          </w:tcPr>
          <w:p w14:paraId="3F75729B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</w:p>
        </w:tc>
        <w:tc>
          <w:tcPr>
            <w:tcW w:w="737" w:type="dxa"/>
            <w:tcBorders>
              <w:top w:val="nil"/>
              <w:bottom w:val="single" w:sz="4" w:space="0" w:color="auto"/>
            </w:tcBorders>
            <w:vAlign w:val="center"/>
          </w:tcPr>
          <w:p w14:paraId="17BA8891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6A15D77F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62F92583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3</w:t>
            </w:r>
          </w:p>
        </w:tc>
      </w:tr>
      <w:tr w:rsidR="00C155F5" w:rsidRPr="000231A7" w14:paraId="63A367F1" w14:textId="77777777" w:rsidTr="00EA7F21">
        <w:trPr>
          <w:trHeight w:val="491"/>
        </w:trPr>
        <w:tc>
          <w:tcPr>
            <w:tcW w:w="1532" w:type="dxa"/>
            <w:tcBorders>
              <w:top w:val="single" w:sz="4" w:space="0" w:color="auto"/>
              <w:bottom w:val="nil"/>
            </w:tcBorders>
            <w:vAlign w:val="center"/>
          </w:tcPr>
          <w:p w14:paraId="096B8604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Sobs index</w:t>
            </w:r>
          </w:p>
        </w:tc>
        <w:tc>
          <w:tcPr>
            <w:tcW w:w="1588" w:type="dxa"/>
            <w:tcBorders>
              <w:top w:val="single" w:sz="4" w:space="0" w:color="auto"/>
              <w:bottom w:val="nil"/>
            </w:tcBorders>
            <w:vAlign w:val="center"/>
          </w:tcPr>
          <w:p w14:paraId="7D00FA2D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221.50 ± 56.30</w:t>
            </w:r>
          </w:p>
        </w:tc>
        <w:tc>
          <w:tcPr>
            <w:tcW w:w="1588" w:type="dxa"/>
            <w:tcBorders>
              <w:top w:val="single" w:sz="4" w:space="0" w:color="auto"/>
              <w:bottom w:val="nil"/>
            </w:tcBorders>
            <w:vAlign w:val="center"/>
          </w:tcPr>
          <w:p w14:paraId="298A8F6D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249.33 ± 51.93</w:t>
            </w:r>
          </w:p>
        </w:tc>
        <w:tc>
          <w:tcPr>
            <w:tcW w:w="1588" w:type="dxa"/>
            <w:tcBorders>
              <w:top w:val="single" w:sz="4" w:space="0" w:color="auto"/>
              <w:bottom w:val="nil"/>
            </w:tcBorders>
            <w:vAlign w:val="center"/>
          </w:tcPr>
          <w:p w14:paraId="43AD24D6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176.50 ± 24.01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  <w:vAlign w:val="center"/>
          </w:tcPr>
          <w:p w14:paraId="646AF038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0.748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758E834F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0.872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77506E46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0.262</w:t>
            </w:r>
          </w:p>
        </w:tc>
      </w:tr>
      <w:tr w:rsidR="00C155F5" w:rsidRPr="000231A7" w14:paraId="4BCDA923" w14:textId="77777777" w:rsidTr="00EA7F21">
        <w:trPr>
          <w:trHeight w:val="491"/>
        </w:trPr>
        <w:tc>
          <w:tcPr>
            <w:tcW w:w="1532" w:type="dxa"/>
            <w:tcBorders>
              <w:top w:val="nil"/>
            </w:tcBorders>
            <w:vAlign w:val="center"/>
          </w:tcPr>
          <w:p w14:paraId="0ED773C7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Chao index</w:t>
            </w:r>
          </w:p>
        </w:tc>
        <w:tc>
          <w:tcPr>
            <w:tcW w:w="1588" w:type="dxa"/>
            <w:tcBorders>
              <w:top w:val="nil"/>
            </w:tcBorders>
            <w:vAlign w:val="center"/>
          </w:tcPr>
          <w:p w14:paraId="7A8149FE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296.74 ± 51.58</w:t>
            </w:r>
          </w:p>
        </w:tc>
        <w:tc>
          <w:tcPr>
            <w:tcW w:w="1588" w:type="dxa"/>
            <w:tcBorders>
              <w:top w:val="nil"/>
            </w:tcBorders>
            <w:vAlign w:val="center"/>
          </w:tcPr>
          <w:p w14:paraId="4D009806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350.94 ± 59.23</w:t>
            </w:r>
          </w:p>
        </w:tc>
        <w:tc>
          <w:tcPr>
            <w:tcW w:w="1588" w:type="dxa"/>
            <w:tcBorders>
              <w:top w:val="nil"/>
            </w:tcBorders>
            <w:vAlign w:val="center"/>
          </w:tcPr>
          <w:p w14:paraId="2AD4F6AC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271.49 ± 35.93</w:t>
            </w:r>
          </w:p>
        </w:tc>
        <w:tc>
          <w:tcPr>
            <w:tcW w:w="737" w:type="dxa"/>
            <w:tcBorders>
              <w:top w:val="nil"/>
            </w:tcBorders>
            <w:vAlign w:val="center"/>
          </w:tcPr>
          <w:p w14:paraId="4707EBD1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0.394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15EE87C5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0.699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7ADB580B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0.240</w:t>
            </w:r>
          </w:p>
        </w:tc>
      </w:tr>
      <w:tr w:rsidR="00C155F5" w:rsidRPr="000231A7" w14:paraId="749C05FA" w14:textId="77777777" w:rsidTr="00EA7F21">
        <w:trPr>
          <w:trHeight w:val="491"/>
        </w:trPr>
        <w:tc>
          <w:tcPr>
            <w:tcW w:w="1532" w:type="dxa"/>
            <w:vAlign w:val="center"/>
          </w:tcPr>
          <w:p w14:paraId="2BDE8965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Ace index</w:t>
            </w:r>
          </w:p>
        </w:tc>
        <w:tc>
          <w:tcPr>
            <w:tcW w:w="1588" w:type="dxa"/>
            <w:vAlign w:val="center"/>
          </w:tcPr>
          <w:p w14:paraId="1349ADD4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350.19 ± 49.61</w:t>
            </w:r>
          </w:p>
        </w:tc>
        <w:tc>
          <w:tcPr>
            <w:tcW w:w="1588" w:type="dxa"/>
            <w:vAlign w:val="center"/>
          </w:tcPr>
          <w:p w14:paraId="0C9E5218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405.25 ± 72.38</w:t>
            </w:r>
          </w:p>
        </w:tc>
        <w:tc>
          <w:tcPr>
            <w:tcW w:w="1588" w:type="dxa"/>
            <w:vAlign w:val="center"/>
          </w:tcPr>
          <w:p w14:paraId="30C01F69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396.33 ± 43.25</w:t>
            </w:r>
          </w:p>
        </w:tc>
        <w:tc>
          <w:tcPr>
            <w:tcW w:w="737" w:type="dxa"/>
            <w:vAlign w:val="center"/>
          </w:tcPr>
          <w:p w14:paraId="5581DDEE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0.589</w:t>
            </w:r>
          </w:p>
        </w:tc>
        <w:tc>
          <w:tcPr>
            <w:tcW w:w="850" w:type="dxa"/>
            <w:vAlign w:val="center"/>
          </w:tcPr>
          <w:p w14:paraId="722BC4AE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0.699</w:t>
            </w:r>
          </w:p>
        </w:tc>
        <w:tc>
          <w:tcPr>
            <w:tcW w:w="851" w:type="dxa"/>
            <w:vAlign w:val="center"/>
          </w:tcPr>
          <w:p w14:paraId="14254385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0.818</w:t>
            </w:r>
          </w:p>
        </w:tc>
      </w:tr>
      <w:tr w:rsidR="00C155F5" w:rsidRPr="000231A7" w14:paraId="34E9AF8F" w14:textId="77777777" w:rsidTr="00EA7F21">
        <w:trPr>
          <w:trHeight w:val="491"/>
        </w:trPr>
        <w:tc>
          <w:tcPr>
            <w:tcW w:w="1532" w:type="dxa"/>
            <w:vAlign w:val="center"/>
          </w:tcPr>
          <w:p w14:paraId="209E3EA9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Shannon index</w:t>
            </w:r>
          </w:p>
        </w:tc>
        <w:tc>
          <w:tcPr>
            <w:tcW w:w="1588" w:type="dxa"/>
            <w:vAlign w:val="center"/>
          </w:tcPr>
          <w:p w14:paraId="71D6902A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1.71 ± 0.33</w:t>
            </w:r>
          </w:p>
        </w:tc>
        <w:tc>
          <w:tcPr>
            <w:tcW w:w="1588" w:type="dxa"/>
            <w:vAlign w:val="center"/>
          </w:tcPr>
          <w:p w14:paraId="4F6592FE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2.36 ± 0.32</w:t>
            </w:r>
          </w:p>
        </w:tc>
        <w:tc>
          <w:tcPr>
            <w:tcW w:w="1588" w:type="dxa"/>
            <w:vAlign w:val="center"/>
          </w:tcPr>
          <w:p w14:paraId="06C4FE4E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2.23 ± 0.15</w:t>
            </w:r>
          </w:p>
        </w:tc>
        <w:tc>
          <w:tcPr>
            <w:tcW w:w="737" w:type="dxa"/>
            <w:vAlign w:val="center"/>
          </w:tcPr>
          <w:p w14:paraId="4E5CBC9E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0.180</w:t>
            </w:r>
          </w:p>
        </w:tc>
        <w:tc>
          <w:tcPr>
            <w:tcW w:w="850" w:type="dxa"/>
            <w:vAlign w:val="center"/>
          </w:tcPr>
          <w:p w14:paraId="56BCE1C6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0.132</w:t>
            </w:r>
          </w:p>
        </w:tc>
        <w:tc>
          <w:tcPr>
            <w:tcW w:w="851" w:type="dxa"/>
            <w:vAlign w:val="center"/>
          </w:tcPr>
          <w:p w14:paraId="272E43BF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0.818</w:t>
            </w:r>
          </w:p>
        </w:tc>
      </w:tr>
      <w:tr w:rsidR="00C155F5" w:rsidRPr="000231A7" w14:paraId="68BA600C" w14:textId="77777777" w:rsidTr="00EA7F21">
        <w:trPr>
          <w:trHeight w:val="491"/>
        </w:trPr>
        <w:tc>
          <w:tcPr>
            <w:tcW w:w="1532" w:type="dxa"/>
            <w:vAlign w:val="center"/>
          </w:tcPr>
          <w:p w14:paraId="0400CB22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Simpson index</w:t>
            </w:r>
          </w:p>
        </w:tc>
        <w:tc>
          <w:tcPr>
            <w:tcW w:w="1588" w:type="dxa"/>
            <w:vAlign w:val="center"/>
          </w:tcPr>
          <w:p w14:paraId="2D7D8416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0.41 ± 0.08</w:t>
            </w:r>
          </w:p>
        </w:tc>
        <w:tc>
          <w:tcPr>
            <w:tcW w:w="1588" w:type="dxa"/>
            <w:vAlign w:val="center"/>
          </w:tcPr>
          <w:p w14:paraId="43410454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0.21 ± 0.06</w:t>
            </w:r>
          </w:p>
        </w:tc>
        <w:tc>
          <w:tcPr>
            <w:tcW w:w="1588" w:type="dxa"/>
            <w:vAlign w:val="center"/>
          </w:tcPr>
          <w:p w14:paraId="304FD72B" w14:textId="77777777" w:rsidR="00C155F5" w:rsidRPr="000231A7" w:rsidRDefault="00C155F5" w:rsidP="00EA7F21">
            <w:pPr>
              <w:jc w:val="left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0.19 ± 0.05</w:t>
            </w:r>
            <w:r w:rsidRPr="000231A7">
              <w:rPr>
                <w:rFonts w:ascii="Times" w:eastAsia="宋体" w:hAnsi="Times" w:cs="Times"/>
                <w:szCs w:val="21"/>
              </w:rPr>
              <w:t>*</w:t>
            </w:r>
          </w:p>
        </w:tc>
        <w:tc>
          <w:tcPr>
            <w:tcW w:w="737" w:type="dxa"/>
            <w:vAlign w:val="center"/>
          </w:tcPr>
          <w:p w14:paraId="01FE5F7F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0.132</w:t>
            </w:r>
          </w:p>
        </w:tc>
        <w:tc>
          <w:tcPr>
            <w:tcW w:w="850" w:type="dxa"/>
            <w:vAlign w:val="center"/>
          </w:tcPr>
          <w:p w14:paraId="16A23A92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0.026</w:t>
            </w:r>
          </w:p>
        </w:tc>
        <w:tc>
          <w:tcPr>
            <w:tcW w:w="851" w:type="dxa"/>
            <w:vAlign w:val="center"/>
          </w:tcPr>
          <w:p w14:paraId="68ADA5B1" w14:textId="77777777" w:rsidR="00C155F5" w:rsidRPr="000231A7" w:rsidRDefault="00C155F5" w:rsidP="00EA7F21">
            <w:pPr>
              <w:jc w:val="center"/>
              <w:rPr>
                <w:rFonts w:ascii="Times" w:eastAsia="宋体" w:hAnsi="Times" w:cs="Times"/>
                <w:sz w:val="22"/>
              </w:rPr>
            </w:pPr>
            <w:r w:rsidRPr="000231A7">
              <w:rPr>
                <w:rFonts w:ascii="Times" w:eastAsia="宋体" w:hAnsi="Times" w:cs="Times"/>
                <w:sz w:val="22"/>
              </w:rPr>
              <w:t>0.937</w:t>
            </w:r>
          </w:p>
        </w:tc>
      </w:tr>
    </w:tbl>
    <w:p w14:paraId="5103AA03" w14:textId="77777777" w:rsidR="00C155F5" w:rsidRPr="000231A7" w:rsidRDefault="00C155F5" w:rsidP="00C155F5">
      <w:pPr>
        <w:spacing w:line="480" w:lineRule="auto"/>
        <w:rPr>
          <w:rFonts w:ascii="Times" w:hAnsi="Times" w:cs="Times"/>
          <w:sz w:val="24"/>
          <w:szCs w:val="24"/>
        </w:rPr>
      </w:pPr>
      <w:proofErr w:type="spellStart"/>
      <w:r w:rsidRPr="000231A7">
        <w:rPr>
          <w:rFonts w:ascii="Times" w:hAnsi="Times" w:cs="Times"/>
          <w:sz w:val="24"/>
          <w:szCs w:val="24"/>
        </w:rPr>
        <w:t>NBW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-CON, piglets with normal birth weight; </w:t>
      </w:r>
      <w:proofErr w:type="spellStart"/>
      <w:r w:rsidRPr="000231A7">
        <w:rPr>
          <w:rFonts w:ascii="Times" w:hAnsi="Times" w:cs="Times"/>
          <w:sz w:val="24"/>
          <w:szCs w:val="24"/>
        </w:rPr>
        <w:t>IUGR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-CON, piglets with intrauterine growth restriction; </w:t>
      </w:r>
      <w:proofErr w:type="spellStart"/>
      <w:r w:rsidRPr="000231A7">
        <w:rPr>
          <w:rFonts w:ascii="Times" w:hAnsi="Times" w:cs="Times"/>
          <w:sz w:val="24"/>
          <w:szCs w:val="24"/>
        </w:rPr>
        <w:t>IUGR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-CB, piglets with intrauterine growth restriction supplemented with </w:t>
      </w:r>
      <w:r w:rsidRPr="000231A7">
        <w:rPr>
          <w:rFonts w:ascii="Times" w:hAnsi="Times" w:cs="Times"/>
          <w:i/>
          <w:iCs/>
          <w:sz w:val="24"/>
          <w:szCs w:val="24"/>
        </w:rPr>
        <w:t xml:space="preserve">Clostridium </w:t>
      </w:r>
      <w:proofErr w:type="spellStart"/>
      <w:r w:rsidRPr="000231A7">
        <w:rPr>
          <w:rFonts w:ascii="Times" w:hAnsi="Times" w:cs="Times"/>
          <w:i/>
          <w:iCs/>
          <w:sz w:val="24"/>
          <w:szCs w:val="24"/>
        </w:rPr>
        <w:t>butyricumon</w:t>
      </w:r>
      <w:proofErr w:type="spellEnd"/>
      <w:r w:rsidRPr="000231A7">
        <w:rPr>
          <w:rFonts w:ascii="Times" w:hAnsi="Times" w:cs="Times"/>
          <w:sz w:val="24"/>
          <w:szCs w:val="24"/>
        </w:rPr>
        <w:t>.</w:t>
      </w:r>
    </w:p>
    <w:p w14:paraId="149E2662" w14:textId="77777777" w:rsidR="00C155F5" w:rsidRPr="000231A7" w:rsidRDefault="00C155F5" w:rsidP="00C155F5">
      <w:pPr>
        <w:spacing w:line="480" w:lineRule="auto"/>
        <w:rPr>
          <w:rFonts w:ascii="Times" w:hAnsi="Times" w:cs="Times"/>
          <w:sz w:val="24"/>
          <w:szCs w:val="24"/>
        </w:rPr>
      </w:pPr>
      <w:r w:rsidRPr="000231A7">
        <w:rPr>
          <w:rFonts w:ascii="Times" w:hAnsi="Times" w:cs="Times"/>
          <w:sz w:val="24"/>
          <w:szCs w:val="24"/>
        </w:rPr>
        <w:t xml:space="preserve">All data are presented as mean ± SE (n = 8). Significant difference is depicted as </w:t>
      </w:r>
      <w:r w:rsidRPr="000231A7">
        <w:rPr>
          <w:rFonts w:ascii="Times" w:eastAsia="宋体" w:hAnsi="Times" w:cs="Times"/>
          <w:szCs w:val="21"/>
        </w:rPr>
        <w:t>*</w:t>
      </w:r>
      <w:r w:rsidRPr="000231A7">
        <w:rPr>
          <w:rFonts w:ascii="Times" w:hAnsi="Times" w:cs="Times"/>
          <w:sz w:val="24"/>
          <w:szCs w:val="24"/>
        </w:rPr>
        <w:t xml:space="preserve"> </w:t>
      </w:r>
      <w:r w:rsidRPr="000231A7">
        <w:rPr>
          <w:rFonts w:ascii="Times" w:hAnsi="Times" w:cs="Times"/>
          <w:i/>
          <w:iCs/>
          <w:sz w:val="24"/>
          <w:szCs w:val="24"/>
        </w:rPr>
        <w:t>p</w:t>
      </w:r>
      <w:r w:rsidRPr="000231A7">
        <w:rPr>
          <w:rFonts w:ascii="Times" w:hAnsi="Times" w:cs="Times"/>
          <w:sz w:val="24"/>
          <w:szCs w:val="24"/>
        </w:rPr>
        <w:t xml:space="preserve"> &lt; 0.05 when compared with </w:t>
      </w:r>
      <w:proofErr w:type="spellStart"/>
      <w:r w:rsidRPr="000231A7">
        <w:rPr>
          <w:rFonts w:ascii="Times" w:hAnsi="Times" w:cs="Times"/>
          <w:sz w:val="24"/>
          <w:szCs w:val="24"/>
        </w:rPr>
        <w:t>NBW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-CON, </w:t>
      </w:r>
      <w:r w:rsidRPr="000231A7">
        <w:rPr>
          <w:rFonts w:ascii="Times" w:eastAsia="宋体" w:hAnsi="Times" w:cs="Times"/>
          <w:b/>
          <w:bCs/>
          <w:szCs w:val="21"/>
          <w:vertAlign w:val="superscript"/>
        </w:rPr>
        <w:t>#</w:t>
      </w:r>
      <w:r w:rsidRPr="000231A7">
        <w:rPr>
          <w:rFonts w:ascii="Times" w:hAnsi="Times" w:cs="Times"/>
          <w:sz w:val="24"/>
          <w:szCs w:val="24"/>
        </w:rPr>
        <w:t xml:space="preserve"> </w:t>
      </w:r>
      <w:r w:rsidRPr="000231A7">
        <w:rPr>
          <w:rFonts w:ascii="Times" w:hAnsi="Times" w:cs="Times"/>
          <w:i/>
          <w:iCs/>
          <w:sz w:val="24"/>
          <w:szCs w:val="24"/>
        </w:rPr>
        <w:t>p</w:t>
      </w:r>
      <w:r w:rsidRPr="000231A7">
        <w:rPr>
          <w:rFonts w:ascii="Times" w:hAnsi="Times" w:cs="Times"/>
          <w:sz w:val="24"/>
          <w:szCs w:val="24"/>
        </w:rPr>
        <w:t xml:space="preserve"> &lt; 0.05 when compared with </w:t>
      </w:r>
      <w:proofErr w:type="spellStart"/>
      <w:r w:rsidRPr="000231A7">
        <w:rPr>
          <w:rFonts w:ascii="Times" w:hAnsi="Times" w:cs="Times"/>
          <w:sz w:val="24"/>
          <w:szCs w:val="24"/>
        </w:rPr>
        <w:t>IUGR</w:t>
      </w:r>
      <w:proofErr w:type="spellEnd"/>
      <w:r w:rsidRPr="000231A7">
        <w:rPr>
          <w:rFonts w:ascii="Times" w:hAnsi="Times" w:cs="Times"/>
          <w:sz w:val="24"/>
          <w:szCs w:val="24"/>
        </w:rPr>
        <w:t>-CON group</w:t>
      </w:r>
      <w:r>
        <w:rPr>
          <w:rFonts w:ascii="Times" w:hAnsi="Times" w:cs="Times" w:hint="eastAsia"/>
          <w:sz w:val="24"/>
          <w:szCs w:val="24"/>
        </w:rPr>
        <w:t>.</w:t>
      </w:r>
      <w:r>
        <w:rPr>
          <w:rFonts w:ascii="Times" w:hAnsi="Times" w:cs="Times"/>
          <w:sz w:val="24"/>
          <w:szCs w:val="24"/>
        </w:rPr>
        <w:t xml:space="preserve"> </w:t>
      </w:r>
      <w:r w:rsidRPr="000231A7">
        <w:rPr>
          <w:rFonts w:ascii="Times" w:hAnsi="Times" w:cs="Times"/>
          <w:sz w:val="24"/>
          <w:szCs w:val="24"/>
        </w:rPr>
        <w:t xml:space="preserve">Contrast: (1) </w:t>
      </w:r>
      <w:proofErr w:type="spellStart"/>
      <w:r w:rsidRPr="000231A7">
        <w:rPr>
          <w:rFonts w:ascii="Times" w:hAnsi="Times" w:cs="Times"/>
          <w:sz w:val="24"/>
          <w:szCs w:val="24"/>
        </w:rPr>
        <w:t>NBW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-CON versus </w:t>
      </w:r>
      <w:proofErr w:type="spellStart"/>
      <w:r w:rsidRPr="000231A7">
        <w:rPr>
          <w:rFonts w:ascii="Times" w:hAnsi="Times" w:cs="Times"/>
          <w:sz w:val="24"/>
          <w:szCs w:val="24"/>
        </w:rPr>
        <w:t>IUGR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-CON; (2) </w:t>
      </w:r>
      <w:proofErr w:type="spellStart"/>
      <w:r w:rsidRPr="000231A7">
        <w:rPr>
          <w:rFonts w:ascii="Times" w:hAnsi="Times" w:cs="Times"/>
          <w:sz w:val="24"/>
          <w:szCs w:val="24"/>
        </w:rPr>
        <w:t>NBW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-CON versus </w:t>
      </w:r>
      <w:proofErr w:type="spellStart"/>
      <w:r w:rsidRPr="000231A7">
        <w:rPr>
          <w:rFonts w:ascii="Times" w:hAnsi="Times" w:cs="Times"/>
          <w:sz w:val="24"/>
          <w:szCs w:val="24"/>
        </w:rPr>
        <w:t>IUGR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-CB; (3) </w:t>
      </w:r>
      <w:proofErr w:type="spellStart"/>
      <w:r w:rsidRPr="000231A7">
        <w:rPr>
          <w:rFonts w:ascii="Times" w:hAnsi="Times" w:cs="Times"/>
          <w:sz w:val="24"/>
          <w:szCs w:val="24"/>
        </w:rPr>
        <w:t>IUGR</w:t>
      </w:r>
      <w:proofErr w:type="spellEnd"/>
      <w:r w:rsidRPr="000231A7">
        <w:rPr>
          <w:rFonts w:ascii="Times" w:hAnsi="Times" w:cs="Times"/>
          <w:sz w:val="24"/>
          <w:szCs w:val="24"/>
        </w:rPr>
        <w:t xml:space="preserve">-CON versus </w:t>
      </w:r>
      <w:proofErr w:type="spellStart"/>
      <w:r w:rsidRPr="000231A7">
        <w:rPr>
          <w:rFonts w:ascii="Times" w:hAnsi="Times" w:cs="Times"/>
          <w:sz w:val="24"/>
          <w:szCs w:val="24"/>
        </w:rPr>
        <w:t>IUGR</w:t>
      </w:r>
      <w:proofErr w:type="spellEnd"/>
      <w:r w:rsidRPr="000231A7">
        <w:rPr>
          <w:rFonts w:ascii="Times" w:hAnsi="Times" w:cs="Times"/>
          <w:sz w:val="24"/>
          <w:szCs w:val="24"/>
        </w:rPr>
        <w:t>-CB</w:t>
      </w:r>
    </w:p>
    <w:p w14:paraId="3C2C4FC0" w14:textId="77777777" w:rsidR="00202553" w:rsidRPr="00C155F5" w:rsidRDefault="00202553"/>
    <w:sectPr w:rsidR="00202553" w:rsidRPr="00C15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F6545" w14:textId="77777777" w:rsidR="009A1155" w:rsidRDefault="009A1155" w:rsidP="00C155F5">
      <w:r>
        <w:separator/>
      </w:r>
    </w:p>
  </w:endnote>
  <w:endnote w:type="continuationSeparator" w:id="0">
    <w:p w14:paraId="36AC9635" w14:textId="77777777" w:rsidR="009A1155" w:rsidRDefault="009A1155" w:rsidP="00C15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FD853" w14:textId="77777777" w:rsidR="009A1155" w:rsidRDefault="009A1155" w:rsidP="00C155F5">
      <w:r>
        <w:separator/>
      </w:r>
    </w:p>
  </w:footnote>
  <w:footnote w:type="continuationSeparator" w:id="0">
    <w:p w14:paraId="66BEB228" w14:textId="77777777" w:rsidR="009A1155" w:rsidRDefault="009A1155" w:rsidP="00C155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E49"/>
    <w:rsid w:val="00202553"/>
    <w:rsid w:val="00413EF1"/>
    <w:rsid w:val="009A1155"/>
    <w:rsid w:val="00C155F5"/>
    <w:rsid w:val="00DD3103"/>
    <w:rsid w:val="00FC0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C7D43B4-4DFB-4D71-9D47-EA87DF093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bCs/>
        <w:iCs/>
        <w:color w:val="000000" w:themeColor="text1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55F5"/>
    <w:pPr>
      <w:widowControl w:val="0"/>
      <w:jc w:val="both"/>
    </w:pPr>
    <w:rPr>
      <w:rFonts w:asciiTheme="minorHAnsi" w:eastAsiaTheme="minorEastAsia" w:hAnsiTheme="minorHAnsi" w:cstheme="minorBidi"/>
      <w:bCs w:val="0"/>
      <w:iCs w:val="0"/>
      <w:color w:val="auto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5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55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55F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bCs/>
      <w:iCs/>
      <w:color w:val="000000" w:themeColor="text1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55F5"/>
    <w:rPr>
      <w:sz w:val="18"/>
      <w:szCs w:val="18"/>
    </w:rPr>
  </w:style>
  <w:style w:type="table" w:styleId="a7">
    <w:name w:val="Table Grid"/>
    <w:basedOn w:val="a1"/>
    <w:uiPriority w:val="39"/>
    <w:rsid w:val="00C155F5"/>
    <w:rPr>
      <w:rFonts w:asciiTheme="minorHAnsi" w:eastAsiaTheme="minorEastAsia" w:hAnsiTheme="minorHAnsi" w:cstheme="minorBidi"/>
      <w:bCs w:val="0"/>
      <w:iCs w:val="0"/>
      <w:color w:val="auto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鑫</dc:creator>
  <cp:keywords/>
  <dc:description/>
  <cp:lastModifiedBy>张 鑫</cp:lastModifiedBy>
  <cp:revision>2</cp:revision>
  <dcterms:created xsi:type="dcterms:W3CDTF">2022-08-10T07:56:00Z</dcterms:created>
  <dcterms:modified xsi:type="dcterms:W3CDTF">2022-08-10T07:57:00Z</dcterms:modified>
</cp:coreProperties>
</file>