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B182A" w14:textId="77777777" w:rsidR="002C1EE6" w:rsidRDefault="002C1EE6" w:rsidP="002C1EE6">
      <w:pPr>
        <w:spacing w:line="480" w:lineRule="auto"/>
        <w:rPr>
          <w:rFonts w:ascii="Arial Nova" w:eastAsia="Arial Nova" w:hAnsi="Arial Nova" w:cs="Arial Nova"/>
          <w:b/>
          <w:bCs/>
          <w:sz w:val="24"/>
          <w:szCs w:val="24"/>
        </w:rPr>
      </w:pPr>
      <w:r w:rsidRPr="08F6898E">
        <w:rPr>
          <w:rFonts w:ascii="Arial Nova" w:eastAsia="Arial Nova" w:hAnsi="Arial Nova" w:cs="Arial Nova"/>
          <w:b/>
          <w:bCs/>
          <w:sz w:val="24"/>
          <w:szCs w:val="24"/>
        </w:rPr>
        <w:t xml:space="preserve">Supplemental Materials </w:t>
      </w:r>
    </w:p>
    <w:p w14:paraId="1F2AC51F" w14:textId="77777777" w:rsidR="002C1EE6" w:rsidRDefault="002C1EE6" w:rsidP="002C1EE6">
      <w:pPr>
        <w:spacing w:line="480" w:lineRule="auto"/>
        <w:rPr>
          <w:rFonts w:ascii="Arial Nova" w:eastAsia="Arial Nova" w:hAnsi="Arial Nova" w:cs="Arial Nova"/>
          <w:color w:val="000000" w:themeColor="text1"/>
          <w:sz w:val="24"/>
          <w:szCs w:val="24"/>
        </w:rPr>
      </w:pPr>
      <w:r w:rsidRPr="08F6898E">
        <w:rPr>
          <w:rFonts w:ascii="Arial Nova" w:eastAsia="Arial Nova" w:hAnsi="Arial Nova" w:cs="Arial Nova"/>
          <w:b/>
          <w:bCs/>
          <w:color w:val="000000" w:themeColor="text1"/>
          <w:sz w:val="24"/>
          <w:szCs w:val="24"/>
        </w:rPr>
        <w:t>Assay protocol</w:t>
      </w:r>
    </w:p>
    <w:p w14:paraId="46D90323" w14:textId="77777777" w:rsidR="002C1EE6" w:rsidRDefault="002C1EE6" w:rsidP="002C1EE6">
      <w:pPr>
        <w:spacing w:line="480" w:lineRule="auto"/>
        <w:rPr>
          <w:rFonts w:ascii="Arial Nova" w:eastAsia="Arial Nova" w:hAnsi="Arial Nova" w:cs="Arial Nova"/>
          <w:color w:val="000000" w:themeColor="text1"/>
          <w:sz w:val="24"/>
          <w:szCs w:val="24"/>
        </w:rPr>
      </w:pPr>
      <w:r w:rsidRPr="08F6898E">
        <w:rPr>
          <w:rFonts w:ascii="Arial Nova" w:eastAsia="Arial Nova" w:hAnsi="Arial Nova" w:cs="Arial Nova"/>
          <w:color w:val="292B2C"/>
          <w:sz w:val="24"/>
          <w:szCs w:val="24"/>
        </w:rPr>
        <w:t xml:space="preserve">ELISA was performed for SARS-CoV-2-specific IgA and IgG in human milk, plasma, and infant stool using COVID-19 Human IgA and IgG ELISA Kit </w:t>
      </w:r>
      <w:r w:rsidRPr="08F6898E">
        <w:rPr>
          <w:rFonts w:ascii="Arial Nova" w:eastAsia="Arial Nova" w:hAnsi="Arial Nova" w:cs="Arial Nova"/>
          <w:color w:val="000000" w:themeColor="text1"/>
          <w:sz w:val="24"/>
          <w:szCs w:val="24"/>
          <w:lang w:val="en"/>
        </w:rPr>
        <w:t>(</w:t>
      </w:r>
      <w:proofErr w:type="spellStart"/>
      <w:r w:rsidRPr="08F6898E">
        <w:rPr>
          <w:rFonts w:ascii="Arial Nova" w:eastAsia="Arial Nova" w:hAnsi="Arial Nova" w:cs="Arial Nova"/>
          <w:color w:val="000000" w:themeColor="text1"/>
          <w:sz w:val="24"/>
          <w:szCs w:val="24"/>
          <w:lang w:val="en"/>
        </w:rPr>
        <w:t>RayBiotech</w:t>
      </w:r>
      <w:proofErr w:type="spellEnd"/>
      <w:r w:rsidRPr="08F6898E">
        <w:rPr>
          <w:rFonts w:ascii="Arial Nova" w:eastAsia="Arial Nova" w:hAnsi="Arial Nova" w:cs="Arial Nova"/>
          <w:color w:val="000000" w:themeColor="text1"/>
          <w:sz w:val="24"/>
          <w:szCs w:val="24"/>
          <w:lang w:val="en"/>
        </w:rPr>
        <w:t xml:space="preserve"> Life, Peachtree Corners, Georgia, USA</w:t>
      </w:r>
      <w:proofErr w:type="gramStart"/>
      <w:r w:rsidRPr="08F6898E">
        <w:rPr>
          <w:rFonts w:ascii="Arial Nova" w:eastAsia="Arial Nova" w:hAnsi="Arial Nova" w:cs="Arial Nova"/>
          <w:color w:val="000000" w:themeColor="text1"/>
          <w:sz w:val="24"/>
          <w:szCs w:val="24"/>
          <w:lang w:val="en"/>
        </w:rPr>
        <w:t>)</w:t>
      </w:r>
      <w:r w:rsidRPr="08F6898E">
        <w:rPr>
          <w:rFonts w:ascii="Arial Nova" w:eastAsia="Arial Nova" w:hAnsi="Arial Nova" w:cs="Arial Nova"/>
          <w:color w:val="292B2C"/>
          <w:sz w:val="24"/>
          <w:szCs w:val="24"/>
        </w:rPr>
        <w:t xml:space="preserve"> .</w:t>
      </w:r>
      <w:proofErr w:type="gramEnd"/>
      <w:r w:rsidRPr="08F6898E">
        <w:rPr>
          <w:rFonts w:ascii="Arial Nova" w:eastAsia="Arial Nova" w:hAnsi="Arial Nova" w:cs="Arial Nova"/>
          <w:color w:val="292B2C"/>
          <w:sz w:val="24"/>
          <w:szCs w:val="24"/>
        </w:rPr>
        <w:t xml:space="preserve"> We validated the </w:t>
      </w:r>
      <w:proofErr w:type="spellStart"/>
      <w:r w:rsidRPr="08F6898E">
        <w:rPr>
          <w:rFonts w:ascii="Arial Nova" w:eastAsia="Arial Nova" w:hAnsi="Arial Nova" w:cs="Arial Nova"/>
          <w:color w:val="292B2C"/>
          <w:sz w:val="24"/>
          <w:szCs w:val="24"/>
        </w:rPr>
        <w:t>RayBiotech</w:t>
      </w:r>
      <w:proofErr w:type="spellEnd"/>
      <w:r w:rsidRPr="08F6898E">
        <w:rPr>
          <w:rFonts w:ascii="Arial Nova" w:eastAsia="Arial Nova" w:hAnsi="Arial Nova" w:cs="Arial Nova"/>
          <w:color w:val="292B2C"/>
          <w:sz w:val="24"/>
          <w:szCs w:val="24"/>
        </w:rPr>
        <w:t xml:space="preserve"> COVID-19 Human IgA ELISA Kit for human milk using a 1:3 dilution series (1:3, 1:9, 1:27, 1:81, and 1:243) and used this dilution series to establish an antibody titer in a previously published study.</w:t>
      </w:r>
      <w:r w:rsidRPr="08F6898E">
        <w:rPr>
          <w:rFonts w:eastAsiaTheme="minorEastAsia"/>
          <w:color w:val="292B2C"/>
          <w:sz w:val="24"/>
          <w:szCs w:val="24"/>
        </w:rPr>
        <w:fldChar w:fldCharType="begin" w:fldLock="1"/>
      </w:r>
      <w:r w:rsidRPr="08F6898E">
        <w:rPr>
          <w:rFonts w:eastAsiaTheme="minorEastAsia"/>
          <w:color w:val="292B2C"/>
          <w:sz w:val="24"/>
          <w:szCs w:val="24"/>
        </w:rPr>
        <w:instrText>ADDIN CSL_CITATION {"citationItems":[{"id":"ITEM-1","itemData":{"DOI":"10.1089/BFM.2021.0122","abstract":"Background: In 2019, a deadly virus known as severe acute respiratory syndrome coronavirus 2 (SARS-CoV-2), responsible for coronavirus disease 2019 (COVID-19), emerged. In December 2020, two mRNA-b...","author":[{"dropping-particle":"","family":"Valcarce","given":"Vivian","non-dropping-particle":"","parse-names":false,"suffix":""},{"dropping-particle":"","family":"Stafford","given":"Lauren Stewart","non-dropping-particle":"","parse-names":false,"suffix":""},{"dropping-particle":"","family":"Neu","given":"Josef","non-dropping-particle":"","parse-names":false,"suffix":""},{"dropping-particle":"","family":"Cacho","given":"Nicole","non-dropping-particle":"","parse-names":false,"suffix":""},{"dropping-particle":"","family":"Parker","given":"Leslie","non-dropping-particle":"","parse-names":false,"suffix":""},{"dropping-particle":"","family":"Mueller","given":"Martina","non-dropping-particle":"","parse-names":false,"suffix":""},{"dropping-particle":"","family":"Burchfield","given":"David J.","non-dropping-particle":"","parse-names":false,"suffix":""},{"dropping-particle":"","family":"Li","given":"Nan","non-dropping-particle":"","parse-names":false,"suffix":""},{"dropping-particle":"","family":"III","given":"Joseph Larkin","non-dropping-particle":"","parse-names":false,"suffix":""}],"container-title":"https://home.liebertpub.com/bfm","id":"ITEM-1","issued":{"date-parts":[["2021","8","20"]]},"publisher":" Mary Ann Liebert, Inc., publishers  140 Huguenot Street, 3rd Floor New Rochelle, NY 10801 USA  ","title":"Detection of SARS-CoV-2-Specific IgA in the Human Milk of COVID-19 Vaccinated Lactating Health Care Workers","type":"article-journal"},"uris":["http://www.mendeley.com/documents/?uuid=4dd7b24e-333a-3883-8d8d-58e715ba6d75"]}],"mendeley":{"formattedCitation":"(10)","plainTextFormattedCitation":"(10)","previouslyFormattedCitation":"(10)"},"properties":{"noteIndex":0},"schema":"https://github.com/citation-style-language/schema/raw/master/csl-citation.json"}</w:instrText>
      </w:r>
      <w:r w:rsidRPr="08F6898E">
        <w:rPr>
          <w:rFonts w:eastAsiaTheme="minorEastAsia"/>
          <w:color w:val="292B2C"/>
          <w:sz w:val="24"/>
          <w:szCs w:val="24"/>
        </w:rPr>
        <w:fldChar w:fldCharType="separate"/>
      </w:r>
      <w:r w:rsidRPr="08F6898E">
        <w:rPr>
          <w:rFonts w:eastAsiaTheme="minorEastAsia"/>
          <w:noProof/>
          <w:color w:val="292B2C"/>
          <w:sz w:val="24"/>
          <w:szCs w:val="24"/>
        </w:rPr>
        <w:t>(10)</w:t>
      </w:r>
      <w:r w:rsidRPr="08F6898E">
        <w:rPr>
          <w:rFonts w:eastAsiaTheme="minorEastAsia"/>
          <w:color w:val="292B2C"/>
          <w:sz w:val="24"/>
          <w:szCs w:val="24"/>
        </w:rPr>
        <w:fldChar w:fldCharType="end"/>
      </w:r>
      <w:r w:rsidRPr="08F6898E">
        <w:rPr>
          <w:rFonts w:ascii="Arial Nova" w:eastAsia="Arial Nova" w:hAnsi="Arial Nova" w:cs="Arial Nova"/>
          <w:color w:val="292B2C"/>
          <w:sz w:val="24"/>
          <w:szCs w:val="24"/>
        </w:rPr>
        <w:t xml:space="preserve"> All ELISA samples were ran in duplicate.</w:t>
      </w:r>
    </w:p>
    <w:p w14:paraId="0E5A3D7E" w14:textId="77777777" w:rsidR="002C1EE6" w:rsidRDefault="002C1EE6" w:rsidP="002C1EE6">
      <w:pPr>
        <w:spacing w:line="480" w:lineRule="auto"/>
        <w:rPr>
          <w:rFonts w:ascii="Arial Nova" w:eastAsia="Arial Nova" w:hAnsi="Arial Nova" w:cs="Arial Nova"/>
          <w:b/>
          <w:bCs/>
          <w:color w:val="000000" w:themeColor="text1"/>
          <w:sz w:val="24"/>
          <w:szCs w:val="24"/>
        </w:rPr>
      </w:pPr>
      <w:r w:rsidRPr="08F6898E">
        <w:rPr>
          <w:rFonts w:ascii="Arial Nova" w:eastAsia="Arial Nova" w:hAnsi="Arial Nova" w:cs="Arial Nova"/>
          <w:color w:val="292B2C"/>
          <w:sz w:val="24"/>
          <w:szCs w:val="24"/>
        </w:rPr>
        <w:t>SARS-CoV-2-specific IgA samples were diluted 1:3 in human milk. SARS-CoV-2 specific IgA samples were diluted 1:500 in plasma. SARS-CoV-2-specific IgG samples were run undiluted (1:1) in human milk. SARS-CoV-2 specific IgG samples were diluted 1:1000 in plasma. SARS-CoV-2 specific IgA and IgG samples were run undiluted (1:1) in infant stool.</w:t>
      </w:r>
      <w:r w:rsidRPr="08F6898E">
        <w:rPr>
          <w:rFonts w:ascii="Arial Nova" w:eastAsia="Arial Nova" w:hAnsi="Arial Nova" w:cs="Arial Nova"/>
          <w:b/>
          <w:bCs/>
          <w:color w:val="000000" w:themeColor="text1"/>
          <w:sz w:val="24"/>
          <w:szCs w:val="24"/>
        </w:rPr>
        <w:t xml:space="preserve"> </w:t>
      </w:r>
    </w:p>
    <w:p w14:paraId="36F5D434" w14:textId="77777777" w:rsidR="002C1EE6" w:rsidRDefault="002C1EE6" w:rsidP="002C1EE6">
      <w:pPr>
        <w:spacing w:line="480" w:lineRule="auto"/>
        <w:rPr>
          <w:rFonts w:ascii="Arial Nova" w:eastAsia="Arial Nova" w:hAnsi="Arial Nova" w:cs="Arial Nova"/>
          <w:color w:val="000000" w:themeColor="text1"/>
          <w:sz w:val="24"/>
          <w:szCs w:val="24"/>
        </w:rPr>
      </w:pPr>
      <w:r w:rsidRPr="08F6898E">
        <w:rPr>
          <w:rFonts w:ascii="Arial Nova" w:eastAsia="Arial Nova" w:hAnsi="Arial Nova" w:cs="Arial Nova"/>
          <w:b/>
          <w:bCs/>
          <w:color w:val="000000" w:themeColor="text1"/>
          <w:sz w:val="24"/>
          <w:szCs w:val="24"/>
        </w:rPr>
        <w:t>Neutralization assay protocol</w:t>
      </w:r>
      <w:r w:rsidRPr="08F6898E">
        <w:rPr>
          <w:rFonts w:ascii="Arial Nova" w:eastAsia="Arial Nova" w:hAnsi="Arial Nova" w:cs="Arial Nova"/>
          <w:color w:val="000000" w:themeColor="text1"/>
          <w:sz w:val="24"/>
          <w:szCs w:val="24"/>
        </w:rPr>
        <w:t xml:space="preserve"> </w:t>
      </w:r>
    </w:p>
    <w:p w14:paraId="0FDAA908" w14:textId="77777777" w:rsidR="002C1EE6" w:rsidRDefault="002C1EE6" w:rsidP="002C1EE6">
      <w:pPr>
        <w:spacing w:line="480" w:lineRule="auto"/>
        <w:rPr>
          <w:rFonts w:ascii="Arial Nova" w:eastAsia="Arial Nova" w:hAnsi="Arial Nova" w:cs="Arial Nova"/>
          <w:color w:val="000000" w:themeColor="text1"/>
          <w:sz w:val="24"/>
          <w:szCs w:val="24"/>
        </w:rPr>
      </w:pPr>
      <w:r w:rsidRPr="08F6898E">
        <w:rPr>
          <w:rFonts w:ascii="Arial Nova" w:eastAsia="Arial Nova" w:hAnsi="Arial Nova" w:cs="Arial Nova"/>
          <w:color w:val="000000" w:themeColor="text1"/>
          <w:sz w:val="24"/>
          <w:szCs w:val="24"/>
        </w:rPr>
        <w:t>Neutralization was adapted from a previously published protocol.</w:t>
      </w:r>
      <w:r w:rsidRPr="08F6898E">
        <w:rPr>
          <w:rFonts w:eastAsiaTheme="minorEastAsia"/>
          <w:color w:val="000000" w:themeColor="text1"/>
          <w:sz w:val="24"/>
          <w:szCs w:val="24"/>
        </w:rPr>
        <w:fldChar w:fldCharType="begin" w:fldLock="1"/>
      </w:r>
      <w:r w:rsidRPr="08F6898E">
        <w:rPr>
          <w:rFonts w:eastAsiaTheme="minorEastAsia"/>
          <w:color w:val="000000" w:themeColor="text1"/>
          <w:sz w:val="24"/>
          <w:szCs w:val="24"/>
        </w:rPr>
        <w:instrText>ADDIN CSL_CITATION {"citationItems":[{"id":"ITEM-1","itemData":{"DOI":"10.1093/INFDIS/JIAB498","ISSN":"0022-1899","PMID":"34612499","abstract":"Background: False positivity may hinder the utility of severe acute respiratory syndrome coronavirus 2 (SARS-CoV-2) serological tests in sub-Saharan Africa. Methods: From 312 Malian samples collected before 2020, we measured antibodies to the commonly tested SARS-CoV-2 antigens and 4 other betacoronaviruses by enzyme-linked immunosorbent assay (ELISA). In a subset of samples, we assessed antibodies to a panel of Plasmodium falciparum antigens by suspension bead array and functional antiviral activity by SARS-CoV-2 pseudovirus neutralization assay. We then evaluated the performance of an ELISA using SARS-CoV-2 spike protein and receptor-binding domain developed in the United States using Malian positive and negative control samples. To optimize test performance, we compared single- and 2-antigen approaches using existing assay cutoffs and population-specific cutoffs. Results: Background reactivity to SARS-CoV-2 antigens was common in prepandemic Malian samples. The SARS-CoV-2 reactivity varied between communities, increased with age, and correlated negligibly/weakly with other betacoronavirus and P falciparum antibodies. No prepandemic samples demonstrated functional activity. Regardless of the cutoffs applied, test specificity improved using a 2-antigen approach. Test performance was optimal using a 2-antigen assay with population-specific cutoffs (sensitivity, 73.9% [95% confidence interval {CI}, 51.6-89.8]; specificity, 99.4% [95% CI, 97.7-99.9]). Conclusions: We have addressed the problem of SARS-CoV-2 seroassay performance in Africa by using a 2-antigen assay with cutoffs defined by performance in the target population.","author":[{"dropping-particle":"","family":"Woodford","given":"John","non-dropping-particle":"","parse-names":false,"suffix":""},{"dropping-particle":"","family":"Sagara","given":"Issaka","non-dropping-particle":"","parse-names":false,"suffix":""},{"dropping-particle":"","family":"Dicko","given":"Alassane","non-dropping-particle":"","parse-names":false,"suffix":""},{"dropping-particle":"","family":"Zeguime","given":"Amatigue","non-dropping-particle":"","parse-names":false,"suffix":""},{"dropping-particle":"","family":"Doucoure","given":"M'Bouye","non-dropping-particle":"","parse-names":false,"suffix":""},{"dropping-particle":"","family":"Kwan","given":"Jennifer","non-dropping-particle":"","parse-names":false,"suffix":""},{"dropping-particle":"","family":"Zaidi","given":"Irfan","non-dropping-particle":"","parse-names":false,"suffix":""},{"dropping-particle":"","family":"Doritchamou","given":"Justin","non-dropping-particle":"","parse-names":false,"suffix":""},{"dropping-particle":"","family":"Snow-Smith","given":"Maryonne","non-dropping-particle":"","parse-names":false,"suffix":""},{"dropping-particle":"","family":"Alani","given":"Nada","non-dropping-particle":"","parse-names":false,"suffix":""},{"dropping-particle":"","family":"Renn","given":"Jonathan","non-dropping-particle":"","parse-names":false,"suffix":""},{"dropping-particle":"","family":"Kosik","given":"Ivan","non-dropping-particle":"","parse-names":false,"suffix":""},{"dropping-particle":"","family":"Holly","given":"Jaroslav","non-dropping-particle":"","parse-names":false,"suffix":""},{"dropping-particle":"","family":"Yewdell","given":"Jonathan","non-dropping-particle":"","parse-names":false,"suffix":""},{"dropping-particle":"","family":"Esposito","given":"Dominic","non-dropping-particle":"","parse-names":false,"suffix":""},{"dropping-particle":"","family":"Sadtler","given":"Kaitlyn","non-dropping-particle":"","parse-names":false,"suffix":""},{"dropping-particle":"","family":"Duffy","given":"Patrick","non-dropping-particle":"","parse-names":false,"suffix":""}],"container-title":"The Journal of Infectious Diseases","id":"ITEM-1","issue":"12","issued":{"date-parts":[["2021","12","15"]]},"page":"2001-2009","publisher":"Oxford Academic","title":"Severe Acute Respiratory Syndrome Coronavirus 2 Seroassay Performance and Optimization in a Population With High Background Reactivity in Mali","type":"article-journal","volume":"224"},"uris":["http://www.mendeley.com/documents/?uuid=a3ba61a6-57a8-3ac5-8fa8-56bc7b810ce5"]}],"mendeley":{"formattedCitation":"(24)","plainTextFormattedCitation":"(24)","previouslyFormattedCitation":"(24)"},"properties":{"noteIndex":0},"schema":"https://github.com/citation-style-language/schema/raw/master/csl-citation.json"}</w:instrText>
      </w:r>
      <w:r w:rsidRPr="08F6898E">
        <w:rPr>
          <w:rFonts w:eastAsiaTheme="minorEastAsia"/>
          <w:color w:val="000000" w:themeColor="text1"/>
          <w:sz w:val="24"/>
          <w:szCs w:val="24"/>
        </w:rPr>
        <w:fldChar w:fldCharType="separate"/>
      </w:r>
      <w:r w:rsidRPr="08F6898E">
        <w:rPr>
          <w:rFonts w:eastAsiaTheme="minorEastAsia"/>
          <w:noProof/>
          <w:color w:val="000000" w:themeColor="text1"/>
          <w:sz w:val="24"/>
          <w:szCs w:val="24"/>
        </w:rPr>
        <w:t>(24)</w:t>
      </w:r>
      <w:r w:rsidRPr="08F6898E">
        <w:rPr>
          <w:rFonts w:eastAsiaTheme="minorEastAsia"/>
          <w:color w:val="000000" w:themeColor="text1"/>
          <w:sz w:val="24"/>
          <w:szCs w:val="24"/>
        </w:rPr>
        <w:fldChar w:fldCharType="end"/>
      </w:r>
      <w:r w:rsidRPr="08F6898E">
        <w:rPr>
          <w:rFonts w:ascii="Arial Nova" w:eastAsia="Arial Nova" w:hAnsi="Arial Nova" w:cs="Arial Nova"/>
          <w:color w:val="000000" w:themeColor="text1"/>
          <w:sz w:val="24"/>
          <w:szCs w:val="24"/>
        </w:rPr>
        <w:t xml:space="preserve"> </w:t>
      </w:r>
      <w:proofErr w:type="spellStart"/>
      <w:r w:rsidRPr="08F6898E">
        <w:rPr>
          <w:rFonts w:ascii="Arial Nova" w:eastAsia="Arial Nova" w:hAnsi="Arial Nova" w:cs="Arial Nova"/>
          <w:color w:val="000000" w:themeColor="text1"/>
          <w:sz w:val="24"/>
          <w:szCs w:val="24"/>
        </w:rPr>
        <w:t>Pseudotyped</w:t>
      </w:r>
      <w:proofErr w:type="spellEnd"/>
      <w:r w:rsidRPr="08F6898E">
        <w:rPr>
          <w:rFonts w:ascii="Arial Nova" w:eastAsia="Arial Nova" w:hAnsi="Arial Nova" w:cs="Arial Nova"/>
          <w:color w:val="000000" w:themeColor="text1"/>
          <w:sz w:val="24"/>
          <w:szCs w:val="24"/>
        </w:rPr>
        <w:t xml:space="preserve"> VSV-gfp-SARS-CoV-2-sgp was used to test the neutralization capacity of SARS-CoV-2 specific antibodies in human milk, plasma, and infant stool before and after COVID-19 vaccination. Human milk (3-fold dilution series), plasma (5-fold dilution series), and infant stool samples (2-fold dilution series) were serially diluted and were incubated at 37°C with the pseudovirus for 1 hour. The virus/antibody mixture was subsequently added to infection-competent BHK-21 cells expressing the ACE-2 receptor to simulate natural </w:t>
      </w:r>
      <w:r w:rsidRPr="08F6898E">
        <w:rPr>
          <w:rFonts w:ascii="Arial Nova" w:eastAsia="Arial Nova" w:hAnsi="Arial Nova" w:cs="Arial Nova"/>
          <w:color w:val="000000" w:themeColor="text1"/>
          <w:sz w:val="24"/>
          <w:szCs w:val="24"/>
        </w:rPr>
        <w:lastRenderedPageBreak/>
        <w:t xml:space="preserve">infection (plated at 40 000 cells/100uL) and incubated overnight at 37°C. The next day, GFP fluorescence positivity was measured on the BD </w:t>
      </w:r>
      <w:proofErr w:type="spellStart"/>
      <w:r w:rsidRPr="08F6898E">
        <w:rPr>
          <w:rFonts w:ascii="Arial Nova" w:eastAsia="Arial Nova" w:hAnsi="Arial Nova" w:cs="Arial Nova"/>
          <w:color w:val="000000" w:themeColor="text1"/>
          <w:sz w:val="24"/>
          <w:szCs w:val="24"/>
        </w:rPr>
        <w:t>Accuri</w:t>
      </w:r>
      <w:proofErr w:type="spellEnd"/>
      <w:r w:rsidRPr="08F6898E">
        <w:rPr>
          <w:rFonts w:ascii="Arial Nova" w:eastAsia="Arial Nova" w:hAnsi="Arial Nova" w:cs="Arial Nova"/>
          <w:color w:val="000000" w:themeColor="text1"/>
          <w:sz w:val="24"/>
          <w:szCs w:val="24"/>
        </w:rPr>
        <w:t xml:space="preserve"> to quantify the neutralization capacity of the sample-derived antibodies. Sample values were normalized by the value of control samples (BHK-ACE2 cells with or without VSV-gfp-SARS-CoV-2-S-gp added).  (Supplemental Figure 2) </w:t>
      </w:r>
    </w:p>
    <w:p w14:paraId="52935F16" w14:textId="77777777" w:rsidR="002C1EE6" w:rsidRDefault="002C1EE6" w:rsidP="002C1EE6">
      <w:pPr>
        <w:spacing w:line="480" w:lineRule="auto"/>
        <w:rPr>
          <w:rFonts w:ascii="Arial Nova" w:eastAsia="Arial Nova" w:hAnsi="Arial Nova" w:cs="Arial Nova"/>
          <w:color w:val="000000" w:themeColor="text1"/>
          <w:sz w:val="24"/>
          <w:szCs w:val="24"/>
        </w:rPr>
      </w:pPr>
      <w:r w:rsidRPr="08F6898E">
        <w:rPr>
          <w:rFonts w:ascii="Arial Nova" w:eastAsia="Arial Nova" w:hAnsi="Arial Nova" w:cs="Arial Nova"/>
          <w:b/>
          <w:bCs/>
          <w:color w:val="000000" w:themeColor="text1"/>
          <w:sz w:val="24"/>
          <w:szCs w:val="24"/>
        </w:rPr>
        <w:t>BHK21-ACE2 cell maintenance</w:t>
      </w:r>
      <w:r w:rsidRPr="08F6898E">
        <w:rPr>
          <w:rFonts w:ascii="Arial Nova" w:eastAsia="Arial Nova" w:hAnsi="Arial Nova" w:cs="Arial Nova"/>
          <w:color w:val="000000" w:themeColor="text1"/>
          <w:sz w:val="24"/>
          <w:szCs w:val="24"/>
        </w:rPr>
        <w:t xml:space="preserve"> </w:t>
      </w:r>
    </w:p>
    <w:p w14:paraId="7AB3BE42" w14:textId="77777777" w:rsidR="002C1EE6" w:rsidRDefault="002C1EE6" w:rsidP="002C1EE6">
      <w:pPr>
        <w:spacing w:line="480" w:lineRule="auto"/>
        <w:rPr>
          <w:rFonts w:ascii="Arial Nova" w:eastAsia="Arial Nova" w:hAnsi="Arial Nova" w:cs="Arial Nova"/>
          <w:color w:val="000000" w:themeColor="text1"/>
          <w:sz w:val="24"/>
          <w:szCs w:val="24"/>
        </w:rPr>
      </w:pPr>
      <w:r w:rsidRPr="08F6898E">
        <w:rPr>
          <w:rFonts w:ascii="Arial Nova" w:eastAsia="Arial Nova" w:hAnsi="Arial Nova" w:cs="Arial Nova"/>
          <w:color w:val="000000" w:themeColor="text1"/>
          <w:sz w:val="24"/>
          <w:szCs w:val="24"/>
        </w:rPr>
        <w:t>A replicative VSVdG-SARS2-SgpFL pseudovirus and a permissive BHK21 cell line expressing human ACE2 receptor were kindly provided by Dr. Yewdell and Dr. Kosik (NIH/NIAID) and used for the neutralization assay.</w:t>
      </w:r>
      <w:r w:rsidRPr="08F6898E">
        <w:rPr>
          <w:rFonts w:eastAsiaTheme="minorEastAsia"/>
          <w:color w:val="000000" w:themeColor="text1"/>
          <w:sz w:val="24"/>
          <w:szCs w:val="24"/>
        </w:rPr>
        <w:fldChar w:fldCharType="begin" w:fldLock="1"/>
      </w:r>
      <w:r w:rsidRPr="08F6898E">
        <w:rPr>
          <w:rFonts w:eastAsiaTheme="minorEastAsia"/>
          <w:color w:val="000000" w:themeColor="text1"/>
          <w:sz w:val="24"/>
          <w:szCs w:val="24"/>
        </w:rPr>
        <w:instrText>ADDIN CSL_CITATION {"citationItems":[{"id":"ITEM-1","itemData":{"DOI":"10.1093/INFDIS/JIAB498","ISSN":"0022-1899","PMID":"34612499","abstract":"Background: False positivity may hinder the utility of severe acute respiratory syndrome coronavirus 2 (SARS-CoV-2) serological tests in sub-Saharan Africa. Methods: From 312 Malian samples collected before 2020, we measured antibodies to the commonly tested SARS-CoV-2 antigens and 4 other betacoronaviruses by enzyme-linked immunosorbent assay (ELISA). In a subset of samples, we assessed antibodies to a panel of Plasmodium falciparum antigens by suspension bead array and functional antiviral activity by SARS-CoV-2 pseudovirus neutralization assay. We then evaluated the performance of an ELISA using SARS-CoV-2 spike protein and receptor-binding domain developed in the United States using Malian positive and negative control samples. To optimize test performance, we compared single- and 2-antigen approaches using existing assay cutoffs and population-specific cutoffs. Results: Background reactivity to SARS-CoV-2 antigens was common in prepandemic Malian samples. The SARS-CoV-2 reactivity varied between communities, increased with age, and correlated negligibly/weakly with other betacoronavirus and P falciparum antibodies. No prepandemic samples demonstrated functional activity. Regardless of the cutoffs applied, test specificity improved using a 2-antigen approach. Test performance was optimal using a 2-antigen assay with population-specific cutoffs (sensitivity, 73.9% [95% confidence interval {CI}, 51.6-89.8]; specificity, 99.4% [95% CI, 97.7-99.9]). Conclusions: We have addressed the problem of SARS-CoV-2 seroassay performance in Africa by using a 2-antigen assay with cutoffs defined by performance in the target population.","author":[{"dropping-particle":"","family":"Woodford","given":"John","non-dropping-particle":"","parse-names":false,"suffix":""},{"dropping-particle":"","family":"Sagara","given":"Issaka","non-dropping-particle":"","parse-names":false,"suffix":""},{"dropping-particle":"","family":"Dicko","given":"Alassane","non-dropping-particle":"","parse-names":false,"suffix":""},{"dropping-particle":"","family":"Zeguime","given":"Amatigue","non-dropping-particle":"","parse-names":false,"suffix":""},{"dropping-particle":"","family":"Doucoure","given":"M'Bouye","non-dropping-particle":"","parse-names":false,"suffix":""},{"dropping-particle":"","family":"Kwan","given":"Jennifer","non-dropping-particle":"","parse-names":false,"suffix":""},{"dropping-particle":"","family":"Zaidi","given":"Irfan","non-dropping-particle":"","parse-names":false,"suffix":""},{"dropping-particle":"","family":"Doritchamou","given":"Justin","non-dropping-particle":"","parse-names":false,"suffix":""},{"dropping-particle":"","family":"Snow-Smith","given":"Maryonne","non-dropping-particle":"","parse-names":false,"suffix":""},{"dropping-particle":"","family":"Alani","given":"Nada","non-dropping-particle":"","parse-names":false,"suffix":""},{"dropping-particle":"","family":"Renn","given":"Jonathan","non-dropping-particle":"","parse-names":false,"suffix":""},{"dropping-particle":"","family":"Kosik","given":"Ivan","non-dropping-particle":"","parse-names":false,"suffix":""},{"dropping-particle":"","family":"Holly","given":"Jaroslav","non-dropping-particle":"","parse-names":false,"suffix":""},{"dropping-particle":"","family":"Yewdell","given":"Jonathan","non-dropping-particle":"","parse-names":false,"suffix":""},{"dropping-particle":"","family":"Esposito","given":"Dominic","non-dropping-particle":"","parse-names":false,"suffix":""},{"dropping-particle":"","family":"Sadtler","given":"Kaitlyn","non-dropping-particle":"","parse-names":false,"suffix":""},{"dropping-particle":"","family":"Duffy","given":"Patrick","non-dropping-particle":"","parse-names":false,"suffix":""}],"container-title":"The Journal of Infectious Diseases","id":"ITEM-1","issue":"12","issued":{"date-parts":[["2021","12","15"]]},"page":"2001-2009","publisher":"Oxford Academic","title":"Severe Acute Respiratory Syndrome Coronavirus 2 Seroassay Performance and Optimization in a Population With High Background Reactivity in Mali","type":"article-journal","volume":"224"},"uris":["http://www.mendeley.com/documents/?uuid=a3ba61a6-57a8-3ac5-8fa8-56bc7b810ce5"]}],"mendeley":{"formattedCitation":"(24)","plainTextFormattedCitation":"(24)","previouslyFormattedCitation":"(24)"},"properties":{"noteIndex":0},"schema":"https://github.com/citation-style-language/schema/raw/master/csl-citation.json"}</w:instrText>
      </w:r>
      <w:r w:rsidRPr="08F6898E">
        <w:rPr>
          <w:rFonts w:eastAsiaTheme="minorEastAsia"/>
          <w:color w:val="000000" w:themeColor="text1"/>
          <w:sz w:val="24"/>
          <w:szCs w:val="24"/>
        </w:rPr>
        <w:fldChar w:fldCharType="separate"/>
      </w:r>
      <w:r w:rsidRPr="08F6898E">
        <w:rPr>
          <w:rFonts w:eastAsiaTheme="minorEastAsia"/>
          <w:noProof/>
          <w:color w:val="000000" w:themeColor="text1"/>
          <w:sz w:val="24"/>
          <w:szCs w:val="24"/>
        </w:rPr>
        <w:t>(24)</w:t>
      </w:r>
      <w:r w:rsidRPr="08F6898E">
        <w:rPr>
          <w:rFonts w:eastAsiaTheme="minorEastAsia"/>
          <w:color w:val="000000" w:themeColor="text1"/>
          <w:sz w:val="24"/>
          <w:szCs w:val="24"/>
        </w:rPr>
        <w:fldChar w:fldCharType="end"/>
      </w:r>
      <w:r w:rsidRPr="08F6898E">
        <w:rPr>
          <w:rFonts w:ascii="Arial Nova" w:eastAsia="Arial Nova" w:hAnsi="Arial Nova" w:cs="Arial Nova"/>
          <w:color w:val="000000" w:themeColor="text1"/>
          <w:sz w:val="24"/>
          <w:szCs w:val="24"/>
        </w:rPr>
        <w:t>BHK-ACE2 cell line was maintained in DMEM supplemented with 8% FBS and incubated at 37°C, 5% CO</w:t>
      </w:r>
      <w:r w:rsidRPr="08F6898E">
        <w:rPr>
          <w:rFonts w:ascii="Arial Nova" w:eastAsia="Arial Nova" w:hAnsi="Arial Nova" w:cs="Arial Nova"/>
          <w:color w:val="000000" w:themeColor="text1"/>
          <w:sz w:val="24"/>
          <w:szCs w:val="24"/>
          <w:vertAlign w:val="subscript"/>
        </w:rPr>
        <w:t>2</w:t>
      </w:r>
      <w:r w:rsidRPr="08F6898E">
        <w:rPr>
          <w:rFonts w:ascii="Arial Nova" w:eastAsia="Arial Nova" w:hAnsi="Arial Nova" w:cs="Arial Nova"/>
          <w:color w:val="000000" w:themeColor="text1"/>
          <w:sz w:val="24"/>
          <w:szCs w:val="24"/>
        </w:rPr>
        <w:t xml:space="preserve">. </w:t>
      </w:r>
    </w:p>
    <w:p w14:paraId="5C96E010" w14:textId="77777777" w:rsidR="002C1EE6" w:rsidRDefault="002C1EE6" w:rsidP="002C1EE6">
      <w:pPr>
        <w:spacing w:line="480" w:lineRule="auto"/>
        <w:rPr>
          <w:rFonts w:ascii="Arial Nova" w:eastAsia="Arial Nova" w:hAnsi="Arial Nova" w:cs="Arial Nova"/>
          <w:color w:val="000000" w:themeColor="text1"/>
          <w:sz w:val="24"/>
          <w:szCs w:val="24"/>
        </w:rPr>
      </w:pPr>
      <w:r w:rsidRPr="08F6898E">
        <w:rPr>
          <w:rFonts w:ascii="Arial Nova" w:eastAsia="Arial Nova" w:hAnsi="Arial Nova" w:cs="Arial Nova"/>
          <w:b/>
          <w:bCs/>
          <w:color w:val="000000" w:themeColor="text1"/>
          <w:sz w:val="24"/>
          <w:szCs w:val="24"/>
        </w:rPr>
        <w:t>Viral propagation</w:t>
      </w:r>
      <w:r w:rsidRPr="08F6898E">
        <w:rPr>
          <w:rFonts w:ascii="Arial Nova" w:eastAsia="Arial Nova" w:hAnsi="Arial Nova" w:cs="Arial Nova"/>
          <w:color w:val="000000" w:themeColor="text1"/>
          <w:sz w:val="24"/>
          <w:szCs w:val="24"/>
        </w:rPr>
        <w:t xml:space="preserve"> </w:t>
      </w:r>
    </w:p>
    <w:p w14:paraId="231EA9D8" w14:textId="77777777" w:rsidR="002C1EE6" w:rsidRDefault="002C1EE6" w:rsidP="002C1EE6">
      <w:pPr>
        <w:spacing w:line="480" w:lineRule="auto"/>
        <w:rPr>
          <w:rFonts w:ascii="Arial Nova" w:eastAsia="Arial Nova" w:hAnsi="Arial Nova" w:cs="Arial Nova"/>
          <w:color w:val="000000" w:themeColor="text1"/>
          <w:sz w:val="24"/>
          <w:szCs w:val="24"/>
        </w:rPr>
      </w:pPr>
      <w:r w:rsidRPr="08F6898E">
        <w:rPr>
          <w:rFonts w:ascii="Arial Nova" w:eastAsia="Arial Nova" w:hAnsi="Arial Nova" w:cs="Arial Nova"/>
          <w:color w:val="000000" w:themeColor="text1"/>
          <w:sz w:val="24"/>
          <w:szCs w:val="24"/>
        </w:rPr>
        <w:t xml:space="preserve">Pseudovirus was propagated as previously shown with modifications. </w:t>
      </w:r>
      <w:r w:rsidRPr="08F6898E">
        <w:rPr>
          <w:rFonts w:eastAsiaTheme="minorEastAsia"/>
          <w:color w:val="000000" w:themeColor="text1"/>
          <w:sz w:val="24"/>
          <w:szCs w:val="24"/>
        </w:rPr>
        <w:fldChar w:fldCharType="begin" w:fldLock="1"/>
      </w:r>
      <w:r w:rsidRPr="08F6898E">
        <w:rPr>
          <w:rFonts w:eastAsiaTheme="minorEastAsia"/>
          <w:color w:val="000000" w:themeColor="text1"/>
          <w:sz w:val="24"/>
          <w:szCs w:val="24"/>
        </w:rPr>
        <w:instrText>ADDIN CSL_CITATION {"citationItems":[{"id":"ITEM-1","itemData":{"DOI":"10.1093/INFDIS/JIAB498","ISSN":"0022-1899","PMID":"34612499","abstract":"Background: False positivity may hinder the utility of severe acute respiratory syndrome coronavirus 2 (SARS-CoV-2) serological tests in sub-Saharan Africa. Methods: From 312 Malian samples collected before 2020, we measured antibodies to the commonly tested SARS-CoV-2 antigens and 4 other betacoronaviruses by enzyme-linked immunosorbent assay (ELISA). In a subset of samples, we assessed antibodies to a panel of Plasmodium falciparum antigens by suspension bead array and functional antiviral activity by SARS-CoV-2 pseudovirus neutralization assay. We then evaluated the performance of an ELISA using SARS-CoV-2 spike protein and receptor-binding domain developed in the United States using Malian positive and negative control samples. To optimize test performance, we compared single- and 2-antigen approaches using existing assay cutoffs and population-specific cutoffs. Results: Background reactivity to SARS-CoV-2 antigens was common in prepandemic Malian samples. The SARS-CoV-2 reactivity varied between communities, increased with age, and correlated negligibly/weakly with other betacoronavirus and P falciparum antibodies. No prepandemic samples demonstrated functional activity. Regardless of the cutoffs applied, test specificity improved using a 2-antigen approach. Test performance was optimal using a 2-antigen assay with population-specific cutoffs (sensitivity, 73.9% [95% confidence interval {CI}, 51.6-89.8]; specificity, 99.4% [95% CI, 97.7-99.9]). Conclusions: We have addressed the problem of SARS-CoV-2 seroassay performance in Africa by using a 2-antigen assay with cutoffs defined by performance in the target population.","author":[{"dropping-particle":"","family":"Woodford","given":"John","non-dropping-particle":"","parse-names":false,"suffix":""},{"dropping-particle":"","family":"Sagara","given":"Issaka","non-dropping-particle":"","parse-names":false,"suffix":""},{"dropping-particle":"","family":"Dicko","given":"Alassane","non-dropping-particle":"","parse-names":false,"suffix":""},{"dropping-particle":"","family":"Zeguime","given":"Amatigue","non-dropping-particle":"","parse-names":false,"suffix":""},{"dropping-particle":"","family":"Doucoure","given":"M'Bouye","non-dropping-particle":"","parse-names":false,"suffix":""},{"dropping-particle":"","family":"Kwan","given":"Jennifer","non-dropping-particle":"","parse-names":false,"suffix":""},{"dropping-particle":"","family":"Zaidi","given":"Irfan","non-dropping-particle":"","parse-names":false,"suffix":""},{"dropping-particle":"","family":"Doritchamou","given":"Justin","non-dropping-particle":"","parse-names":false,"suffix":""},{"dropping-particle":"","family":"Snow-Smith","given":"Maryonne","non-dropping-particle":"","parse-names":false,"suffix":""},{"dropping-particle":"","family":"Alani","given":"Nada","non-dropping-particle":"","parse-names":false,"suffix":""},{"dropping-particle":"","family":"Renn","given":"Jonathan","non-dropping-particle":"","parse-names":false,"suffix":""},{"dropping-particle":"","family":"Kosik","given":"Ivan","non-dropping-particle":"","parse-names":false,"suffix":""},{"dropping-particle":"","family":"Holly","given":"Jaroslav","non-dropping-particle":"","parse-names":false,"suffix":""},{"dropping-particle":"","family":"Yewdell","given":"Jonathan","non-dropping-particle":"","parse-names":false,"suffix":""},{"dropping-particle":"","family":"Esposito","given":"Dominic","non-dropping-particle":"","parse-names":false,"suffix":""},{"dropping-particle":"","family":"Sadtler","given":"Kaitlyn","non-dropping-particle":"","parse-names":false,"suffix":""},{"dropping-particle":"","family":"Duffy","given":"Patrick","non-dropping-particle":"","parse-names":false,"suffix":""}],"container-title":"The Journal of Infectious Diseases","id":"ITEM-1","issue":"12","issued":{"date-parts":[["2021","12","15"]]},"page":"2001-2009","publisher":"Oxford Academic","title":"Severe Acute Respiratory Syndrome Coronavirus 2 Seroassay Performance and Optimization in a Population With High Background Reactivity in Mali","type":"article-journal","volume":"224"},"uris":["http://www.mendeley.com/documents/?uuid=a3ba61a6-57a8-3ac5-8fa8-56bc7b810ce5"]}],"mendeley":{"formattedCitation":"(24)","plainTextFormattedCitation":"(24)","previouslyFormattedCitation":"(24)"},"properties":{"noteIndex":0},"schema":"https://github.com/citation-style-language/schema/raw/master/csl-citation.json"}</w:instrText>
      </w:r>
      <w:r w:rsidRPr="08F6898E">
        <w:rPr>
          <w:rFonts w:eastAsiaTheme="minorEastAsia"/>
          <w:color w:val="000000" w:themeColor="text1"/>
          <w:sz w:val="24"/>
          <w:szCs w:val="24"/>
        </w:rPr>
        <w:fldChar w:fldCharType="separate"/>
      </w:r>
      <w:r w:rsidRPr="08F6898E">
        <w:rPr>
          <w:rFonts w:eastAsiaTheme="minorEastAsia"/>
          <w:noProof/>
          <w:color w:val="000000" w:themeColor="text1"/>
          <w:sz w:val="24"/>
          <w:szCs w:val="24"/>
        </w:rPr>
        <w:t>(24)</w:t>
      </w:r>
      <w:r w:rsidRPr="08F6898E">
        <w:rPr>
          <w:rFonts w:eastAsiaTheme="minorEastAsia"/>
          <w:color w:val="000000" w:themeColor="text1"/>
          <w:sz w:val="24"/>
          <w:szCs w:val="24"/>
        </w:rPr>
        <w:fldChar w:fldCharType="end"/>
      </w:r>
      <w:r w:rsidRPr="08F6898E">
        <w:rPr>
          <w:rFonts w:ascii="Arial Nova" w:eastAsia="Arial Nova" w:hAnsi="Arial Nova" w:cs="Arial Nova"/>
          <w:color w:val="000000" w:themeColor="text1"/>
          <w:sz w:val="24"/>
          <w:szCs w:val="24"/>
        </w:rPr>
        <w:t xml:space="preserve">BHK-ACE2 were seeded and allowed to grow to 95% confluency. Once 95% confluency was reached, 50µL of VSVdG-SARS2-SgpFL pseudovirus viral stock in 3 mL DMEM containing 8% FBS was added to the flask. The flask was gently rocked for one hour for even inoculum distribution, followed by inoculum aspiration and the addition of media (10 ml). Once 95% of the monolayer was depleted (48-72 hours post-infection), the supernatant was collected and centrifuged (4500 RPM) for ten minutes. The supernatant was transferred to a new centrifuge tube and pellet resuspended in 3 mL DPBS. The pellet was subsequently disrupted for four consecutive freezes, thaws, and then sonication cycles. Following centrifugation at 4500 RPM for 10 minutes, the disrupted </w:t>
      </w:r>
      <w:r w:rsidRPr="08F6898E">
        <w:rPr>
          <w:rFonts w:ascii="Arial Nova" w:eastAsia="Arial Nova" w:hAnsi="Arial Nova" w:cs="Arial Nova"/>
          <w:color w:val="000000" w:themeColor="text1"/>
          <w:sz w:val="24"/>
          <w:szCs w:val="24"/>
        </w:rPr>
        <w:lastRenderedPageBreak/>
        <w:t>pellet contents were combined with previously saved supernatant, aliquoted into 0.5 mL volumes, and stored at -80°C for future use.</w:t>
      </w:r>
    </w:p>
    <w:p w14:paraId="1DCC8D74" w14:textId="77777777" w:rsidR="00944C16" w:rsidRDefault="00944C16"/>
    <w:sectPr w:rsidR="00944C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EE6"/>
    <w:rsid w:val="00040FB7"/>
    <w:rsid w:val="001C2C9C"/>
    <w:rsid w:val="002C1EE6"/>
    <w:rsid w:val="00492124"/>
    <w:rsid w:val="005878FE"/>
    <w:rsid w:val="00772FEE"/>
    <w:rsid w:val="007C0823"/>
    <w:rsid w:val="00944C16"/>
    <w:rsid w:val="00A52835"/>
    <w:rsid w:val="00C473E2"/>
    <w:rsid w:val="00FE36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E0C9B1"/>
  <w15:chartTrackingRefBased/>
  <w15:docId w15:val="{CA11F5D7-AAC5-DB4E-9820-88244E63C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EE6"/>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2818</Words>
  <Characters>16068</Characters>
  <Application>Microsoft Office Word</Application>
  <DocSecurity>0</DocSecurity>
  <Lines>133</Lines>
  <Paragraphs>37</Paragraphs>
  <ScaleCrop>false</ScaleCrop>
  <Company/>
  <LinksUpToDate>false</LinksUpToDate>
  <CharactersWithSpaces>18849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Stafford,Lauren S</dc:creator>
  <cp:keywords/>
  <dc:description/>
  <cp:lastModifiedBy>Stafford,Lauren S</cp:lastModifiedBy>
  <cp:revision>1</cp:revision>
  <dcterms:created xsi:type="dcterms:W3CDTF">2022-08-10T20:49:00Z</dcterms:created>
  <dcterms:modified xsi:type="dcterms:W3CDTF">2022-08-10T20:49:00Z</dcterms:modified>
</cp:coreProperties>
</file>