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8416F9" w14:textId="1D075616" w:rsidR="005A41CD" w:rsidRPr="00107078" w:rsidRDefault="005A41CD" w:rsidP="005A41CD">
      <w:pPr>
        <w:spacing w:line="480" w:lineRule="auto"/>
        <w:rPr>
          <w:rFonts w:ascii="Arial" w:hAnsi="Arial" w:cs="Arial"/>
          <w:lang w:val="en-GB"/>
        </w:rPr>
      </w:pPr>
      <w:r>
        <w:rPr>
          <w:rFonts w:ascii="Arial" w:hAnsi="Arial" w:cs="Arial"/>
          <w:b/>
          <w:bCs/>
          <w:lang w:val="en-GB"/>
        </w:rPr>
        <w:t>Additional file 1</w:t>
      </w:r>
      <w:r>
        <w:rPr>
          <w:rFonts w:ascii="Arial" w:hAnsi="Arial" w:cs="Arial"/>
          <w:lang w:val="en-GB"/>
        </w:rPr>
        <w:tab/>
        <w:t>SWB (ONS4) datasets</w:t>
      </w:r>
    </w:p>
    <w:p w14:paraId="607F4CCE" w14:textId="0EB25CC5" w:rsidR="00474647" w:rsidRDefault="00474647">
      <w:pPr>
        <w:rPr>
          <w:rFonts w:ascii="Arial" w:hAnsi="Arial" w:cs="Arial"/>
          <w:sz w:val="16"/>
          <w:szCs w:val="16"/>
          <w:lang w:val="es-ES"/>
        </w:rPr>
      </w:pPr>
    </w:p>
    <w:tbl>
      <w:tblPr>
        <w:tblW w:w="9656" w:type="dxa"/>
        <w:tblLook w:val="04A0" w:firstRow="1" w:lastRow="0" w:firstColumn="1" w:lastColumn="0" w:noHBand="0" w:noVBand="1"/>
      </w:tblPr>
      <w:tblGrid>
        <w:gridCol w:w="1638"/>
        <w:gridCol w:w="1995"/>
        <w:gridCol w:w="3257"/>
        <w:gridCol w:w="997"/>
        <w:gridCol w:w="1769"/>
      </w:tblGrid>
      <w:tr w:rsidR="00474647" w:rsidRPr="00474647" w14:paraId="45371558" w14:textId="77777777" w:rsidTr="00474647">
        <w:trPr>
          <w:trHeight w:val="536"/>
        </w:trPr>
        <w:tc>
          <w:tcPr>
            <w:tcW w:w="1638" w:type="dxa"/>
            <w:tcBorders>
              <w:top w:val="double" w:sz="4" w:space="0" w:color="auto"/>
              <w:left w:val="nil"/>
              <w:bottom w:val="double" w:sz="4" w:space="0" w:color="auto"/>
              <w:right w:val="nil"/>
            </w:tcBorders>
            <w:shd w:val="clear" w:color="000000" w:fill="FFFFFF"/>
            <w:vAlign w:val="center"/>
            <w:hideMark/>
          </w:tcPr>
          <w:p w14:paraId="4331CD44" w14:textId="77777777" w:rsidR="00474647" w:rsidRPr="00474647" w:rsidRDefault="00474647" w:rsidP="00474647">
            <w:pPr>
              <w:jc w:val="center"/>
              <w:rPr>
                <w:rFonts w:ascii="Arial" w:eastAsia="Times New Roman" w:hAnsi="Arial" w:cs="Arial"/>
                <w:b/>
                <w:bCs/>
                <w:sz w:val="16"/>
                <w:szCs w:val="16"/>
                <w:lang w:eastAsia="en-GB"/>
              </w:rPr>
            </w:pPr>
            <w:r w:rsidRPr="00474647">
              <w:rPr>
                <w:rFonts w:ascii="Arial" w:eastAsia="Times New Roman" w:hAnsi="Arial" w:cs="Arial"/>
                <w:b/>
                <w:bCs/>
                <w:sz w:val="16"/>
                <w:szCs w:val="16"/>
                <w:lang w:eastAsia="en-GB"/>
              </w:rPr>
              <w:t>Organisation</w:t>
            </w:r>
          </w:p>
        </w:tc>
        <w:tc>
          <w:tcPr>
            <w:tcW w:w="1995" w:type="dxa"/>
            <w:tcBorders>
              <w:top w:val="double" w:sz="4" w:space="0" w:color="auto"/>
              <w:left w:val="nil"/>
              <w:bottom w:val="double" w:sz="4" w:space="0" w:color="auto"/>
              <w:right w:val="nil"/>
            </w:tcBorders>
            <w:shd w:val="clear" w:color="000000" w:fill="FFFFFF"/>
            <w:vAlign w:val="center"/>
            <w:hideMark/>
          </w:tcPr>
          <w:p w14:paraId="689C7694" w14:textId="77777777" w:rsidR="00474647" w:rsidRPr="00474647" w:rsidRDefault="00474647" w:rsidP="00474647">
            <w:pPr>
              <w:jc w:val="center"/>
              <w:rPr>
                <w:rFonts w:ascii="Arial" w:eastAsia="Times New Roman" w:hAnsi="Arial" w:cs="Arial"/>
                <w:b/>
                <w:bCs/>
                <w:sz w:val="16"/>
                <w:szCs w:val="16"/>
                <w:lang w:eastAsia="en-GB"/>
              </w:rPr>
            </w:pPr>
            <w:r w:rsidRPr="00474647">
              <w:rPr>
                <w:rFonts w:ascii="Arial" w:eastAsia="Times New Roman" w:hAnsi="Arial" w:cs="Arial"/>
                <w:b/>
                <w:bCs/>
                <w:sz w:val="16"/>
                <w:szCs w:val="16"/>
                <w:lang w:eastAsia="en-GB"/>
              </w:rPr>
              <w:t> </w:t>
            </w:r>
            <w:r w:rsidRPr="00474647">
              <w:rPr>
                <w:rFonts w:ascii="Arial" w:eastAsia="Times New Roman" w:hAnsi="Arial" w:cs="Arial"/>
                <w:b/>
                <w:bCs/>
                <w:sz w:val="16"/>
                <w:szCs w:val="16"/>
                <w:lang w:eastAsia="en-GB"/>
              </w:rPr>
              <w:t>Survey</w:t>
            </w:r>
          </w:p>
        </w:tc>
        <w:tc>
          <w:tcPr>
            <w:tcW w:w="3257" w:type="dxa"/>
            <w:tcBorders>
              <w:top w:val="double" w:sz="4" w:space="0" w:color="auto"/>
              <w:left w:val="nil"/>
              <w:bottom w:val="double" w:sz="4" w:space="0" w:color="auto"/>
              <w:right w:val="nil"/>
            </w:tcBorders>
            <w:shd w:val="clear" w:color="000000" w:fill="FFFFFF"/>
            <w:vAlign w:val="center"/>
            <w:hideMark/>
          </w:tcPr>
          <w:p w14:paraId="557DF38A" w14:textId="77777777" w:rsidR="00474647" w:rsidRPr="00474647" w:rsidRDefault="00474647" w:rsidP="00474647">
            <w:pPr>
              <w:jc w:val="center"/>
              <w:rPr>
                <w:rFonts w:ascii="Arial" w:eastAsia="Times New Roman" w:hAnsi="Arial" w:cs="Arial"/>
                <w:b/>
                <w:bCs/>
                <w:sz w:val="16"/>
                <w:szCs w:val="16"/>
                <w:lang w:eastAsia="en-GB"/>
              </w:rPr>
            </w:pPr>
            <w:r w:rsidRPr="00474647">
              <w:rPr>
                <w:rFonts w:ascii="Arial" w:eastAsia="Times New Roman" w:hAnsi="Arial" w:cs="Arial"/>
                <w:b/>
                <w:bCs/>
                <w:sz w:val="16"/>
                <w:szCs w:val="16"/>
                <w:lang w:eastAsia="en-GB"/>
              </w:rPr>
              <w:t>Topics covered</w:t>
            </w:r>
          </w:p>
        </w:tc>
        <w:tc>
          <w:tcPr>
            <w:tcW w:w="997" w:type="dxa"/>
            <w:tcBorders>
              <w:top w:val="double" w:sz="4" w:space="0" w:color="auto"/>
              <w:left w:val="nil"/>
              <w:bottom w:val="double" w:sz="4" w:space="0" w:color="auto"/>
              <w:right w:val="nil"/>
            </w:tcBorders>
            <w:shd w:val="clear" w:color="000000" w:fill="FFFFFF"/>
            <w:vAlign w:val="center"/>
            <w:hideMark/>
          </w:tcPr>
          <w:p w14:paraId="5BF4E4ED" w14:textId="77777777" w:rsidR="00474647" w:rsidRPr="00474647" w:rsidRDefault="00474647" w:rsidP="00474647">
            <w:pPr>
              <w:jc w:val="center"/>
              <w:rPr>
                <w:rFonts w:ascii="Arial" w:eastAsia="Times New Roman" w:hAnsi="Arial" w:cs="Arial"/>
                <w:b/>
                <w:bCs/>
                <w:sz w:val="16"/>
                <w:szCs w:val="16"/>
                <w:lang w:eastAsia="en-GB"/>
              </w:rPr>
            </w:pPr>
            <w:r w:rsidRPr="00474647">
              <w:rPr>
                <w:rFonts w:ascii="Arial" w:eastAsia="Times New Roman" w:hAnsi="Arial" w:cs="Arial"/>
                <w:b/>
                <w:bCs/>
                <w:sz w:val="16"/>
                <w:szCs w:val="16"/>
                <w:lang w:eastAsia="en-GB"/>
              </w:rPr>
              <w:t>First asked</w:t>
            </w:r>
          </w:p>
        </w:tc>
        <w:tc>
          <w:tcPr>
            <w:tcW w:w="1769" w:type="dxa"/>
            <w:tcBorders>
              <w:top w:val="double" w:sz="4" w:space="0" w:color="auto"/>
              <w:left w:val="nil"/>
              <w:bottom w:val="double" w:sz="4" w:space="0" w:color="auto"/>
              <w:right w:val="nil"/>
            </w:tcBorders>
            <w:shd w:val="clear" w:color="000000" w:fill="FFFFFF"/>
            <w:vAlign w:val="center"/>
            <w:hideMark/>
          </w:tcPr>
          <w:p w14:paraId="5CFF323C" w14:textId="77777777" w:rsidR="00474647" w:rsidRPr="00474647" w:rsidRDefault="00474647" w:rsidP="00474647">
            <w:pPr>
              <w:jc w:val="center"/>
              <w:rPr>
                <w:rFonts w:ascii="Arial" w:eastAsia="Times New Roman" w:hAnsi="Arial" w:cs="Arial"/>
                <w:b/>
                <w:bCs/>
                <w:sz w:val="16"/>
                <w:szCs w:val="16"/>
                <w:lang w:eastAsia="en-GB"/>
              </w:rPr>
            </w:pPr>
            <w:r w:rsidRPr="00474647">
              <w:rPr>
                <w:rFonts w:ascii="Arial" w:eastAsia="Times New Roman" w:hAnsi="Arial" w:cs="Arial"/>
                <w:b/>
                <w:bCs/>
                <w:sz w:val="16"/>
                <w:szCs w:val="16"/>
                <w:lang w:eastAsia="en-GB"/>
              </w:rPr>
              <w:t>Frequency of update</w:t>
            </w:r>
          </w:p>
        </w:tc>
      </w:tr>
      <w:tr w:rsidR="00474647" w:rsidRPr="00474647" w14:paraId="3DCD73AD" w14:textId="77777777" w:rsidTr="00474647">
        <w:trPr>
          <w:trHeight w:val="714"/>
        </w:trPr>
        <w:tc>
          <w:tcPr>
            <w:tcW w:w="1638" w:type="dxa"/>
            <w:vMerge w:val="restart"/>
            <w:tcBorders>
              <w:top w:val="double" w:sz="4" w:space="0" w:color="auto"/>
              <w:left w:val="nil"/>
              <w:bottom w:val="single" w:sz="4" w:space="0" w:color="000000"/>
              <w:right w:val="nil"/>
            </w:tcBorders>
            <w:shd w:val="clear" w:color="000000" w:fill="FFFFFF"/>
            <w:vAlign w:val="center"/>
            <w:hideMark/>
          </w:tcPr>
          <w:p w14:paraId="6D3A99DF"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Office for National </w:t>
            </w:r>
            <w:r w:rsidRPr="00474647">
              <w:rPr>
                <w:rFonts w:ascii="Arial" w:eastAsia="Times New Roman" w:hAnsi="Arial" w:cs="Arial"/>
                <w:sz w:val="16"/>
                <w:szCs w:val="16"/>
                <w:lang w:eastAsia="en-GB"/>
              </w:rPr>
              <w:br/>
              <w:t>Statistics (ONS)</w:t>
            </w:r>
          </w:p>
        </w:tc>
        <w:tc>
          <w:tcPr>
            <w:tcW w:w="1995" w:type="dxa"/>
            <w:tcBorders>
              <w:top w:val="double" w:sz="4" w:space="0" w:color="auto"/>
              <w:left w:val="nil"/>
              <w:bottom w:val="single" w:sz="4" w:space="0" w:color="auto"/>
              <w:right w:val="nil"/>
            </w:tcBorders>
            <w:shd w:val="clear" w:color="000000" w:fill="FFFFFF"/>
            <w:vAlign w:val="center"/>
            <w:hideMark/>
          </w:tcPr>
          <w:p w14:paraId="7C2DF61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 Population Survey (APS)</w:t>
            </w:r>
          </w:p>
        </w:tc>
        <w:tc>
          <w:tcPr>
            <w:tcW w:w="3257" w:type="dxa"/>
            <w:tcBorders>
              <w:top w:val="double" w:sz="4" w:space="0" w:color="auto"/>
              <w:left w:val="nil"/>
              <w:bottom w:val="single" w:sz="4" w:space="0" w:color="auto"/>
              <w:right w:val="nil"/>
            </w:tcBorders>
            <w:shd w:val="clear" w:color="000000" w:fill="FFFFFF"/>
            <w:hideMark/>
          </w:tcPr>
          <w:p w14:paraId="0A47011D"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Labour market data including employment and unemployment, as well as housing, ethnicity, religion, health and education.</w:t>
            </w:r>
          </w:p>
        </w:tc>
        <w:tc>
          <w:tcPr>
            <w:tcW w:w="997" w:type="dxa"/>
            <w:tcBorders>
              <w:top w:val="double" w:sz="4" w:space="0" w:color="auto"/>
              <w:left w:val="nil"/>
              <w:bottom w:val="single" w:sz="4" w:space="0" w:color="auto"/>
              <w:right w:val="nil"/>
            </w:tcBorders>
            <w:shd w:val="clear" w:color="000000" w:fill="FFFFFF"/>
            <w:vAlign w:val="center"/>
            <w:hideMark/>
          </w:tcPr>
          <w:p w14:paraId="61027BE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April 2011</w:t>
            </w:r>
            <w:r w:rsidRPr="00474647">
              <w:rPr>
                <w:rFonts w:ascii="Arial" w:eastAsia="Times New Roman" w:hAnsi="Arial" w:cs="Arial"/>
                <w:sz w:val="16"/>
                <w:szCs w:val="16"/>
                <w:lang w:eastAsia="en-GB"/>
              </w:rPr>
              <w:br/>
              <w:t>to March 2012</w:t>
            </w:r>
          </w:p>
        </w:tc>
        <w:tc>
          <w:tcPr>
            <w:tcW w:w="1769" w:type="dxa"/>
            <w:tcBorders>
              <w:top w:val="double" w:sz="4" w:space="0" w:color="auto"/>
              <w:left w:val="nil"/>
              <w:bottom w:val="single" w:sz="4" w:space="0" w:color="auto"/>
              <w:right w:val="nil"/>
            </w:tcBorders>
            <w:shd w:val="clear" w:color="000000" w:fill="FFFFFF"/>
            <w:vAlign w:val="center"/>
            <w:hideMark/>
          </w:tcPr>
          <w:p w14:paraId="3757C92C"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53A68C5D" w14:textId="77777777" w:rsidTr="00474647">
        <w:trPr>
          <w:trHeight w:val="952"/>
        </w:trPr>
        <w:tc>
          <w:tcPr>
            <w:tcW w:w="1638" w:type="dxa"/>
            <w:vMerge/>
            <w:tcBorders>
              <w:top w:val="nil"/>
              <w:left w:val="nil"/>
              <w:bottom w:val="single" w:sz="4" w:space="0" w:color="000000"/>
              <w:right w:val="nil"/>
            </w:tcBorders>
            <w:vAlign w:val="center"/>
            <w:hideMark/>
          </w:tcPr>
          <w:p w14:paraId="0DDB93C2"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3BC04022"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Wealth and Assets Survey</w:t>
            </w:r>
          </w:p>
        </w:tc>
        <w:tc>
          <w:tcPr>
            <w:tcW w:w="3257" w:type="dxa"/>
            <w:tcBorders>
              <w:top w:val="nil"/>
              <w:left w:val="nil"/>
              <w:bottom w:val="single" w:sz="4" w:space="0" w:color="auto"/>
              <w:right w:val="nil"/>
            </w:tcBorders>
            <w:shd w:val="clear" w:color="000000" w:fill="FFFFFF"/>
            <w:hideMark/>
          </w:tcPr>
          <w:p w14:paraId="59693D34"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Level of assets, savings and debt; saving for retirement; how wealth is distributed among households or individuals; and factors that affect financial planning.</w:t>
            </w:r>
          </w:p>
        </w:tc>
        <w:tc>
          <w:tcPr>
            <w:tcW w:w="997" w:type="dxa"/>
            <w:tcBorders>
              <w:top w:val="nil"/>
              <w:left w:val="nil"/>
              <w:bottom w:val="single" w:sz="4" w:space="0" w:color="auto"/>
              <w:right w:val="nil"/>
            </w:tcBorders>
            <w:shd w:val="clear" w:color="000000" w:fill="FFFFFF"/>
            <w:vAlign w:val="center"/>
            <w:hideMark/>
          </w:tcPr>
          <w:p w14:paraId="355DE07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July 2011 to </w:t>
            </w:r>
            <w:r w:rsidRPr="00474647">
              <w:rPr>
                <w:rFonts w:ascii="Arial" w:eastAsia="Times New Roman" w:hAnsi="Arial" w:cs="Arial"/>
                <w:sz w:val="16"/>
                <w:szCs w:val="16"/>
                <w:lang w:eastAsia="en-GB"/>
              </w:rPr>
              <w:br/>
              <w:t xml:space="preserve">June 2012 </w:t>
            </w:r>
            <w:r w:rsidRPr="00474647">
              <w:rPr>
                <w:rFonts w:ascii="Arial" w:eastAsia="Times New Roman" w:hAnsi="Arial" w:cs="Arial"/>
                <w:sz w:val="16"/>
                <w:szCs w:val="16"/>
                <w:lang w:eastAsia="en-GB"/>
              </w:rPr>
              <w:br/>
              <w:t>(Wave 3)</w:t>
            </w:r>
          </w:p>
        </w:tc>
        <w:tc>
          <w:tcPr>
            <w:tcW w:w="1769" w:type="dxa"/>
            <w:tcBorders>
              <w:top w:val="nil"/>
              <w:left w:val="nil"/>
              <w:bottom w:val="single" w:sz="4" w:space="0" w:color="auto"/>
              <w:right w:val="nil"/>
            </w:tcBorders>
            <w:shd w:val="clear" w:color="000000" w:fill="FFFFFF"/>
            <w:vAlign w:val="center"/>
            <w:hideMark/>
          </w:tcPr>
          <w:p w14:paraId="6D78F04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Bi-annual</w:t>
            </w:r>
          </w:p>
        </w:tc>
      </w:tr>
      <w:tr w:rsidR="00474647" w:rsidRPr="00474647" w14:paraId="61C09B64" w14:textId="77777777" w:rsidTr="00474647">
        <w:trPr>
          <w:trHeight w:val="714"/>
        </w:trPr>
        <w:tc>
          <w:tcPr>
            <w:tcW w:w="1638" w:type="dxa"/>
            <w:vMerge/>
            <w:tcBorders>
              <w:top w:val="nil"/>
              <w:left w:val="nil"/>
              <w:bottom w:val="single" w:sz="4" w:space="0" w:color="000000"/>
              <w:right w:val="nil"/>
            </w:tcBorders>
            <w:vAlign w:val="center"/>
            <w:hideMark/>
          </w:tcPr>
          <w:p w14:paraId="3763AB05"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05A4B37D"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Living Costs and Foods Survey </w:t>
            </w:r>
          </w:p>
        </w:tc>
        <w:tc>
          <w:tcPr>
            <w:tcW w:w="3257" w:type="dxa"/>
            <w:tcBorders>
              <w:top w:val="nil"/>
              <w:left w:val="nil"/>
              <w:bottom w:val="single" w:sz="4" w:space="0" w:color="auto"/>
              <w:right w:val="nil"/>
            </w:tcBorders>
            <w:shd w:val="clear" w:color="000000" w:fill="FFFFFF"/>
            <w:hideMark/>
          </w:tcPr>
          <w:p w14:paraId="1A867FA1"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Household spending patterns for the consumer prices index and for GDP figures and detailed information on food consumption and nutrition.</w:t>
            </w:r>
          </w:p>
        </w:tc>
        <w:tc>
          <w:tcPr>
            <w:tcW w:w="997" w:type="dxa"/>
            <w:tcBorders>
              <w:top w:val="nil"/>
              <w:left w:val="nil"/>
              <w:bottom w:val="single" w:sz="4" w:space="0" w:color="auto"/>
              <w:right w:val="nil"/>
            </w:tcBorders>
            <w:shd w:val="clear" w:color="000000" w:fill="FFFFFF"/>
            <w:vAlign w:val="center"/>
            <w:hideMark/>
          </w:tcPr>
          <w:p w14:paraId="34DB065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April 2011 to </w:t>
            </w:r>
            <w:r w:rsidRPr="00474647">
              <w:rPr>
                <w:rFonts w:ascii="Arial" w:eastAsia="Times New Roman" w:hAnsi="Arial" w:cs="Arial"/>
                <w:sz w:val="16"/>
                <w:szCs w:val="16"/>
                <w:lang w:eastAsia="en-GB"/>
              </w:rPr>
              <w:br/>
              <w:t>March 2012</w:t>
            </w:r>
          </w:p>
        </w:tc>
        <w:tc>
          <w:tcPr>
            <w:tcW w:w="1769" w:type="dxa"/>
            <w:tcBorders>
              <w:top w:val="nil"/>
              <w:left w:val="nil"/>
              <w:bottom w:val="single" w:sz="4" w:space="0" w:color="auto"/>
              <w:right w:val="nil"/>
            </w:tcBorders>
            <w:shd w:val="clear" w:color="000000" w:fill="FFFFFF"/>
            <w:vAlign w:val="center"/>
            <w:hideMark/>
          </w:tcPr>
          <w:p w14:paraId="518E78E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33638265" w14:textId="77777777" w:rsidTr="00474647">
        <w:trPr>
          <w:trHeight w:val="952"/>
        </w:trPr>
        <w:tc>
          <w:tcPr>
            <w:tcW w:w="1638" w:type="dxa"/>
            <w:vMerge/>
            <w:tcBorders>
              <w:top w:val="nil"/>
              <w:left w:val="nil"/>
              <w:bottom w:val="single" w:sz="4" w:space="0" w:color="000000"/>
              <w:right w:val="nil"/>
            </w:tcBorders>
            <w:vAlign w:val="center"/>
            <w:hideMark/>
          </w:tcPr>
          <w:p w14:paraId="35163FFE"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31A1C5FF"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Crime Survey for England and Wales</w:t>
            </w:r>
          </w:p>
        </w:tc>
        <w:tc>
          <w:tcPr>
            <w:tcW w:w="3257" w:type="dxa"/>
            <w:tcBorders>
              <w:top w:val="nil"/>
              <w:left w:val="nil"/>
              <w:bottom w:val="single" w:sz="4" w:space="0" w:color="auto"/>
              <w:right w:val="nil"/>
            </w:tcBorders>
            <w:shd w:val="clear" w:color="000000" w:fill="FFFFFF"/>
            <w:hideMark/>
          </w:tcPr>
          <w:p w14:paraId="26358F7F"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Experience of crime and attitudes to crime-related issues such as the police, the criminal justice system, and perceptions of crime and anti-social behaviour.</w:t>
            </w:r>
          </w:p>
        </w:tc>
        <w:tc>
          <w:tcPr>
            <w:tcW w:w="997" w:type="dxa"/>
            <w:tcBorders>
              <w:top w:val="nil"/>
              <w:left w:val="nil"/>
              <w:bottom w:val="single" w:sz="4" w:space="0" w:color="auto"/>
              <w:right w:val="nil"/>
            </w:tcBorders>
            <w:shd w:val="clear" w:color="000000" w:fill="FFFFFF"/>
            <w:vAlign w:val="center"/>
            <w:hideMark/>
          </w:tcPr>
          <w:p w14:paraId="6FCEB60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April 2012</w:t>
            </w:r>
          </w:p>
        </w:tc>
        <w:tc>
          <w:tcPr>
            <w:tcW w:w="1769" w:type="dxa"/>
            <w:tcBorders>
              <w:top w:val="nil"/>
              <w:left w:val="nil"/>
              <w:bottom w:val="single" w:sz="4" w:space="0" w:color="auto"/>
              <w:right w:val="nil"/>
            </w:tcBorders>
            <w:shd w:val="clear" w:color="000000" w:fill="FFFFFF"/>
            <w:vAlign w:val="center"/>
            <w:hideMark/>
          </w:tcPr>
          <w:p w14:paraId="682A21E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Annual with </w:t>
            </w:r>
            <w:r w:rsidRPr="00474647">
              <w:rPr>
                <w:rFonts w:ascii="Arial" w:eastAsia="Times New Roman" w:hAnsi="Arial" w:cs="Arial"/>
                <w:sz w:val="16"/>
                <w:szCs w:val="16"/>
                <w:lang w:eastAsia="en-GB"/>
              </w:rPr>
              <w:br/>
              <w:t>quarterly</w:t>
            </w:r>
            <w:r w:rsidRPr="00474647">
              <w:rPr>
                <w:rFonts w:ascii="Arial" w:eastAsia="Times New Roman" w:hAnsi="Arial" w:cs="Arial"/>
                <w:sz w:val="16"/>
                <w:szCs w:val="16"/>
                <w:lang w:eastAsia="en-GB"/>
              </w:rPr>
              <w:br/>
              <w:t>updates</w:t>
            </w:r>
          </w:p>
        </w:tc>
      </w:tr>
      <w:tr w:rsidR="00474647" w:rsidRPr="00474647" w14:paraId="40F1AB4D" w14:textId="77777777" w:rsidTr="00474647">
        <w:trPr>
          <w:trHeight w:val="1191"/>
        </w:trPr>
        <w:tc>
          <w:tcPr>
            <w:tcW w:w="1638" w:type="dxa"/>
            <w:vMerge/>
            <w:tcBorders>
              <w:top w:val="nil"/>
              <w:left w:val="nil"/>
              <w:bottom w:val="single" w:sz="4" w:space="0" w:color="000000"/>
              <w:right w:val="nil"/>
            </w:tcBorders>
            <w:vAlign w:val="center"/>
            <w:hideMark/>
          </w:tcPr>
          <w:p w14:paraId="0B8E309D"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68EBBB4B"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Opinions and Lifestyle Survey </w:t>
            </w:r>
          </w:p>
        </w:tc>
        <w:tc>
          <w:tcPr>
            <w:tcW w:w="3257" w:type="dxa"/>
            <w:tcBorders>
              <w:top w:val="nil"/>
              <w:left w:val="nil"/>
              <w:bottom w:val="single" w:sz="4" w:space="0" w:color="auto"/>
              <w:right w:val="nil"/>
            </w:tcBorders>
            <w:shd w:val="clear" w:color="000000" w:fill="FFFFFF"/>
            <w:hideMark/>
          </w:tcPr>
          <w:p w14:paraId="367D184B"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Collects information on a variety of topics that are too small to have surveys of their own. Topics that have been previously commissioned include smoking habits, cancer awareness, charitable giving, climate change and disability.</w:t>
            </w:r>
          </w:p>
        </w:tc>
        <w:tc>
          <w:tcPr>
            <w:tcW w:w="997" w:type="dxa"/>
            <w:tcBorders>
              <w:top w:val="nil"/>
              <w:left w:val="nil"/>
              <w:bottom w:val="single" w:sz="4" w:space="0" w:color="auto"/>
              <w:right w:val="nil"/>
            </w:tcBorders>
            <w:shd w:val="clear" w:color="000000" w:fill="FFFFFF"/>
            <w:vAlign w:val="center"/>
            <w:hideMark/>
          </w:tcPr>
          <w:p w14:paraId="7819CC3C"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April 2011</w:t>
            </w:r>
          </w:p>
        </w:tc>
        <w:tc>
          <w:tcPr>
            <w:tcW w:w="1769" w:type="dxa"/>
            <w:tcBorders>
              <w:top w:val="nil"/>
              <w:left w:val="nil"/>
              <w:bottom w:val="single" w:sz="4" w:space="0" w:color="auto"/>
              <w:right w:val="nil"/>
            </w:tcBorders>
            <w:shd w:val="clear" w:color="000000" w:fill="FFFFFF"/>
            <w:vAlign w:val="center"/>
            <w:hideMark/>
          </w:tcPr>
          <w:p w14:paraId="10BD159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Monthly </w:t>
            </w:r>
          </w:p>
        </w:tc>
      </w:tr>
      <w:tr w:rsidR="00474647" w:rsidRPr="00474647" w14:paraId="47DC74F1" w14:textId="77777777" w:rsidTr="00474647">
        <w:trPr>
          <w:trHeight w:val="1449"/>
        </w:trPr>
        <w:tc>
          <w:tcPr>
            <w:tcW w:w="1638" w:type="dxa"/>
            <w:tcBorders>
              <w:top w:val="nil"/>
              <w:left w:val="nil"/>
              <w:bottom w:val="single" w:sz="4" w:space="0" w:color="auto"/>
              <w:right w:val="nil"/>
            </w:tcBorders>
            <w:shd w:val="clear" w:color="000000" w:fill="FFFFFF"/>
            <w:vAlign w:val="center"/>
            <w:hideMark/>
          </w:tcPr>
          <w:p w14:paraId="12458F54"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University of Oxford </w:t>
            </w:r>
            <w:r w:rsidRPr="00474647">
              <w:rPr>
                <w:rFonts w:ascii="Arial" w:eastAsia="Times New Roman" w:hAnsi="Arial" w:cs="Arial"/>
                <w:sz w:val="16"/>
                <w:szCs w:val="16"/>
                <w:lang w:eastAsia="en-GB"/>
              </w:rPr>
              <w:br/>
              <w:t>and ONS</w:t>
            </w:r>
          </w:p>
        </w:tc>
        <w:tc>
          <w:tcPr>
            <w:tcW w:w="1995" w:type="dxa"/>
            <w:tcBorders>
              <w:top w:val="nil"/>
              <w:left w:val="nil"/>
              <w:bottom w:val="single" w:sz="4" w:space="0" w:color="auto"/>
              <w:right w:val="nil"/>
            </w:tcBorders>
            <w:shd w:val="clear" w:color="000000" w:fill="FFFFFF"/>
            <w:vAlign w:val="center"/>
            <w:hideMark/>
          </w:tcPr>
          <w:p w14:paraId="119841A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Time Use Survey </w:t>
            </w:r>
          </w:p>
        </w:tc>
        <w:tc>
          <w:tcPr>
            <w:tcW w:w="3257" w:type="dxa"/>
            <w:tcBorders>
              <w:top w:val="nil"/>
              <w:left w:val="nil"/>
              <w:bottom w:val="single" w:sz="4" w:space="0" w:color="auto"/>
              <w:right w:val="nil"/>
            </w:tcBorders>
            <w:shd w:val="clear" w:color="000000" w:fill="FFFFFF"/>
            <w:hideMark/>
          </w:tcPr>
          <w:p w14:paraId="191AE5EE"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Diary entry survey. The substantive domains are main activity (49 categories), secondary activity (10 categories), location and means of transport (11 categories) and with whom ( 8 categories). The temporal identifier holds information on the time when episodes start and end.</w:t>
            </w:r>
          </w:p>
        </w:tc>
        <w:tc>
          <w:tcPr>
            <w:tcW w:w="997" w:type="dxa"/>
            <w:tcBorders>
              <w:top w:val="nil"/>
              <w:left w:val="nil"/>
              <w:bottom w:val="single" w:sz="4" w:space="0" w:color="auto"/>
              <w:right w:val="nil"/>
            </w:tcBorders>
            <w:shd w:val="clear" w:color="000000" w:fill="FFFFFF"/>
            <w:vAlign w:val="center"/>
            <w:hideMark/>
          </w:tcPr>
          <w:p w14:paraId="37F39B8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April 2014 to </w:t>
            </w:r>
            <w:r w:rsidRPr="00474647">
              <w:rPr>
                <w:rFonts w:ascii="Arial" w:eastAsia="Times New Roman" w:hAnsi="Arial" w:cs="Arial"/>
                <w:sz w:val="16"/>
                <w:szCs w:val="16"/>
                <w:lang w:eastAsia="en-GB"/>
              </w:rPr>
              <w:br/>
              <w:t>March 2015</w:t>
            </w:r>
          </w:p>
        </w:tc>
        <w:tc>
          <w:tcPr>
            <w:tcW w:w="1769" w:type="dxa"/>
            <w:tcBorders>
              <w:top w:val="nil"/>
              <w:left w:val="nil"/>
              <w:bottom w:val="single" w:sz="4" w:space="0" w:color="auto"/>
              <w:right w:val="nil"/>
            </w:tcBorders>
            <w:shd w:val="clear" w:color="000000" w:fill="FFFFFF"/>
            <w:vAlign w:val="center"/>
            <w:hideMark/>
          </w:tcPr>
          <w:p w14:paraId="17A2492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4ECBB17D" w14:textId="77777777" w:rsidTr="00474647">
        <w:trPr>
          <w:trHeight w:val="714"/>
        </w:trPr>
        <w:tc>
          <w:tcPr>
            <w:tcW w:w="1638" w:type="dxa"/>
            <w:vMerge w:val="restart"/>
            <w:tcBorders>
              <w:top w:val="nil"/>
              <w:left w:val="nil"/>
              <w:bottom w:val="single" w:sz="4" w:space="0" w:color="000000"/>
              <w:right w:val="nil"/>
            </w:tcBorders>
            <w:shd w:val="clear" w:color="000000" w:fill="FFFFFF"/>
            <w:vAlign w:val="center"/>
            <w:hideMark/>
          </w:tcPr>
          <w:p w14:paraId="6F7F285A"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Cabinet Office</w:t>
            </w:r>
          </w:p>
        </w:tc>
        <w:tc>
          <w:tcPr>
            <w:tcW w:w="1995" w:type="dxa"/>
            <w:tcBorders>
              <w:top w:val="nil"/>
              <w:left w:val="nil"/>
              <w:bottom w:val="single" w:sz="4" w:space="0" w:color="auto"/>
              <w:right w:val="nil"/>
            </w:tcBorders>
            <w:shd w:val="clear" w:color="000000" w:fill="FFFFFF"/>
            <w:vAlign w:val="center"/>
            <w:hideMark/>
          </w:tcPr>
          <w:p w14:paraId="7C3BE6A0"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National Citizenship Services Evaluation </w:t>
            </w:r>
          </w:p>
        </w:tc>
        <w:tc>
          <w:tcPr>
            <w:tcW w:w="3257" w:type="dxa"/>
            <w:tcBorders>
              <w:top w:val="nil"/>
              <w:left w:val="nil"/>
              <w:bottom w:val="single" w:sz="4" w:space="0" w:color="auto"/>
              <w:right w:val="nil"/>
            </w:tcBorders>
            <w:shd w:val="clear" w:color="000000" w:fill="FFFFFF"/>
            <w:hideMark/>
          </w:tcPr>
          <w:p w14:paraId="210B718D"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Social mixing; transition to adulthood; teamwork, communication and leadership; and community involvement.</w:t>
            </w:r>
          </w:p>
        </w:tc>
        <w:tc>
          <w:tcPr>
            <w:tcW w:w="997" w:type="dxa"/>
            <w:tcBorders>
              <w:top w:val="nil"/>
              <w:left w:val="nil"/>
              <w:bottom w:val="single" w:sz="4" w:space="0" w:color="auto"/>
              <w:right w:val="nil"/>
            </w:tcBorders>
            <w:shd w:val="clear" w:color="000000" w:fill="FFFFFF"/>
            <w:vAlign w:val="center"/>
            <w:hideMark/>
          </w:tcPr>
          <w:p w14:paraId="4F0FF79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2014</w:t>
            </w:r>
          </w:p>
        </w:tc>
        <w:tc>
          <w:tcPr>
            <w:tcW w:w="1769" w:type="dxa"/>
            <w:tcBorders>
              <w:top w:val="nil"/>
              <w:left w:val="nil"/>
              <w:bottom w:val="single" w:sz="4" w:space="0" w:color="auto"/>
              <w:right w:val="nil"/>
            </w:tcBorders>
            <w:shd w:val="clear" w:color="000000" w:fill="FFFFFF"/>
            <w:vAlign w:val="center"/>
            <w:hideMark/>
          </w:tcPr>
          <w:p w14:paraId="3299BBF0"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6D3A950E" w14:textId="77777777" w:rsidTr="00474647">
        <w:trPr>
          <w:trHeight w:val="476"/>
        </w:trPr>
        <w:tc>
          <w:tcPr>
            <w:tcW w:w="1638" w:type="dxa"/>
            <w:vMerge/>
            <w:tcBorders>
              <w:top w:val="nil"/>
              <w:left w:val="nil"/>
              <w:bottom w:val="single" w:sz="4" w:space="0" w:color="000000"/>
              <w:right w:val="nil"/>
            </w:tcBorders>
            <w:vAlign w:val="center"/>
            <w:hideMark/>
          </w:tcPr>
          <w:p w14:paraId="7764F74D"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77703E9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Youth Social Action Survey  </w:t>
            </w:r>
          </w:p>
        </w:tc>
        <w:tc>
          <w:tcPr>
            <w:tcW w:w="3257" w:type="dxa"/>
            <w:tcBorders>
              <w:top w:val="nil"/>
              <w:left w:val="nil"/>
              <w:bottom w:val="single" w:sz="4" w:space="0" w:color="auto"/>
              <w:right w:val="nil"/>
            </w:tcBorders>
            <w:shd w:val="clear" w:color="000000" w:fill="FFFFFF"/>
            <w:hideMark/>
          </w:tcPr>
          <w:p w14:paraId="281DAC7A"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Social Action (Only Satisfaction and Worthwhile included).</w:t>
            </w:r>
          </w:p>
        </w:tc>
        <w:tc>
          <w:tcPr>
            <w:tcW w:w="997" w:type="dxa"/>
            <w:tcBorders>
              <w:top w:val="nil"/>
              <w:left w:val="nil"/>
              <w:bottom w:val="single" w:sz="4" w:space="0" w:color="auto"/>
              <w:right w:val="nil"/>
            </w:tcBorders>
            <w:shd w:val="clear" w:color="000000" w:fill="FFFFFF"/>
            <w:vAlign w:val="center"/>
            <w:hideMark/>
          </w:tcPr>
          <w:p w14:paraId="156E8FC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2014</w:t>
            </w:r>
          </w:p>
        </w:tc>
        <w:tc>
          <w:tcPr>
            <w:tcW w:w="1769" w:type="dxa"/>
            <w:tcBorders>
              <w:top w:val="nil"/>
              <w:left w:val="nil"/>
              <w:bottom w:val="single" w:sz="4" w:space="0" w:color="auto"/>
              <w:right w:val="nil"/>
            </w:tcBorders>
            <w:shd w:val="clear" w:color="000000" w:fill="FFFFFF"/>
            <w:vAlign w:val="center"/>
            <w:hideMark/>
          </w:tcPr>
          <w:p w14:paraId="4D8E756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6EEFCB3A" w14:textId="77777777" w:rsidTr="00474647">
        <w:trPr>
          <w:trHeight w:val="1429"/>
        </w:trPr>
        <w:tc>
          <w:tcPr>
            <w:tcW w:w="1638" w:type="dxa"/>
            <w:vMerge w:val="restart"/>
            <w:tcBorders>
              <w:top w:val="nil"/>
              <w:left w:val="nil"/>
              <w:bottom w:val="single" w:sz="4" w:space="0" w:color="000000"/>
              <w:right w:val="nil"/>
            </w:tcBorders>
            <w:shd w:val="clear" w:color="000000" w:fill="FFFFFF"/>
            <w:vAlign w:val="center"/>
            <w:hideMark/>
          </w:tcPr>
          <w:p w14:paraId="7B753377"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Department for </w:t>
            </w:r>
            <w:r w:rsidRPr="00474647">
              <w:rPr>
                <w:rFonts w:ascii="Arial" w:eastAsia="Times New Roman" w:hAnsi="Arial" w:cs="Arial"/>
                <w:sz w:val="16"/>
                <w:szCs w:val="16"/>
                <w:lang w:eastAsia="en-GB"/>
              </w:rPr>
              <w:br/>
              <w:t xml:space="preserve">Work and Pensions </w:t>
            </w:r>
            <w:r w:rsidRPr="00474647">
              <w:rPr>
                <w:rFonts w:ascii="Arial" w:eastAsia="Times New Roman" w:hAnsi="Arial" w:cs="Arial"/>
                <w:sz w:val="16"/>
                <w:szCs w:val="16"/>
                <w:lang w:eastAsia="en-GB"/>
              </w:rPr>
              <w:br/>
              <w:t xml:space="preserve">(DWP) </w:t>
            </w:r>
          </w:p>
        </w:tc>
        <w:tc>
          <w:tcPr>
            <w:tcW w:w="1995" w:type="dxa"/>
            <w:tcBorders>
              <w:top w:val="nil"/>
              <w:left w:val="nil"/>
              <w:bottom w:val="single" w:sz="4" w:space="0" w:color="auto"/>
              <w:right w:val="nil"/>
            </w:tcBorders>
            <w:shd w:val="clear" w:color="000000" w:fill="FFFFFF"/>
            <w:vAlign w:val="center"/>
            <w:hideMark/>
          </w:tcPr>
          <w:p w14:paraId="5A446652"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Life Opportunities Survey</w:t>
            </w:r>
          </w:p>
        </w:tc>
        <w:tc>
          <w:tcPr>
            <w:tcW w:w="3257" w:type="dxa"/>
            <w:tcBorders>
              <w:top w:val="nil"/>
              <w:left w:val="nil"/>
              <w:bottom w:val="single" w:sz="4" w:space="0" w:color="auto"/>
              <w:right w:val="nil"/>
            </w:tcBorders>
            <w:shd w:val="clear" w:color="000000" w:fill="FFFFFF"/>
            <w:hideMark/>
          </w:tcPr>
          <w:p w14:paraId="0D164F01"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Measures how disabled and non-disabled people participate in society in a number of areas which include:</w:t>
            </w:r>
            <w:r w:rsidRPr="00474647">
              <w:rPr>
                <w:rFonts w:ascii="Arial" w:eastAsia="Times New Roman" w:hAnsi="Arial" w:cs="Arial"/>
                <w:sz w:val="16"/>
                <w:szCs w:val="16"/>
                <w:lang w:eastAsia="en-GB"/>
              </w:rPr>
              <w:br/>
              <w:t>• work</w:t>
            </w:r>
            <w:r w:rsidRPr="00474647">
              <w:rPr>
                <w:rFonts w:ascii="Arial" w:eastAsia="Times New Roman" w:hAnsi="Arial" w:cs="Arial"/>
                <w:sz w:val="16"/>
                <w:szCs w:val="16"/>
                <w:lang w:eastAsia="en-GB"/>
              </w:rPr>
              <w:br/>
              <w:t>• education</w:t>
            </w:r>
            <w:r w:rsidRPr="00474647">
              <w:rPr>
                <w:rFonts w:ascii="Arial" w:eastAsia="Times New Roman" w:hAnsi="Arial" w:cs="Arial"/>
                <w:sz w:val="16"/>
                <w:szCs w:val="16"/>
                <w:lang w:eastAsia="en-GB"/>
              </w:rPr>
              <w:br/>
              <w:t>• social participation</w:t>
            </w:r>
          </w:p>
        </w:tc>
        <w:tc>
          <w:tcPr>
            <w:tcW w:w="997" w:type="dxa"/>
            <w:tcBorders>
              <w:top w:val="nil"/>
              <w:left w:val="nil"/>
              <w:bottom w:val="single" w:sz="4" w:space="0" w:color="auto"/>
              <w:right w:val="nil"/>
            </w:tcBorders>
            <w:shd w:val="clear" w:color="000000" w:fill="FFFFFF"/>
            <w:vAlign w:val="center"/>
            <w:hideMark/>
          </w:tcPr>
          <w:p w14:paraId="2BE18C7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2013 to 2014 </w:t>
            </w:r>
          </w:p>
        </w:tc>
        <w:tc>
          <w:tcPr>
            <w:tcW w:w="1769" w:type="dxa"/>
            <w:tcBorders>
              <w:top w:val="nil"/>
              <w:left w:val="nil"/>
              <w:bottom w:val="single" w:sz="4" w:space="0" w:color="auto"/>
              <w:right w:val="nil"/>
            </w:tcBorders>
            <w:shd w:val="clear" w:color="000000" w:fill="FFFFFF"/>
            <w:vAlign w:val="center"/>
            <w:hideMark/>
          </w:tcPr>
          <w:p w14:paraId="06D6866E"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17188507" w14:textId="77777777" w:rsidTr="00474647">
        <w:trPr>
          <w:trHeight w:val="714"/>
        </w:trPr>
        <w:tc>
          <w:tcPr>
            <w:tcW w:w="1638" w:type="dxa"/>
            <w:vMerge/>
            <w:tcBorders>
              <w:top w:val="nil"/>
              <w:left w:val="nil"/>
              <w:bottom w:val="single" w:sz="4" w:space="0" w:color="000000"/>
              <w:right w:val="nil"/>
            </w:tcBorders>
            <w:vAlign w:val="center"/>
            <w:hideMark/>
          </w:tcPr>
          <w:p w14:paraId="005462CA"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405E967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The National Study of </w:t>
            </w:r>
            <w:r w:rsidRPr="00474647">
              <w:rPr>
                <w:rFonts w:ascii="Arial" w:eastAsia="Times New Roman" w:hAnsi="Arial" w:cs="Arial"/>
                <w:sz w:val="16"/>
                <w:szCs w:val="16"/>
                <w:lang w:eastAsia="en-GB"/>
              </w:rPr>
              <w:br/>
              <w:t xml:space="preserve">Work Search and </w:t>
            </w:r>
            <w:r w:rsidRPr="00474647">
              <w:rPr>
                <w:rFonts w:ascii="Arial" w:eastAsia="Times New Roman" w:hAnsi="Arial" w:cs="Arial"/>
                <w:sz w:val="16"/>
                <w:szCs w:val="16"/>
                <w:lang w:eastAsia="en-GB"/>
              </w:rPr>
              <w:br/>
              <w:t>Wellbeing Findings</w:t>
            </w:r>
          </w:p>
        </w:tc>
        <w:tc>
          <w:tcPr>
            <w:tcW w:w="3257" w:type="dxa"/>
            <w:tcBorders>
              <w:top w:val="nil"/>
              <w:left w:val="nil"/>
              <w:bottom w:val="single" w:sz="4" w:space="0" w:color="auto"/>
              <w:right w:val="nil"/>
            </w:tcBorders>
            <w:shd w:val="clear" w:color="000000" w:fill="FFFFFF"/>
            <w:hideMark/>
          </w:tcPr>
          <w:p w14:paraId="07BECD64"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Psychological health and well-being of Jobseekers Allowance (JSA) claimants.</w:t>
            </w:r>
          </w:p>
        </w:tc>
        <w:tc>
          <w:tcPr>
            <w:tcW w:w="997" w:type="dxa"/>
            <w:tcBorders>
              <w:top w:val="nil"/>
              <w:left w:val="nil"/>
              <w:bottom w:val="single" w:sz="4" w:space="0" w:color="auto"/>
              <w:right w:val="nil"/>
            </w:tcBorders>
            <w:shd w:val="clear" w:color="000000" w:fill="FFFFFF"/>
            <w:vAlign w:val="center"/>
            <w:hideMark/>
          </w:tcPr>
          <w:p w14:paraId="3DDA30BF"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2011</w:t>
            </w:r>
          </w:p>
        </w:tc>
        <w:tc>
          <w:tcPr>
            <w:tcW w:w="1769" w:type="dxa"/>
            <w:tcBorders>
              <w:top w:val="nil"/>
              <w:left w:val="nil"/>
              <w:bottom w:val="single" w:sz="4" w:space="0" w:color="auto"/>
              <w:right w:val="nil"/>
            </w:tcBorders>
            <w:shd w:val="clear" w:color="000000" w:fill="FFFFFF"/>
            <w:vAlign w:val="center"/>
            <w:hideMark/>
          </w:tcPr>
          <w:p w14:paraId="768CEACC"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556E1158" w14:textId="77777777" w:rsidTr="00474647">
        <w:trPr>
          <w:trHeight w:val="714"/>
        </w:trPr>
        <w:tc>
          <w:tcPr>
            <w:tcW w:w="1638" w:type="dxa"/>
            <w:vMerge/>
            <w:tcBorders>
              <w:top w:val="nil"/>
              <w:left w:val="nil"/>
              <w:bottom w:val="single" w:sz="4" w:space="0" w:color="000000"/>
              <w:right w:val="nil"/>
            </w:tcBorders>
            <w:vAlign w:val="center"/>
            <w:hideMark/>
          </w:tcPr>
          <w:p w14:paraId="22B42D32"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75368DDC"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English Longitudinal Study of Ageing (ELSA)</w:t>
            </w:r>
          </w:p>
        </w:tc>
        <w:tc>
          <w:tcPr>
            <w:tcW w:w="3257" w:type="dxa"/>
            <w:tcBorders>
              <w:top w:val="nil"/>
              <w:left w:val="nil"/>
              <w:bottom w:val="single" w:sz="4" w:space="0" w:color="auto"/>
              <w:right w:val="nil"/>
            </w:tcBorders>
            <w:shd w:val="clear" w:color="000000" w:fill="FFFFFF"/>
            <w:hideMark/>
          </w:tcPr>
          <w:p w14:paraId="48ED21B0"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Information on the health, social, wellbeing and economic circumstances of the English population aged 50 years and older.</w:t>
            </w:r>
          </w:p>
        </w:tc>
        <w:tc>
          <w:tcPr>
            <w:tcW w:w="997" w:type="dxa"/>
            <w:tcBorders>
              <w:top w:val="nil"/>
              <w:left w:val="nil"/>
              <w:bottom w:val="single" w:sz="4" w:space="0" w:color="auto"/>
              <w:right w:val="nil"/>
            </w:tcBorders>
            <w:shd w:val="clear" w:color="000000" w:fill="FFFFFF"/>
            <w:vAlign w:val="center"/>
            <w:hideMark/>
          </w:tcPr>
          <w:p w14:paraId="4C32450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April 2012 to </w:t>
            </w:r>
            <w:r w:rsidRPr="00474647">
              <w:rPr>
                <w:rFonts w:ascii="Arial" w:eastAsia="Times New Roman" w:hAnsi="Arial" w:cs="Arial"/>
                <w:sz w:val="16"/>
                <w:szCs w:val="16"/>
                <w:lang w:eastAsia="en-GB"/>
              </w:rPr>
              <w:br/>
              <w:t>March 2013</w:t>
            </w:r>
          </w:p>
        </w:tc>
        <w:tc>
          <w:tcPr>
            <w:tcW w:w="1769" w:type="dxa"/>
            <w:tcBorders>
              <w:top w:val="nil"/>
              <w:left w:val="nil"/>
              <w:bottom w:val="single" w:sz="4" w:space="0" w:color="auto"/>
              <w:right w:val="nil"/>
            </w:tcBorders>
            <w:shd w:val="clear" w:color="000000" w:fill="FFFFFF"/>
            <w:vAlign w:val="center"/>
            <w:hideMark/>
          </w:tcPr>
          <w:p w14:paraId="3F8E696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7444FD5D" w14:textId="77777777" w:rsidTr="00474647">
        <w:trPr>
          <w:trHeight w:val="714"/>
        </w:trPr>
        <w:tc>
          <w:tcPr>
            <w:tcW w:w="1638" w:type="dxa"/>
            <w:tcBorders>
              <w:top w:val="nil"/>
              <w:left w:val="nil"/>
              <w:bottom w:val="single" w:sz="4" w:space="0" w:color="auto"/>
              <w:right w:val="nil"/>
            </w:tcBorders>
            <w:shd w:val="clear" w:color="000000" w:fill="FFFFFF"/>
            <w:vAlign w:val="center"/>
            <w:hideMark/>
          </w:tcPr>
          <w:p w14:paraId="7A9C4C02"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Department of Health</w:t>
            </w:r>
          </w:p>
        </w:tc>
        <w:tc>
          <w:tcPr>
            <w:tcW w:w="1995" w:type="dxa"/>
            <w:tcBorders>
              <w:top w:val="nil"/>
              <w:left w:val="nil"/>
              <w:bottom w:val="single" w:sz="4" w:space="0" w:color="auto"/>
              <w:right w:val="nil"/>
            </w:tcBorders>
            <w:shd w:val="clear" w:color="000000" w:fill="FFFFFF"/>
            <w:vAlign w:val="center"/>
            <w:hideMark/>
          </w:tcPr>
          <w:p w14:paraId="591CF04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What about YOUth? Survey </w:t>
            </w:r>
          </w:p>
        </w:tc>
        <w:tc>
          <w:tcPr>
            <w:tcW w:w="3257" w:type="dxa"/>
            <w:tcBorders>
              <w:top w:val="nil"/>
              <w:left w:val="nil"/>
              <w:bottom w:val="single" w:sz="4" w:space="0" w:color="auto"/>
              <w:right w:val="nil"/>
            </w:tcBorders>
            <w:shd w:val="clear" w:color="000000" w:fill="FFFFFF"/>
            <w:hideMark/>
          </w:tcPr>
          <w:p w14:paraId="463A7789"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Young people's health, diet, what they do in their free time, bullying and whether they smoke, take drugs or drink alcohol.</w:t>
            </w:r>
          </w:p>
        </w:tc>
        <w:tc>
          <w:tcPr>
            <w:tcW w:w="997" w:type="dxa"/>
            <w:tcBorders>
              <w:top w:val="nil"/>
              <w:left w:val="nil"/>
              <w:bottom w:val="single" w:sz="4" w:space="0" w:color="auto"/>
              <w:right w:val="nil"/>
            </w:tcBorders>
            <w:shd w:val="clear" w:color="000000" w:fill="FFFFFF"/>
            <w:vAlign w:val="center"/>
            <w:hideMark/>
          </w:tcPr>
          <w:p w14:paraId="4C088EE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2014</w:t>
            </w:r>
          </w:p>
        </w:tc>
        <w:tc>
          <w:tcPr>
            <w:tcW w:w="1769" w:type="dxa"/>
            <w:tcBorders>
              <w:top w:val="nil"/>
              <w:left w:val="nil"/>
              <w:bottom w:val="single" w:sz="4" w:space="0" w:color="auto"/>
              <w:right w:val="nil"/>
            </w:tcBorders>
            <w:shd w:val="clear" w:color="000000" w:fill="FFFFFF"/>
            <w:vAlign w:val="center"/>
            <w:hideMark/>
          </w:tcPr>
          <w:p w14:paraId="7F5ED602"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6366CE7E" w14:textId="77777777" w:rsidTr="00474647">
        <w:trPr>
          <w:trHeight w:val="952"/>
        </w:trPr>
        <w:tc>
          <w:tcPr>
            <w:tcW w:w="1638" w:type="dxa"/>
            <w:tcBorders>
              <w:top w:val="nil"/>
              <w:left w:val="nil"/>
              <w:bottom w:val="single" w:sz="4" w:space="0" w:color="auto"/>
              <w:right w:val="nil"/>
            </w:tcBorders>
            <w:shd w:val="clear" w:color="000000" w:fill="FFFFFF"/>
            <w:vAlign w:val="center"/>
            <w:hideMark/>
          </w:tcPr>
          <w:p w14:paraId="15B8D5B2"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Ministry of Defence (MoD)</w:t>
            </w:r>
          </w:p>
        </w:tc>
        <w:tc>
          <w:tcPr>
            <w:tcW w:w="1995" w:type="dxa"/>
            <w:tcBorders>
              <w:top w:val="nil"/>
              <w:left w:val="nil"/>
              <w:bottom w:val="single" w:sz="4" w:space="0" w:color="auto"/>
              <w:right w:val="nil"/>
            </w:tcBorders>
            <w:shd w:val="clear" w:color="000000" w:fill="FFFFFF"/>
            <w:vAlign w:val="center"/>
            <w:hideMark/>
          </w:tcPr>
          <w:p w14:paraId="6EEAB95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Armed Forces Continuous Attitude Survey (AFCAS)</w:t>
            </w:r>
          </w:p>
        </w:tc>
        <w:tc>
          <w:tcPr>
            <w:tcW w:w="3257" w:type="dxa"/>
            <w:tcBorders>
              <w:top w:val="nil"/>
              <w:left w:val="nil"/>
              <w:bottom w:val="single" w:sz="4" w:space="0" w:color="auto"/>
              <w:right w:val="nil"/>
            </w:tcBorders>
            <w:shd w:val="clear" w:color="000000" w:fill="FFFFFF"/>
            <w:hideMark/>
          </w:tcPr>
          <w:p w14:paraId="3DD56133"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Information on the views and experiences of MoD personnel which helps shape policies for training, support, and the terms and conditions of service.</w:t>
            </w:r>
          </w:p>
        </w:tc>
        <w:tc>
          <w:tcPr>
            <w:tcW w:w="997" w:type="dxa"/>
            <w:tcBorders>
              <w:top w:val="nil"/>
              <w:left w:val="nil"/>
              <w:bottom w:val="single" w:sz="4" w:space="0" w:color="auto"/>
              <w:right w:val="nil"/>
            </w:tcBorders>
            <w:shd w:val="clear" w:color="000000" w:fill="FFFFFF"/>
            <w:vAlign w:val="center"/>
            <w:hideMark/>
          </w:tcPr>
          <w:p w14:paraId="3DFEC1A9"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2012</w:t>
            </w:r>
          </w:p>
        </w:tc>
        <w:tc>
          <w:tcPr>
            <w:tcW w:w="1769" w:type="dxa"/>
            <w:tcBorders>
              <w:top w:val="nil"/>
              <w:left w:val="nil"/>
              <w:bottom w:val="single" w:sz="4" w:space="0" w:color="auto"/>
              <w:right w:val="nil"/>
            </w:tcBorders>
            <w:shd w:val="clear" w:color="000000" w:fill="FFFFFF"/>
            <w:vAlign w:val="center"/>
            <w:hideMark/>
          </w:tcPr>
          <w:p w14:paraId="71584BF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25E59478" w14:textId="77777777" w:rsidTr="00474647">
        <w:trPr>
          <w:trHeight w:val="952"/>
        </w:trPr>
        <w:tc>
          <w:tcPr>
            <w:tcW w:w="1638" w:type="dxa"/>
            <w:vMerge w:val="restart"/>
            <w:tcBorders>
              <w:top w:val="nil"/>
              <w:left w:val="nil"/>
              <w:bottom w:val="single" w:sz="4" w:space="0" w:color="000000"/>
              <w:right w:val="nil"/>
            </w:tcBorders>
            <w:shd w:val="clear" w:color="000000" w:fill="FFFFFF"/>
            <w:vAlign w:val="center"/>
            <w:hideMark/>
          </w:tcPr>
          <w:p w14:paraId="7A0CA58A"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lastRenderedPageBreak/>
              <w:t xml:space="preserve">Department for </w:t>
            </w:r>
            <w:r w:rsidRPr="00474647">
              <w:rPr>
                <w:rFonts w:ascii="Arial" w:eastAsia="Times New Roman" w:hAnsi="Arial" w:cs="Arial"/>
                <w:sz w:val="16"/>
                <w:szCs w:val="16"/>
                <w:lang w:eastAsia="en-GB"/>
              </w:rPr>
              <w:br/>
              <w:t xml:space="preserve">Business, Energy </w:t>
            </w:r>
            <w:r w:rsidRPr="00474647">
              <w:rPr>
                <w:rFonts w:ascii="Arial" w:eastAsia="Times New Roman" w:hAnsi="Arial" w:cs="Arial"/>
                <w:sz w:val="16"/>
                <w:szCs w:val="16"/>
                <w:lang w:eastAsia="en-GB"/>
              </w:rPr>
              <w:br/>
              <w:t xml:space="preserve">and Industrial Strategy </w:t>
            </w:r>
            <w:r w:rsidRPr="00474647">
              <w:rPr>
                <w:rFonts w:ascii="Arial" w:eastAsia="Times New Roman" w:hAnsi="Arial" w:cs="Arial"/>
                <w:sz w:val="16"/>
                <w:szCs w:val="16"/>
                <w:lang w:eastAsia="en-GB"/>
              </w:rPr>
              <w:br/>
              <w:t>(BEIS)</w:t>
            </w:r>
          </w:p>
        </w:tc>
        <w:tc>
          <w:tcPr>
            <w:tcW w:w="1995" w:type="dxa"/>
            <w:tcBorders>
              <w:top w:val="nil"/>
              <w:left w:val="nil"/>
              <w:bottom w:val="single" w:sz="4" w:space="0" w:color="auto"/>
              <w:right w:val="nil"/>
            </w:tcBorders>
            <w:shd w:val="clear" w:color="000000" w:fill="FFFFFF"/>
            <w:vAlign w:val="center"/>
            <w:hideMark/>
          </w:tcPr>
          <w:p w14:paraId="5237A34E"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Families Continuous Attitude Survey (FAMCAS) </w:t>
            </w:r>
          </w:p>
        </w:tc>
        <w:tc>
          <w:tcPr>
            <w:tcW w:w="3257" w:type="dxa"/>
            <w:tcBorders>
              <w:top w:val="nil"/>
              <w:left w:val="nil"/>
              <w:bottom w:val="single" w:sz="4" w:space="0" w:color="auto"/>
              <w:right w:val="nil"/>
            </w:tcBorders>
            <w:shd w:val="clear" w:color="000000" w:fill="FFFFFF"/>
            <w:hideMark/>
          </w:tcPr>
          <w:p w14:paraId="3B80D10F"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Information on personals in the MoD spouses in a number of areas including accommodation, healthcare, education and childcare, and deployment.</w:t>
            </w:r>
          </w:p>
        </w:tc>
        <w:tc>
          <w:tcPr>
            <w:tcW w:w="997" w:type="dxa"/>
            <w:tcBorders>
              <w:top w:val="nil"/>
              <w:left w:val="nil"/>
              <w:bottom w:val="single" w:sz="4" w:space="0" w:color="auto"/>
              <w:right w:val="nil"/>
            </w:tcBorders>
            <w:shd w:val="clear" w:color="000000" w:fill="FFFFFF"/>
            <w:vAlign w:val="center"/>
            <w:hideMark/>
          </w:tcPr>
          <w:p w14:paraId="57E1119A"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2012</w:t>
            </w:r>
          </w:p>
        </w:tc>
        <w:tc>
          <w:tcPr>
            <w:tcW w:w="1769" w:type="dxa"/>
            <w:tcBorders>
              <w:top w:val="nil"/>
              <w:left w:val="nil"/>
              <w:bottom w:val="single" w:sz="4" w:space="0" w:color="auto"/>
              <w:right w:val="nil"/>
            </w:tcBorders>
            <w:shd w:val="clear" w:color="000000" w:fill="FFFFFF"/>
            <w:vAlign w:val="center"/>
            <w:hideMark/>
          </w:tcPr>
          <w:p w14:paraId="706D230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1AFC54EB" w14:textId="77777777" w:rsidTr="00474647">
        <w:trPr>
          <w:trHeight w:val="714"/>
        </w:trPr>
        <w:tc>
          <w:tcPr>
            <w:tcW w:w="1638" w:type="dxa"/>
            <w:vMerge/>
            <w:tcBorders>
              <w:top w:val="nil"/>
              <w:left w:val="nil"/>
              <w:bottom w:val="single" w:sz="4" w:space="0" w:color="000000"/>
              <w:right w:val="nil"/>
            </w:tcBorders>
            <w:vAlign w:val="center"/>
            <w:hideMark/>
          </w:tcPr>
          <w:p w14:paraId="737D79A9"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2FB13FD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Impact of FE learning Survey </w:t>
            </w:r>
          </w:p>
        </w:tc>
        <w:tc>
          <w:tcPr>
            <w:tcW w:w="3257" w:type="dxa"/>
            <w:tcBorders>
              <w:top w:val="nil"/>
              <w:left w:val="nil"/>
              <w:bottom w:val="single" w:sz="4" w:space="0" w:color="auto"/>
              <w:right w:val="nil"/>
            </w:tcBorders>
            <w:shd w:val="clear" w:color="000000" w:fill="FFFFFF"/>
            <w:hideMark/>
          </w:tcPr>
          <w:p w14:paraId="3DEA9689"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Attitudes towards further education, including funding, readiness of information, guidance, and decision making process.</w:t>
            </w:r>
          </w:p>
        </w:tc>
        <w:tc>
          <w:tcPr>
            <w:tcW w:w="997" w:type="dxa"/>
            <w:tcBorders>
              <w:top w:val="nil"/>
              <w:left w:val="nil"/>
              <w:bottom w:val="single" w:sz="4" w:space="0" w:color="auto"/>
              <w:right w:val="nil"/>
            </w:tcBorders>
            <w:shd w:val="clear" w:color="000000" w:fill="FFFFFF"/>
            <w:vAlign w:val="center"/>
            <w:hideMark/>
          </w:tcPr>
          <w:p w14:paraId="6B9DDC89"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2012</w:t>
            </w:r>
          </w:p>
        </w:tc>
        <w:tc>
          <w:tcPr>
            <w:tcW w:w="1769" w:type="dxa"/>
            <w:tcBorders>
              <w:top w:val="nil"/>
              <w:left w:val="nil"/>
              <w:bottom w:val="single" w:sz="4" w:space="0" w:color="auto"/>
              <w:right w:val="nil"/>
            </w:tcBorders>
            <w:shd w:val="clear" w:color="000000" w:fill="FFFFFF"/>
            <w:vAlign w:val="center"/>
            <w:hideMark/>
          </w:tcPr>
          <w:p w14:paraId="22225AA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0672D7DA" w14:textId="77777777" w:rsidTr="00474647">
        <w:trPr>
          <w:trHeight w:val="952"/>
        </w:trPr>
        <w:tc>
          <w:tcPr>
            <w:tcW w:w="1638" w:type="dxa"/>
            <w:tcBorders>
              <w:top w:val="nil"/>
              <w:left w:val="nil"/>
              <w:bottom w:val="single" w:sz="4" w:space="0" w:color="auto"/>
              <w:right w:val="nil"/>
            </w:tcBorders>
            <w:shd w:val="clear" w:color="000000" w:fill="FFFFFF"/>
            <w:vAlign w:val="center"/>
            <w:hideMark/>
          </w:tcPr>
          <w:p w14:paraId="5D528134"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Department for </w:t>
            </w:r>
            <w:r w:rsidRPr="00474647">
              <w:rPr>
                <w:rFonts w:ascii="Arial" w:eastAsia="Times New Roman" w:hAnsi="Arial" w:cs="Arial"/>
                <w:sz w:val="16"/>
                <w:szCs w:val="16"/>
                <w:lang w:eastAsia="en-GB"/>
              </w:rPr>
              <w:br/>
              <w:t xml:space="preserve">Communities and </w:t>
            </w:r>
            <w:r w:rsidRPr="00474647">
              <w:rPr>
                <w:rFonts w:ascii="Arial" w:eastAsia="Times New Roman" w:hAnsi="Arial" w:cs="Arial"/>
                <w:sz w:val="16"/>
                <w:szCs w:val="16"/>
                <w:lang w:eastAsia="en-GB"/>
              </w:rPr>
              <w:br/>
              <w:t>Local Government (DCLG)</w:t>
            </w:r>
          </w:p>
        </w:tc>
        <w:tc>
          <w:tcPr>
            <w:tcW w:w="1995" w:type="dxa"/>
            <w:tcBorders>
              <w:top w:val="nil"/>
              <w:left w:val="nil"/>
              <w:bottom w:val="single" w:sz="4" w:space="0" w:color="auto"/>
              <w:right w:val="nil"/>
            </w:tcBorders>
            <w:shd w:val="clear" w:color="000000" w:fill="FFFFFF"/>
            <w:vAlign w:val="center"/>
            <w:hideMark/>
          </w:tcPr>
          <w:p w14:paraId="41338CD2"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English Housing Survey</w:t>
            </w:r>
          </w:p>
        </w:tc>
        <w:tc>
          <w:tcPr>
            <w:tcW w:w="3257" w:type="dxa"/>
            <w:tcBorders>
              <w:top w:val="nil"/>
              <w:left w:val="nil"/>
              <w:bottom w:val="single" w:sz="4" w:space="0" w:color="auto"/>
              <w:right w:val="nil"/>
            </w:tcBorders>
            <w:shd w:val="clear" w:color="000000" w:fill="FFFFFF"/>
            <w:hideMark/>
          </w:tcPr>
          <w:p w14:paraId="71AE2176"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Age, type, condition and energy efficiency of housing stock and the characteristics of households.</w:t>
            </w:r>
          </w:p>
        </w:tc>
        <w:tc>
          <w:tcPr>
            <w:tcW w:w="997" w:type="dxa"/>
            <w:tcBorders>
              <w:top w:val="nil"/>
              <w:left w:val="nil"/>
              <w:bottom w:val="single" w:sz="4" w:space="0" w:color="auto"/>
              <w:right w:val="nil"/>
            </w:tcBorders>
            <w:shd w:val="clear" w:color="000000" w:fill="FFFFFF"/>
            <w:vAlign w:val="center"/>
            <w:hideMark/>
          </w:tcPr>
          <w:p w14:paraId="4046AF8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2013 to 2014</w:t>
            </w:r>
          </w:p>
        </w:tc>
        <w:tc>
          <w:tcPr>
            <w:tcW w:w="1769" w:type="dxa"/>
            <w:tcBorders>
              <w:top w:val="nil"/>
              <w:left w:val="nil"/>
              <w:bottom w:val="single" w:sz="4" w:space="0" w:color="auto"/>
              <w:right w:val="nil"/>
            </w:tcBorders>
            <w:shd w:val="clear" w:color="000000" w:fill="FFFFFF"/>
            <w:vAlign w:val="center"/>
            <w:hideMark/>
          </w:tcPr>
          <w:p w14:paraId="72C83A5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1C8E2DAB" w14:textId="77777777" w:rsidTr="00474647">
        <w:trPr>
          <w:trHeight w:val="952"/>
        </w:trPr>
        <w:tc>
          <w:tcPr>
            <w:tcW w:w="1638" w:type="dxa"/>
            <w:vMerge w:val="restart"/>
            <w:tcBorders>
              <w:top w:val="nil"/>
              <w:left w:val="nil"/>
              <w:bottom w:val="nil"/>
              <w:right w:val="nil"/>
            </w:tcBorders>
            <w:shd w:val="clear" w:color="000000" w:fill="FFFFFF"/>
            <w:vAlign w:val="center"/>
            <w:hideMark/>
          </w:tcPr>
          <w:p w14:paraId="7ECF7B2B"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The Department for Digital, Culture, Media &amp; Sport (DCMS)</w:t>
            </w:r>
          </w:p>
        </w:tc>
        <w:tc>
          <w:tcPr>
            <w:tcW w:w="1995" w:type="dxa"/>
            <w:tcBorders>
              <w:top w:val="nil"/>
              <w:left w:val="nil"/>
              <w:bottom w:val="single" w:sz="4" w:space="0" w:color="auto"/>
              <w:right w:val="nil"/>
            </w:tcBorders>
            <w:shd w:val="clear" w:color="000000" w:fill="FFFFFF"/>
            <w:vAlign w:val="center"/>
            <w:hideMark/>
          </w:tcPr>
          <w:p w14:paraId="78B50A91"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Taking Part Survey</w:t>
            </w:r>
          </w:p>
        </w:tc>
        <w:tc>
          <w:tcPr>
            <w:tcW w:w="3257" w:type="dxa"/>
            <w:tcBorders>
              <w:top w:val="nil"/>
              <w:left w:val="nil"/>
              <w:bottom w:val="single" w:sz="4" w:space="0" w:color="auto"/>
              <w:right w:val="nil"/>
            </w:tcBorders>
            <w:shd w:val="clear" w:color="000000" w:fill="FFFFFF"/>
            <w:hideMark/>
          </w:tcPr>
          <w:p w14:paraId="546356E2"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Participation in and engagement with cultural and sporting activities at the individual level, and pathways in and out of participation and engagement.</w:t>
            </w:r>
          </w:p>
        </w:tc>
        <w:tc>
          <w:tcPr>
            <w:tcW w:w="997" w:type="dxa"/>
            <w:tcBorders>
              <w:top w:val="nil"/>
              <w:left w:val="nil"/>
              <w:bottom w:val="single" w:sz="4" w:space="0" w:color="auto"/>
              <w:right w:val="nil"/>
            </w:tcBorders>
            <w:shd w:val="clear" w:color="000000" w:fill="FFFFFF"/>
            <w:vAlign w:val="center"/>
            <w:hideMark/>
          </w:tcPr>
          <w:p w14:paraId="0208FFD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2013 to 2014</w:t>
            </w:r>
          </w:p>
        </w:tc>
        <w:tc>
          <w:tcPr>
            <w:tcW w:w="1769" w:type="dxa"/>
            <w:tcBorders>
              <w:top w:val="nil"/>
              <w:left w:val="nil"/>
              <w:bottom w:val="single" w:sz="4" w:space="0" w:color="auto"/>
              <w:right w:val="nil"/>
            </w:tcBorders>
            <w:shd w:val="clear" w:color="000000" w:fill="FFFFFF"/>
            <w:vAlign w:val="center"/>
            <w:hideMark/>
          </w:tcPr>
          <w:p w14:paraId="2E4B5F2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57828295" w14:textId="77777777" w:rsidTr="00474647">
        <w:trPr>
          <w:trHeight w:val="605"/>
        </w:trPr>
        <w:tc>
          <w:tcPr>
            <w:tcW w:w="1638" w:type="dxa"/>
            <w:vMerge/>
            <w:tcBorders>
              <w:top w:val="nil"/>
              <w:left w:val="nil"/>
              <w:bottom w:val="nil"/>
              <w:right w:val="nil"/>
            </w:tcBorders>
            <w:vAlign w:val="center"/>
            <w:hideMark/>
          </w:tcPr>
          <w:p w14:paraId="157AC314"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219A947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Community Life Survey</w:t>
            </w:r>
          </w:p>
        </w:tc>
        <w:tc>
          <w:tcPr>
            <w:tcW w:w="3257" w:type="dxa"/>
            <w:tcBorders>
              <w:top w:val="nil"/>
              <w:left w:val="nil"/>
              <w:bottom w:val="single" w:sz="4" w:space="0" w:color="auto"/>
              <w:right w:val="nil"/>
            </w:tcBorders>
            <w:shd w:val="clear" w:color="000000" w:fill="FFFFFF"/>
            <w:hideMark/>
          </w:tcPr>
          <w:p w14:paraId="423E1D34"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Volunteering, charitable giving, local action and networks and well-being.</w:t>
            </w:r>
          </w:p>
        </w:tc>
        <w:tc>
          <w:tcPr>
            <w:tcW w:w="997" w:type="dxa"/>
            <w:tcBorders>
              <w:top w:val="nil"/>
              <w:left w:val="nil"/>
              <w:bottom w:val="single" w:sz="4" w:space="0" w:color="auto"/>
              <w:right w:val="nil"/>
            </w:tcBorders>
            <w:shd w:val="clear" w:color="000000" w:fill="FFFFFF"/>
            <w:vAlign w:val="center"/>
            <w:hideMark/>
          </w:tcPr>
          <w:p w14:paraId="63F31F6B"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2013 to 2014</w:t>
            </w:r>
          </w:p>
        </w:tc>
        <w:tc>
          <w:tcPr>
            <w:tcW w:w="1769" w:type="dxa"/>
            <w:tcBorders>
              <w:top w:val="nil"/>
              <w:left w:val="nil"/>
              <w:bottom w:val="single" w:sz="4" w:space="0" w:color="auto"/>
              <w:right w:val="nil"/>
            </w:tcBorders>
            <w:shd w:val="clear" w:color="000000" w:fill="FFFFFF"/>
            <w:vAlign w:val="center"/>
            <w:hideMark/>
          </w:tcPr>
          <w:p w14:paraId="01092950"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4C64931A" w14:textId="77777777" w:rsidTr="00474647">
        <w:trPr>
          <w:trHeight w:val="1429"/>
        </w:trPr>
        <w:tc>
          <w:tcPr>
            <w:tcW w:w="1638" w:type="dxa"/>
            <w:tcBorders>
              <w:top w:val="single" w:sz="4" w:space="0" w:color="auto"/>
              <w:left w:val="nil"/>
              <w:bottom w:val="single" w:sz="4" w:space="0" w:color="auto"/>
              <w:right w:val="nil"/>
            </w:tcBorders>
            <w:shd w:val="clear" w:color="000000" w:fill="FFFFFF"/>
            <w:vAlign w:val="center"/>
            <w:hideMark/>
          </w:tcPr>
          <w:p w14:paraId="44D86186"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Foods Standards Agency</w:t>
            </w:r>
          </w:p>
        </w:tc>
        <w:tc>
          <w:tcPr>
            <w:tcW w:w="1995" w:type="dxa"/>
            <w:tcBorders>
              <w:top w:val="nil"/>
              <w:left w:val="nil"/>
              <w:bottom w:val="single" w:sz="4" w:space="0" w:color="auto"/>
              <w:right w:val="nil"/>
            </w:tcBorders>
            <w:shd w:val="clear" w:color="000000" w:fill="FFFFFF"/>
            <w:vAlign w:val="center"/>
            <w:hideMark/>
          </w:tcPr>
          <w:p w14:paraId="3C223D5A"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Food and You </w:t>
            </w:r>
          </w:p>
        </w:tc>
        <w:tc>
          <w:tcPr>
            <w:tcW w:w="3257" w:type="dxa"/>
            <w:tcBorders>
              <w:top w:val="nil"/>
              <w:left w:val="nil"/>
              <w:bottom w:val="single" w:sz="4" w:space="0" w:color="auto"/>
              <w:right w:val="nil"/>
            </w:tcBorders>
            <w:shd w:val="clear" w:color="000000" w:fill="FFFFFF"/>
            <w:hideMark/>
          </w:tcPr>
          <w:p w14:paraId="08988036"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Reported behaviours, attitudes and knowledge relating to food issues such as reported food purchasing, storage, preparation and consumption. It also looks at eating habits, influences on where respondents choose to eat out and experiences of food poisoning.</w:t>
            </w:r>
          </w:p>
        </w:tc>
        <w:tc>
          <w:tcPr>
            <w:tcW w:w="997" w:type="dxa"/>
            <w:tcBorders>
              <w:top w:val="nil"/>
              <w:left w:val="nil"/>
              <w:bottom w:val="single" w:sz="4" w:space="0" w:color="auto"/>
              <w:right w:val="nil"/>
            </w:tcBorders>
            <w:shd w:val="clear" w:color="000000" w:fill="FFFFFF"/>
            <w:vAlign w:val="center"/>
            <w:hideMark/>
          </w:tcPr>
          <w:p w14:paraId="5D7B5B4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2014</w:t>
            </w:r>
          </w:p>
        </w:tc>
        <w:tc>
          <w:tcPr>
            <w:tcW w:w="1769" w:type="dxa"/>
            <w:tcBorders>
              <w:top w:val="nil"/>
              <w:left w:val="nil"/>
              <w:bottom w:val="single" w:sz="4" w:space="0" w:color="auto"/>
              <w:right w:val="nil"/>
            </w:tcBorders>
            <w:shd w:val="clear" w:color="000000" w:fill="FFFFFF"/>
            <w:vAlign w:val="center"/>
            <w:hideMark/>
          </w:tcPr>
          <w:p w14:paraId="60698D7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Bi-annual</w:t>
            </w:r>
          </w:p>
        </w:tc>
      </w:tr>
      <w:tr w:rsidR="00474647" w:rsidRPr="00474647" w14:paraId="51AB22D9" w14:textId="77777777" w:rsidTr="00474647">
        <w:trPr>
          <w:trHeight w:val="476"/>
        </w:trPr>
        <w:tc>
          <w:tcPr>
            <w:tcW w:w="1638" w:type="dxa"/>
            <w:tcBorders>
              <w:top w:val="nil"/>
              <w:left w:val="nil"/>
              <w:bottom w:val="single" w:sz="4" w:space="0" w:color="auto"/>
              <w:right w:val="nil"/>
            </w:tcBorders>
            <w:shd w:val="clear" w:color="000000" w:fill="FFFFFF"/>
            <w:vAlign w:val="center"/>
            <w:hideMark/>
          </w:tcPr>
          <w:p w14:paraId="496C1EDE"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Welsh Government</w:t>
            </w:r>
          </w:p>
        </w:tc>
        <w:tc>
          <w:tcPr>
            <w:tcW w:w="1995" w:type="dxa"/>
            <w:tcBorders>
              <w:top w:val="nil"/>
              <w:left w:val="nil"/>
              <w:bottom w:val="single" w:sz="4" w:space="0" w:color="auto"/>
              <w:right w:val="nil"/>
            </w:tcBorders>
            <w:shd w:val="clear" w:color="000000" w:fill="FFFFFF"/>
            <w:vAlign w:val="center"/>
            <w:hideMark/>
          </w:tcPr>
          <w:p w14:paraId="53E8FCFE"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The National Survey </w:t>
            </w:r>
            <w:r w:rsidRPr="00474647">
              <w:rPr>
                <w:rFonts w:ascii="Arial" w:eastAsia="Times New Roman" w:hAnsi="Arial" w:cs="Arial"/>
                <w:sz w:val="16"/>
                <w:szCs w:val="16"/>
                <w:lang w:eastAsia="en-GB"/>
              </w:rPr>
              <w:br/>
              <w:t>for Wales</w:t>
            </w:r>
          </w:p>
        </w:tc>
        <w:tc>
          <w:tcPr>
            <w:tcW w:w="3257" w:type="dxa"/>
            <w:tcBorders>
              <w:top w:val="nil"/>
              <w:left w:val="nil"/>
              <w:bottom w:val="single" w:sz="4" w:space="0" w:color="auto"/>
              <w:right w:val="nil"/>
            </w:tcBorders>
            <w:shd w:val="clear" w:color="000000" w:fill="FFFFFF"/>
            <w:hideMark/>
          </w:tcPr>
          <w:p w14:paraId="2C3E8E04"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Opinions on a wide range of issues affecting people living in Wales and their local area.</w:t>
            </w:r>
          </w:p>
        </w:tc>
        <w:tc>
          <w:tcPr>
            <w:tcW w:w="997" w:type="dxa"/>
            <w:tcBorders>
              <w:top w:val="nil"/>
              <w:left w:val="nil"/>
              <w:bottom w:val="single" w:sz="4" w:space="0" w:color="auto"/>
              <w:right w:val="nil"/>
            </w:tcBorders>
            <w:shd w:val="clear" w:color="000000" w:fill="FFFFFF"/>
            <w:vAlign w:val="center"/>
            <w:hideMark/>
          </w:tcPr>
          <w:p w14:paraId="76DAFEF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April 2012 to </w:t>
            </w:r>
            <w:r w:rsidRPr="00474647">
              <w:rPr>
                <w:rFonts w:ascii="Arial" w:eastAsia="Times New Roman" w:hAnsi="Arial" w:cs="Arial"/>
                <w:sz w:val="16"/>
                <w:szCs w:val="16"/>
                <w:lang w:eastAsia="en-GB"/>
              </w:rPr>
              <w:br/>
              <w:t>March 2013</w:t>
            </w:r>
          </w:p>
        </w:tc>
        <w:tc>
          <w:tcPr>
            <w:tcW w:w="1769" w:type="dxa"/>
            <w:tcBorders>
              <w:top w:val="nil"/>
              <w:left w:val="nil"/>
              <w:bottom w:val="single" w:sz="4" w:space="0" w:color="auto"/>
              <w:right w:val="nil"/>
            </w:tcBorders>
            <w:shd w:val="clear" w:color="000000" w:fill="FFFFFF"/>
            <w:vAlign w:val="center"/>
            <w:hideMark/>
          </w:tcPr>
          <w:p w14:paraId="4A73A5C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2BA204A5" w14:textId="77777777" w:rsidTr="00474647">
        <w:trPr>
          <w:trHeight w:val="952"/>
        </w:trPr>
        <w:tc>
          <w:tcPr>
            <w:tcW w:w="1638" w:type="dxa"/>
            <w:tcBorders>
              <w:top w:val="nil"/>
              <w:left w:val="nil"/>
              <w:bottom w:val="single" w:sz="4" w:space="0" w:color="auto"/>
              <w:right w:val="nil"/>
            </w:tcBorders>
            <w:shd w:val="clear" w:color="000000" w:fill="FFFFFF"/>
            <w:vAlign w:val="center"/>
            <w:hideMark/>
          </w:tcPr>
          <w:p w14:paraId="2D64C616"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Central Statistics </w:t>
            </w:r>
            <w:r w:rsidRPr="00474647">
              <w:rPr>
                <w:rFonts w:ascii="Arial" w:eastAsia="Times New Roman" w:hAnsi="Arial" w:cs="Arial"/>
                <w:sz w:val="16"/>
                <w:szCs w:val="16"/>
                <w:lang w:eastAsia="en-GB"/>
              </w:rPr>
              <w:br/>
              <w:t>Office Ireland</w:t>
            </w:r>
          </w:p>
        </w:tc>
        <w:tc>
          <w:tcPr>
            <w:tcW w:w="1995" w:type="dxa"/>
            <w:tcBorders>
              <w:top w:val="nil"/>
              <w:left w:val="nil"/>
              <w:bottom w:val="single" w:sz="4" w:space="0" w:color="auto"/>
              <w:right w:val="nil"/>
            </w:tcBorders>
            <w:shd w:val="clear" w:color="000000" w:fill="FFFFFF"/>
            <w:vAlign w:val="center"/>
            <w:hideMark/>
          </w:tcPr>
          <w:p w14:paraId="0E0FF90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Quarterly National </w:t>
            </w:r>
            <w:r w:rsidRPr="00474647">
              <w:rPr>
                <w:rFonts w:ascii="Arial" w:eastAsia="Times New Roman" w:hAnsi="Arial" w:cs="Arial"/>
                <w:sz w:val="16"/>
                <w:szCs w:val="16"/>
                <w:lang w:eastAsia="en-GB"/>
              </w:rPr>
              <w:br/>
              <w:t xml:space="preserve">Households Survey </w:t>
            </w:r>
          </w:p>
        </w:tc>
        <w:tc>
          <w:tcPr>
            <w:tcW w:w="3257" w:type="dxa"/>
            <w:tcBorders>
              <w:top w:val="nil"/>
              <w:left w:val="nil"/>
              <w:bottom w:val="single" w:sz="4" w:space="0" w:color="auto"/>
              <w:right w:val="nil"/>
            </w:tcBorders>
            <w:shd w:val="clear" w:color="000000" w:fill="FFFFFF"/>
            <w:hideMark/>
          </w:tcPr>
          <w:p w14:paraId="15D0925A"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Labour force estimates that include the official measure of employment and unemployment in the state (International Labour Organisation (ILO) basis).</w:t>
            </w:r>
          </w:p>
        </w:tc>
        <w:tc>
          <w:tcPr>
            <w:tcW w:w="997" w:type="dxa"/>
            <w:tcBorders>
              <w:top w:val="nil"/>
              <w:left w:val="nil"/>
              <w:bottom w:val="single" w:sz="4" w:space="0" w:color="auto"/>
              <w:right w:val="nil"/>
            </w:tcBorders>
            <w:shd w:val="clear" w:color="000000" w:fill="FFFFFF"/>
            <w:vAlign w:val="center"/>
            <w:hideMark/>
          </w:tcPr>
          <w:p w14:paraId="7D8B4B40"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2013</w:t>
            </w:r>
          </w:p>
        </w:tc>
        <w:tc>
          <w:tcPr>
            <w:tcW w:w="1769" w:type="dxa"/>
            <w:tcBorders>
              <w:top w:val="nil"/>
              <w:left w:val="nil"/>
              <w:bottom w:val="single" w:sz="4" w:space="0" w:color="auto"/>
              <w:right w:val="nil"/>
            </w:tcBorders>
            <w:shd w:val="clear" w:color="000000" w:fill="FFFFFF"/>
            <w:vAlign w:val="center"/>
            <w:hideMark/>
          </w:tcPr>
          <w:p w14:paraId="63D2DE2B"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Well-being </w:t>
            </w:r>
            <w:r w:rsidRPr="00474647">
              <w:rPr>
                <w:rFonts w:ascii="Arial" w:eastAsia="Times New Roman" w:hAnsi="Arial" w:cs="Arial"/>
                <w:sz w:val="16"/>
                <w:szCs w:val="16"/>
                <w:lang w:eastAsia="en-GB"/>
              </w:rPr>
              <w:br/>
              <w:t xml:space="preserve">module not </w:t>
            </w:r>
            <w:r w:rsidRPr="00474647">
              <w:rPr>
                <w:rFonts w:ascii="Arial" w:eastAsia="Times New Roman" w:hAnsi="Arial" w:cs="Arial"/>
                <w:sz w:val="16"/>
                <w:szCs w:val="16"/>
                <w:lang w:eastAsia="en-GB"/>
              </w:rPr>
              <w:br/>
              <w:t xml:space="preserve">updated </w:t>
            </w:r>
          </w:p>
        </w:tc>
      </w:tr>
      <w:tr w:rsidR="00474647" w:rsidRPr="00474647" w14:paraId="79F6ED95" w14:textId="77777777" w:rsidTr="00474647">
        <w:trPr>
          <w:trHeight w:val="2382"/>
        </w:trPr>
        <w:tc>
          <w:tcPr>
            <w:tcW w:w="1638" w:type="dxa"/>
            <w:tcBorders>
              <w:top w:val="nil"/>
              <w:left w:val="nil"/>
              <w:bottom w:val="single" w:sz="4" w:space="0" w:color="auto"/>
              <w:right w:val="nil"/>
            </w:tcBorders>
            <w:shd w:val="clear" w:color="000000" w:fill="FFFFFF"/>
            <w:vAlign w:val="center"/>
            <w:hideMark/>
          </w:tcPr>
          <w:p w14:paraId="0198EC70"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Natural England</w:t>
            </w:r>
          </w:p>
        </w:tc>
        <w:tc>
          <w:tcPr>
            <w:tcW w:w="1995" w:type="dxa"/>
            <w:tcBorders>
              <w:top w:val="nil"/>
              <w:left w:val="nil"/>
              <w:bottom w:val="single" w:sz="4" w:space="0" w:color="auto"/>
              <w:right w:val="nil"/>
            </w:tcBorders>
            <w:shd w:val="clear" w:color="000000" w:fill="FFFFFF"/>
            <w:vAlign w:val="center"/>
            <w:hideMark/>
          </w:tcPr>
          <w:p w14:paraId="62B3248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Monitor of Engagement with the Natural Environment (MENE): The Natural Survey on People and the Natural Environment </w:t>
            </w:r>
          </w:p>
        </w:tc>
        <w:tc>
          <w:tcPr>
            <w:tcW w:w="3257" w:type="dxa"/>
            <w:tcBorders>
              <w:top w:val="nil"/>
              <w:left w:val="nil"/>
              <w:bottom w:val="single" w:sz="4" w:space="0" w:color="auto"/>
              <w:right w:val="nil"/>
            </w:tcBorders>
            <w:shd w:val="clear" w:color="000000" w:fill="FFFFFF"/>
            <w:hideMark/>
          </w:tcPr>
          <w:p w14:paraId="0D8D56D1"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How people use the natural environment, </w:t>
            </w:r>
            <w:r w:rsidRPr="00474647">
              <w:rPr>
                <w:rFonts w:ascii="Arial" w:eastAsia="Times New Roman" w:hAnsi="Arial" w:cs="Arial"/>
                <w:sz w:val="16"/>
                <w:szCs w:val="16"/>
                <w:lang w:eastAsia="en-GB"/>
              </w:rPr>
              <w:br/>
              <w:t>includes the:</w:t>
            </w:r>
            <w:r w:rsidRPr="00474647">
              <w:rPr>
                <w:rFonts w:ascii="Arial" w:eastAsia="Times New Roman" w:hAnsi="Arial" w:cs="Arial"/>
                <w:sz w:val="16"/>
                <w:szCs w:val="16"/>
                <w:lang w:eastAsia="en-GB"/>
              </w:rPr>
              <w:br/>
              <w:t>• type of destination</w:t>
            </w:r>
            <w:r w:rsidRPr="00474647">
              <w:rPr>
                <w:rFonts w:ascii="Arial" w:eastAsia="Times New Roman" w:hAnsi="Arial" w:cs="Arial"/>
                <w:sz w:val="16"/>
                <w:szCs w:val="16"/>
                <w:lang w:eastAsia="en-GB"/>
              </w:rPr>
              <w:br/>
              <w:t>• duration</w:t>
            </w:r>
            <w:r w:rsidRPr="00474647">
              <w:rPr>
                <w:rFonts w:ascii="Arial" w:eastAsia="Times New Roman" w:hAnsi="Arial" w:cs="Arial"/>
                <w:sz w:val="16"/>
                <w:szCs w:val="16"/>
                <w:lang w:eastAsia="en-GB"/>
              </w:rPr>
              <w:br/>
              <w:t>• mode of transport</w:t>
            </w:r>
            <w:r w:rsidRPr="00474647">
              <w:rPr>
                <w:rFonts w:ascii="Arial" w:eastAsia="Times New Roman" w:hAnsi="Arial" w:cs="Arial"/>
                <w:sz w:val="16"/>
                <w:szCs w:val="16"/>
                <w:lang w:eastAsia="en-GB"/>
              </w:rPr>
              <w:br/>
              <w:t>• distance travelled</w:t>
            </w:r>
            <w:r w:rsidRPr="00474647">
              <w:rPr>
                <w:rFonts w:ascii="Arial" w:eastAsia="Times New Roman" w:hAnsi="Arial" w:cs="Arial"/>
                <w:sz w:val="16"/>
                <w:szCs w:val="16"/>
                <w:lang w:eastAsia="en-GB"/>
              </w:rPr>
              <w:br/>
              <w:t>• expenditure</w:t>
            </w:r>
            <w:r w:rsidRPr="00474647">
              <w:rPr>
                <w:rFonts w:ascii="Arial" w:eastAsia="Times New Roman" w:hAnsi="Arial" w:cs="Arial"/>
                <w:sz w:val="16"/>
                <w:szCs w:val="16"/>
                <w:lang w:eastAsia="en-GB"/>
              </w:rPr>
              <w:br/>
              <w:t>• main activities</w:t>
            </w:r>
            <w:r w:rsidRPr="00474647">
              <w:rPr>
                <w:rFonts w:ascii="Arial" w:eastAsia="Times New Roman" w:hAnsi="Arial" w:cs="Arial"/>
                <w:sz w:val="16"/>
                <w:szCs w:val="16"/>
                <w:lang w:eastAsia="en-GB"/>
              </w:rPr>
              <w:br/>
              <w:t>• motivations</w:t>
            </w:r>
            <w:r w:rsidRPr="00474647">
              <w:rPr>
                <w:rFonts w:ascii="Arial" w:eastAsia="Times New Roman" w:hAnsi="Arial" w:cs="Arial"/>
                <w:sz w:val="16"/>
                <w:szCs w:val="16"/>
                <w:lang w:eastAsia="en-GB"/>
              </w:rPr>
              <w:br/>
              <w:t>• barriers to visiting</w:t>
            </w:r>
          </w:p>
        </w:tc>
        <w:tc>
          <w:tcPr>
            <w:tcW w:w="997" w:type="dxa"/>
            <w:tcBorders>
              <w:top w:val="nil"/>
              <w:left w:val="nil"/>
              <w:bottom w:val="single" w:sz="4" w:space="0" w:color="auto"/>
              <w:right w:val="nil"/>
            </w:tcBorders>
            <w:shd w:val="clear" w:color="000000" w:fill="FFFFFF"/>
            <w:vAlign w:val="center"/>
            <w:hideMark/>
          </w:tcPr>
          <w:p w14:paraId="024853F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2012 to 2013</w:t>
            </w:r>
          </w:p>
        </w:tc>
        <w:tc>
          <w:tcPr>
            <w:tcW w:w="1769" w:type="dxa"/>
            <w:tcBorders>
              <w:top w:val="nil"/>
              <w:left w:val="nil"/>
              <w:bottom w:val="single" w:sz="4" w:space="0" w:color="auto"/>
              <w:right w:val="nil"/>
            </w:tcBorders>
            <w:shd w:val="clear" w:color="000000" w:fill="FFFFFF"/>
            <w:vAlign w:val="center"/>
            <w:hideMark/>
          </w:tcPr>
          <w:p w14:paraId="2BC9DB8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18FFADCD" w14:textId="77777777" w:rsidTr="00474647">
        <w:trPr>
          <w:trHeight w:val="476"/>
        </w:trPr>
        <w:tc>
          <w:tcPr>
            <w:tcW w:w="1638" w:type="dxa"/>
            <w:tcBorders>
              <w:top w:val="nil"/>
              <w:left w:val="nil"/>
              <w:bottom w:val="single" w:sz="4" w:space="0" w:color="auto"/>
              <w:right w:val="nil"/>
            </w:tcBorders>
            <w:shd w:val="clear" w:color="000000" w:fill="FFFFFF"/>
            <w:vAlign w:val="center"/>
            <w:hideMark/>
          </w:tcPr>
          <w:p w14:paraId="1105586E"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UK Civil Service</w:t>
            </w:r>
          </w:p>
        </w:tc>
        <w:tc>
          <w:tcPr>
            <w:tcW w:w="1995" w:type="dxa"/>
            <w:tcBorders>
              <w:top w:val="nil"/>
              <w:left w:val="nil"/>
              <w:bottom w:val="single" w:sz="4" w:space="0" w:color="auto"/>
              <w:right w:val="nil"/>
            </w:tcBorders>
            <w:shd w:val="clear" w:color="000000" w:fill="FFFFFF"/>
            <w:vAlign w:val="center"/>
            <w:hideMark/>
          </w:tcPr>
          <w:p w14:paraId="151E2BA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Civil Service People Survey</w:t>
            </w:r>
          </w:p>
        </w:tc>
        <w:tc>
          <w:tcPr>
            <w:tcW w:w="3257" w:type="dxa"/>
            <w:tcBorders>
              <w:top w:val="nil"/>
              <w:left w:val="nil"/>
              <w:bottom w:val="single" w:sz="4" w:space="0" w:color="auto"/>
              <w:right w:val="nil"/>
            </w:tcBorders>
            <w:shd w:val="clear" w:color="000000" w:fill="FFFFFF"/>
            <w:hideMark/>
          </w:tcPr>
          <w:p w14:paraId="417CBE1E"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Civil service staff attitudes and experiences of work.</w:t>
            </w:r>
          </w:p>
        </w:tc>
        <w:tc>
          <w:tcPr>
            <w:tcW w:w="997" w:type="dxa"/>
            <w:tcBorders>
              <w:top w:val="nil"/>
              <w:left w:val="nil"/>
              <w:bottom w:val="single" w:sz="4" w:space="0" w:color="auto"/>
              <w:right w:val="nil"/>
            </w:tcBorders>
            <w:shd w:val="clear" w:color="000000" w:fill="FFFFFF"/>
            <w:vAlign w:val="center"/>
            <w:hideMark/>
          </w:tcPr>
          <w:p w14:paraId="69965DB0"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w:t>
            </w:r>
          </w:p>
        </w:tc>
        <w:tc>
          <w:tcPr>
            <w:tcW w:w="1769" w:type="dxa"/>
            <w:tcBorders>
              <w:top w:val="nil"/>
              <w:left w:val="nil"/>
              <w:bottom w:val="single" w:sz="4" w:space="0" w:color="auto"/>
              <w:right w:val="nil"/>
            </w:tcBorders>
            <w:shd w:val="clear" w:color="000000" w:fill="FFFFFF"/>
            <w:vAlign w:val="center"/>
            <w:hideMark/>
          </w:tcPr>
          <w:p w14:paraId="48950C2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w:t>
            </w:r>
          </w:p>
        </w:tc>
      </w:tr>
      <w:tr w:rsidR="00474647" w:rsidRPr="00474647" w14:paraId="332F1FFD" w14:textId="77777777" w:rsidTr="00474647">
        <w:trPr>
          <w:trHeight w:val="1191"/>
        </w:trPr>
        <w:tc>
          <w:tcPr>
            <w:tcW w:w="1638" w:type="dxa"/>
            <w:tcBorders>
              <w:top w:val="nil"/>
              <w:left w:val="nil"/>
              <w:bottom w:val="single" w:sz="4" w:space="0" w:color="auto"/>
              <w:right w:val="nil"/>
            </w:tcBorders>
            <w:shd w:val="clear" w:color="000000" w:fill="FFFFFF"/>
            <w:vAlign w:val="center"/>
            <w:hideMark/>
          </w:tcPr>
          <w:p w14:paraId="23BB5A74"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Sainsbury's, </w:t>
            </w:r>
            <w:r w:rsidRPr="00474647">
              <w:rPr>
                <w:rFonts w:ascii="Arial" w:eastAsia="Times New Roman" w:hAnsi="Arial" w:cs="Arial"/>
                <w:sz w:val="16"/>
                <w:szCs w:val="16"/>
                <w:lang w:eastAsia="en-GB"/>
              </w:rPr>
              <w:br/>
              <w:t xml:space="preserve">Oxford Economics </w:t>
            </w:r>
            <w:r w:rsidRPr="00474647">
              <w:rPr>
                <w:rFonts w:ascii="Arial" w:eastAsia="Times New Roman" w:hAnsi="Arial" w:cs="Arial"/>
                <w:sz w:val="16"/>
                <w:szCs w:val="16"/>
                <w:lang w:eastAsia="en-GB"/>
              </w:rPr>
              <w:br/>
              <w:t xml:space="preserve">and National Centre </w:t>
            </w:r>
            <w:r w:rsidRPr="00474647">
              <w:rPr>
                <w:rFonts w:ascii="Arial" w:eastAsia="Times New Roman" w:hAnsi="Arial" w:cs="Arial"/>
                <w:sz w:val="16"/>
                <w:szCs w:val="16"/>
                <w:lang w:eastAsia="en-GB"/>
              </w:rPr>
              <w:br/>
              <w:t>for Social Research</w:t>
            </w:r>
          </w:p>
        </w:tc>
        <w:tc>
          <w:tcPr>
            <w:tcW w:w="1995" w:type="dxa"/>
            <w:tcBorders>
              <w:top w:val="nil"/>
              <w:left w:val="nil"/>
              <w:bottom w:val="single" w:sz="4" w:space="0" w:color="auto"/>
              <w:right w:val="nil"/>
            </w:tcBorders>
            <w:shd w:val="clear" w:color="000000" w:fill="FFFFFF"/>
            <w:vAlign w:val="center"/>
            <w:hideMark/>
          </w:tcPr>
          <w:p w14:paraId="6589EAD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Living Well Index</w:t>
            </w:r>
          </w:p>
        </w:tc>
        <w:tc>
          <w:tcPr>
            <w:tcW w:w="3257" w:type="dxa"/>
            <w:tcBorders>
              <w:top w:val="nil"/>
              <w:left w:val="nil"/>
              <w:bottom w:val="single" w:sz="4" w:space="0" w:color="auto"/>
              <w:right w:val="nil"/>
            </w:tcBorders>
            <w:shd w:val="clear" w:color="auto" w:fill="auto"/>
            <w:hideMark/>
          </w:tcPr>
          <w:p w14:paraId="7702CD49"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What does it mean to live well? How well are we really living as a nation, and why? This study aims to provide the answers – by defining, measuring and tracking, over a number of years, what it means to live well in Britain.</w:t>
            </w:r>
          </w:p>
        </w:tc>
        <w:tc>
          <w:tcPr>
            <w:tcW w:w="997" w:type="dxa"/>
            <w:tcBorders>
              <w:top w:val="nil"/>
              <w:left w:val="nil"/>
              <w:bottom w:val="single" w:sz="4" w:space="0" w:color="auto"/>
              <w:right w:val="nil"/>
            </w:tcBorders>
            <w:shd w:val="clear" w:color="000000" w:fill="FFFFFF"/>
            <w:vAlign w:val="center"/>
            <w:hideMark/>
          </w:tcPr>
          <w:p w14:paraId="418A568A"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2012</w:t>
            </w:r>
          </w:p>
        </w:tc>
        <w:tc>
          <w:tcPr>
            <w:tcW w:w="1769" w:type="dxa"/>
            <w:tcBorders>
              <w:top w:val="nil"/>
              <w:left w:val="nil"/>
              <w:bottom w:val="single" w:sz="4" w:space="0" w:color="auto"/>
              <w:right w:val="nil"/>
            </w:tcBorders>
            <w:shd w:val="clear" w:color="000000" w:fill="FFFFFF"/>
            <w:vAlign w:val="center"/>
            <w:hideMark/>
          </w:tcPr>
          <w:p w14:paraId="7326D10F"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1692D745" w14:textId="77777777" w:rsidTr="00474647">
        <w:trPr>
          <w:trHeight w:val="1191"/>
        </w:trPr>
        <w:tc>
          <w:tcPr>
            <w:tcW w:w="1638" w:type="dxa"/>
            <w:tcBorders>
              <w:top w:val="nil"/>
              <w:left w:val="nil"/>
              <w:bottom w:val="single" w:sz="4" w:space="0" w:color="auto"/>
              <w:right w:val="nil"/>
            </w:tcBorders>
            <w:shd w:val="clear" w:color="000000" w:fill="FFFFFF"/>
            <w:vAlign w:val="center"/>
            <w:hideMark/>
          </w:tcPr>
          <w:p w14:paraId="31EB0A59"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Higher Education </w:t>
            </w:r>
            <w:r w:rsidRPr="00474647">
              <w:rPr>
                <w:rFonts w:ascii="Arial" w:eastAsia="Times New Roman" w:hAnsi="Arial" w:cs="Arial"/>
                <w:sz w:val="16"/>
                <w:szCs w:val="16"/>
                <w:lang w:eastAsia="en-GB"/>
              </w:rPr>
              <w:br/>
              <w:t>Statistics Agency</w:t>
            </w:r>
          </w:p>
        </w:tc>
        <w:tc>
          <w:tcPr>
            <w:tcW w:w="1995" w:type="dxa"/>
            <w:tcBorders>
              <w:top w:val="nil"/>
              <w:left w:val="nil"/>
              <w:bottom w:val="single" w:sz="4" w:space="0" w:color="auto"/>
              <w:right w:val="nil"/>
            </w:tcBorders>
            <w:shd w:val="clear" w:color="000000" w:fill="FFFFFF"/>
            <w:vAlign w:val="center"/>
            <w:hideMark/>
          </w:tcPr>
          <w:p w14:paraId="20F8BF3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Measuring Graduate Subjective Well-being Outcomes through Destination of Leavers from Higher Education (DLHE)</w:t>
            </w:r>
          </w:p>
        </w:tc>
        <w:tc>
          <w:tcPr>
            <w:tcW w:w="3257" w:type="dxa"/>
            <w:tcBorders>
              <w:top w:val="nil"/>
              <w:left w:val="nil"/>
              <w:bottom w:val="single" w:sz="4" w:space="0" w:color="auto"/>
              <w:right w:val="nil"/>
            </w:tcBorders>
            <w:shd w:val="clear" w:color="000000" w:fill="FFFFFF"/>
            <w:vAlign w:val="bottom"/>
            <w:hideMark/>
          </w:tcPr>
          <w:p w14:paraId="01CC7461"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The survey which will gather insightful and comprehensive information about graduate outcomes. The four ONS personal well-being questions are optional.</w:t>
            </w:r>
          </w:p>
        </w:tc>
        <w:tc>
          <w:tcPr>
            <w:tcW w:w="997" w:type="dxa"/>
            <w:tcBorders>
              <w:top w:val="nil"/>
              <w:left w:val="nil"/>
              <w:bottom w:val="single" w:sz="4" w:space="0" w:color="auto"/>
              <w:right w:val="nil"/>
            </w:tcBorders>
            <w:shd w:val="clear" w:color="000000" w:fill="FFFFFF"/>
            <w:vAlign w:val="center"/>
            <w:hideMark/>
          </w:tcPr>
          <w:p w14:paraId="1B99671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2017</w:t>
            </w:r>
          </w:p>
        </w:tc>
        <w:tc>
          <w:tcPr>
            <w:tcW w:w="1769" w:type="dxa"/>
            <w:tcBorders>
              <w:top w:val="nil"/>
              <w:left w:val="nil"/>
              <w:bottom w:val="single" w:sz="4" w:space="0" w:color="auto"/>
              <w:right w:val="nil"/>
            </w:tcBorders>
            <w:shd w:val="clear" w:color="000000" w:fill="FFFFFF"/>
            <w:vAlign w:val="center"/>
            <w:hideMark/>
          </w:tcPr>
          <w:p w14:paraId="67147329"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2C74BBC0" w14:textId="77777777" w:rsidTr="00474647">
        <w:trPr>
          <w:trHeight w:val="1667"/>
        </w:trPr>
        <w:tc>
          <w:tcPr>
            <w:tcW w:w="1638" w:type="dxa"/>
            <w:tcBorders>
              <w:top w:val="nil"/>
              <w:left w:val="nil"/>
              <w:bottom w:val="single" w:sz="4" w:space="0" w:color="auto"/>
              <w:right w:val="nil"/>
            </w:tcBorders>
            <w:shd w:val="clear" w:color="000000" w:fill="FFFFFF"/>
            <w:vAlign w:val="center"/>
            <w:hideMark/>
          </w:tcPr>
          <w:p w14:paraId="1A5930B6"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lastRenderedPageBreak/>
              <w:t xml:space="preserve">One Parent Families </w:t>
            </w:r>
            <w:r w:rsidRPr="00474647">
              <w:rPr>
                <w:rFonts w:ascii="Arial" w:eastAsia="Times New Roman" w:hAnsi="Arial" w:cs="Arial"/>
                <w:sz w:val="16"/>
                <w:szCs w:val="16"/>
                <w:lang w:eastAsia="en-GB"/>
              </w:rPr>
              <w:br/>
              <w:t xml:space="preserve">Scotland and Scottish </w:t>
            </w:r>
            <w:r w:rsidRPr="00474647">
              <w:rPr>
                <w:rFonts w:ascii="Arial" w:eastAsia="Times New Roman" w:hAnsi="Arial" w:cs="Arial"/>
                <w:sz w:val="16"/>
                <w:szCs w:val="16"/>
                <w:lang w:eastAsia="en-GB"/>
              </w:rPr>
              <w:br/>
              <w:t xml:space="preserve">Poverty and Inequality </w:t>
            </w:r>
            <w:r w:rsidRPr="00474647">
              <w:rPr>
                <w:rFonts w:ascii="Arial" w:eastAsia="Times New Roman" w:hAnsi="Arial" w:cs="Arial"/>
                <w:sz w:val="16"/>
                <w:szCs w:val="16"/>
                <w:lang w:eastAsia="en-GB"/>
              </w:rPr>
              <w:br/>
              <w:t xml:space="preserve">Research Unit at </w:t>
            </w:r>
            <w:r w:rsidRPr="00474647">
              <w:rPr>
                <w:rFonts w:ascii="Arial" w:eastAsia="Times New Roman" w:hAnsi="Arial" w:cs="Arial"/>
                <w:sz w:val="16"/>
                <w:szCs w:val="16"/>
                <w:lang w:eastAsia="en-GB"/>
              </w:rPr>
              <w:br/>
              <w:t xml:space="preserve">Glasgow Caledonian </w:t>
            </w:r>
            <w:r w:rsidRPr="00474647">
              <w:rPr>
                <w:rFonts w:ascii="Arial" w:eastAsia="Times New Roman" w:hAnsi="Arial" w:cs="Arial"/>
                <w:sz w:val="16"/>
                <w:szCs w:val="16"/>
                <w:lang w:eastAsia="en-GB"/>
              </w:rPr>
              <w:br/>
              <w:t>University</w:t>
            </w:r>
          </w:p>
        </w:tc>
        <w:tc>
          <w:tcPr>
            <w:tcW w:w="1995" w:type="dxa"/>
            <w:tcBorders>
              <w:top w:val="nil"/>
              <w:left w:val="nil"/>
              <w:bottom w:val="single" w:sz="4" w:space="0" w:color="auto"/>
              <w:right w:val="nil"/>
            </w:tcBorders>
            <w:shd w:val="clear" w:color="000000" w:fill="FFFFFF"/>
            <w:vAlign w:val="center"/>
            <w:hideMark/>
          </w:tcPr>
          <w:p w14:paraId="6AAE63E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Single Parents Community Connections Survey</w:t>
            </w:r>
          </w:p>
        </w:tc>
        <w:tc>
          <w:tcPr>
            <w:tcW w:w="3257" w:type="dxa"/>
            <w:tcBorders>
              <w:top w:val="nil"/>
              <w:left w:val="nil"/>
              <w:bottom w:val="single" w:sz="4" w:space="0" w:color="auto"/>
              <w:right w:val="nil"/>
            </w:tcBorders>
            <w:shd w:val="clear" w:color="000000" w:fill="FFFFFF"/>
            <w:hideMark/>
          </w:tcPr>
          <w:p w14:paraId="3F3B47B8"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Aims to be the largest ever survey of single parents in Scotland. The results will feed into OPFS and GCU’s Community Connections project funded by the Scottish Government Innovation fund. The project aims to tackle isolation, loneliness and poor mental health among single parents.</w:t>
            </w:r>
          </w:p>
        </w:tc>
        <w:tc>
          <w:tcPr>
            <w:tcW w:w="997" w:type="dxa"/>
            <w:tcBorders>
              <w:top w:val="nil"/>
              <w:left w:val="nil"/>
              <w:bottom w:val="single" w:sz="4" w:space="0" w:color="auto"/>
              <w:right w:val="nil"/>
            </w:tcBorders>
            <w:shd w:val="clear" w:color="000000" w:fill="FFFFFF"/>
            <w:vAlign w:val="center"/>
            <w:hideMark/>
          </w:tcPr>
          <w:p w14:paraId="603B3D8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2018</w:t>
            </w:r>
          </w:p>
        </w:tc>
        <w:tc>
          <w:tcPr>
            <w:tcW w:w="1769" w:type="dxa"/>
            <w:tcBorders>
              <w:top w:val="nil"/>
              <w:left w:val="nil"/>
              <w:bottom w:val="single" w:sz="4" w:space="0" w:color="auto"/>
              <w:right w:val="nil"/>
            </w:tcBorders>
            <w:shd w:val="clear" w:color="000000" w:fill="FFFFFF"/>
            <w:vAlign w:val="center"/>
            <w:hideMark/>
          </w:tcPr>
          <w:p w14:paraId="5BB43C2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636975B6" w14:textId="77777777" w:rsidTr="00474647">
        <w:trPr>
          <w:trHeight w:val="952"/>
        </w:trPr>
        <w:tc>
          <w:tcPr>
            <w:tcW w:w="1638" w:type="dxa"/>
            <w:tcBorders>
              <w:top w:val="nil"/>
              <w:left w:val="nil"/>
              <w:bottom w:val="single" w:sz="4" w:space="0" w:color="auto"/>
              <w:right w:val="nil"/>
            </w:tcBorders>
            <w:shd w:val="clear" w:color="000000" w:fill="FFFFFF"/>
            <w:vAlign w:val="center"/>
            <w:hideMark/>
          </w:tcPr>
          <w:p w14:paraId="155379D6"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The Land Trust</w:t>
            </w:r>
          </w:p>
        </w:tc>
        <w:tc>
          <w:tcPr>
            <w:tcW w:w="1995" w:type="dxa"/>
            <w:tcBorders>
              <w:top w:val="nil"/>
              <w:left w:val="nil"/>
              <w:bottom w:val="single" w:sz="4" w:space="0" w:color="auto"/>
              <w:right w:val="nil"/>
            </w:tcBorders>
            <w:shd w:val="clear" w:color="auto" w:fill="auto"/>
            <w:vAlign w:val="center"/>
            <w:hideMark/>
          </w:tcPr>
          <w:p w14:paraId="3E75CC5A"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Perceptions Survey and Social Value Study</w:t>
            </w:r>
          </w:p>
        </w:tc>
        <w:tc>
          <w:tcPr>
            <w:tcW w:w="3257" w:type="dxa"/>
            <w:tcBorders>
              <w:top w:val="nil"/>
              <w:left w:val="nil"/>
              <w:bottom w:val="single" w:sz="4" w:space="0" w:color="auto"/>
              <w:right w:val="nil"/>
            </w:tcBorders>
            <w:shd w:val="clear" w:color="000000" w:fill="FFFFFF"/>
            <w:hideMark/>
          </w:tcPr>
          <w:p w14:paraId="482D68B8"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The Land Trust is dedicated to providing free public open space for the benefit of communities. Land Trust commissioned Carney Green to undertake a Social value assessment of its sites.</w:t>
            </w:r>
          </w:p>
        </w:tc>
        <w:tc>
          <w:tcPr>
            <w:tcW w:w="997" w:type="dxa"/>
            <w:tcBorders>
              <w:top w:val="nil"/>
              <w:left w:val="nil"/>
              <w:bottom w:val="single" w:sz="4" w:space="0" w:color="auto"/>
              <w:right w:val="nil"/>
            </w:tcBorders>
            <w:shd w:val="clear" w:color="000000" w:fill="FFFFFF"/>
            <w:vAlign w:val="center"/>
            <w:hideMark/>
          </w:tcPr>
          <w:p w14:paraId="1117346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2015</w:t>
            </w:r>
          </w:p>
        </w:tc>
        <w:tc>
          <w:tcPr>
            <w:tcW w:w="1769" w:type="dxa"/>
            <w:tcBorders>
              <w:top w:val="nil"/>
              <w:left w:val="nil"/>
              <w:bottom w:val="single" w:sz="4" w:space="0" w:color="auto"/>
              <w:right w:val="nil"/>
            </w:tcBorders>
            <w:shd w:val="clear" w:color="000000" w:fill="FFFFFF"/>
            <w:vAlign w:val="center"/>
            <w:hideMark/>
          </w:tcPr>
          <w:p w14:paraId="42416FC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6279F74A" w14:textId="77777777" w:rsidTr="00474647">
        <w:trPr>
          <w:trHeight w:val="714"/>
        </w:trPr>
        <w:tc>
          <w:tcPr>
            <w:tcW w:w="1638" w:type="dxa"/>
            <w:tcBorders>
              <w:top w:val="nil"/>
              <w:left w:val="nil"/>
              <w:bottom w:val="single" w:sz="4" w:space="0" w:color="auto"/>
              <w:right w:val="nil"/>
            </w:tcBorders>
            <w:shd w:val="clear" w:color="000000" w:fill="FFFFFF"/>
            <w:vAlign w:val="center"/>
            <w:hideMark/>
          </w:tcPr>
          <w:p w14:paraId="5FD5BA35"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Natural Resources Wales</w:t>
            </w:r>
          </w:p>
        </w:tc>
        <w:tc>
          <w:tcPr>
            <w:tcW w:w="1995" w:type="dxa"/>
            <w:tcBorders>
              <w:top w:val="nil"/>
              <w:left w:val="nil"/>
              <w:bottom w:val="single" w:sz="4" w:space="0" w:color="auto"/>
              <w:right w:val="nil"/>
            </w:tcBorders>
            <w:shd w:val="clear" w:color="000000" w:fill="FFFFFF"/>
            <w:vAlign w:val="center"/>
            <w:hideMark/>
          </w:tcPr>
          <w:p w14:paraId="25555D1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People Survey 2015</w:t>
            </w:r>
          </w:p>
        </w:tc>
        <w:tc>
          <w:tcPr>
            <w:tcW w:w="3257" w:type="dxa"/>
            <w:tcBorders>
              <w:top w:val="nil"/>
              <w:left w:val="nil"/>
              <w:bottom w:val="single" w:sz="4" w:space="0" w:color="auto"/>
              <w:right w:val="nil"/>
            </w:tcBorders>
            <w:shd w:val="clear" w:color="auto" w:fill="auto"/>
            <w:hideMark/>
          </w:tcPr>
          <w:p w14:paraId="56E13364"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Our People Survey was carried out in order to gauge honest opinions from staff on how they feel about working for Natural Resources Wales.</w:t>
            </w:r>
          </w:p>
        </w:tc>
        <w:tc>
          <w:tcPr>
            <w:tcW w:w="997" w:type="dxa"/>
            <w:tcBorders>
              <w:top w:val="nil"/>
              <w:left w:val="nil"/>
              <w:bottom w:val="single" w:sz="4" w:space="0" w:color="auto"/>
              <w:right w:val="nil"/>
            </w:tcBorders>
            <w:shd w:val="clear" w:color="000000" w:fill="FFFFFF"/>
            <w:vAlign w:val="center"/>
            <w:hideMark/>
          </w:tcPr>
          <w:p w14:paraId="187D5CB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2016</w:t>
            </w:r>
          </w:p>
        </w:tc>
        <w:tc>
          <w:tcPr>
            <w:tcW w:w="1769" w:type="dxa"/>
            <w:tcBorders>
              <w:top w:val="nil"/>
              <w:left w:val="nil"/>
              <w:bottom w:val="single" w:sz="4" w:space="0" w:color="auto"/>
              <w:right w:val="nil"/>
            </w:tcBorders>
            <w:shd w:val="clear" w:color="000000" w:fill="FFFFFF"/>
            <w:vAlign w:val="center"/>
            <w:hideMark/>
          </w:tcPr>
          <w:p w14:paraId="1C5ACD12"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259091E3" w14:textId="77777777" w:rsidTr="00474647">
        <w:trPr>
          <w:trHeight w:val="476"/>
        </w:trPr>
        <w:tc>
          <w:tcPr>
            <w:tcW w:w="1638" w:type="dxa"/>
            <w:tcBorders>
              <w:top w:val="nil"/>
              <w:left w:val="nil"/>
              <w:bottom w:val="single" w:sz="4" w:space="0" w:color="auto"/>
              <w:right w:val="nil"/>
            </w:tcBorders>
            <w:shd w:val="clear" w:color="000000" w:fill="FFFFFF"/>
            <w:vAlign w:val="center"/>
            <w:hideMark/>
          </w:tcPr>
          <w:p w14:paraId="7C10C438"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Active Lives Survey</w:t>
            </w:r>
          </w:p>
        </w:tc>
        <w:tc>
          <w:tcPr>
            <w:tcW w:w="1995" w:type="dxa"/>
            <w:tcBorders>
              <w:top w:val="nil"/>
              <w:left w:val="nil"/>
              <w:bottom w:val="single" w:sz="4" w:space="0" w:color="auto"/>
              <w:right w:val="nil"/>
            </w:tcBorders>
            <w:shd w:val="clear" w:color="000000" w:fill="FFFFFF"/>
            <w:vAlign w:val="center"/>
            <w:hideMark/>
          </w:tcPr>
          <w:p w14:paraId="2A449F97"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Sport England </w:t>
            </w:r>
          </w:p>
        </w:tc>
        <w:tc>
          <w:tcPr>
            <w:tcW w:w="3257" w:type="dxa"/>
            <w:tcBorders>
              <w:top w:val="nil"/>
              <w:left w:val="nil"/>
              <w:bottom w:val="single" w:sz="4" w:space="0" w:color="auto"/>
              <w:right w:val="nil"/>
            </w:tcBorders>
            <w:shd w:val="clear" w:color="000000" w:fill="FFFFFF"/>
            <w:hideMark/>
          </w:tcPr>
          <w:p w14:paraId="25AB3874"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Measuring the number of people aged 14 and over taking part in sport and physical activity.</w:t>
            </w:r>
          </w:p>
        </w:tc>
        <w:tc>
          <w:tcPr>
            <w:tcW w:w="997" w:type="dxa"/>
            <w:tcBorders>
              <w:top w:val="nil"/>
              <w:left w:val="nil"/>
              <w:bottom w:val="single" w:sz="4" w:space="0" w:color="auto"/>
              <w:right w:val="nil"/>
            </w:tcBorders>
            <w:shd w:val="clear" w:color="000000" w:fill="FFFFFF"/>
            <w:vAlign w:val="center"/>
            <w:hideMark/>
          </w:tcPr>
          <w:p w14:paraId="34A1706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2015</w:t>
            </w:r>
          </w:p>
        </w:tc>
        <w:tc>
          <w:tcPr>
            <w:tcW w:w="1769" w:type="dxa"/>
            <w:tcBorders>
              <w:top w:val="nil"/>
              <w:left w:val="nil"/>
              <w:bottom w:val="single" w:sz="4" w:space="0" w:color="auto"/>
              <w:right w:val="nil"/>
            </w:tcBorders>
            <w:shd w:val="clear" w:color="000000" w:fill="FFFFFF"/>
            <w:vAlign w:val="center"/>
            <w:hideMark/>
          </w:tcPr>
          <w:p w14:paraId="30617349"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7F693B4F" w14:textId="77777777" w:rsidTr="00474647">
        <w:trPr>
          <w:trHeight w:val="714"/>
        </w:trPr>
        <w:tc>
          <w:tcPr>
            <w:tcW w:w="1638" w:type="dxa"/>
            <w:vMerge w:val="restart"/>
            <w:tcBorders>
              <w:top w:val="nil"/>
              <w:left w:val="nil"/>
              <w:bottom w:val="single" w:sz="4" w:space="0" w:color="000000"/>
              <w:right w:val="nil"/>
            </w:tcBorders>
            <w:shd w:val="clear" w:color="000000" w:fill="FFFFFF"/>
            <w:vAlign w:val="center"/>
            <w:hideMark/>
          </w:tcPr>
          <w:p w14:paraId="36396730"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Centre for Regional </w:t>
            </w:r>
            <w:r w:rsidRPr="00474647">
              <w:rPr>
                <w:rFonts w:ascii="Arial" w:eastAsia="Times New Roman" w:hAnsi="Arial" w:cs="Arial"/>
                <w:sz w:val="16"/>
                <w:szCs w:val="16"/>
                <w:lang w:eastAsia="en-GB"/>
              </w:rPr>
              <w:br/>
              <w:t xml:space="preserve">Economic and Social </w:t>
            </w:r>
            <w:r w:rsidRPr="00474647">
              <w:rPr>
                <w:rFonts w:ascii="Arial" w:eastAsia="Times New Roman" w:hAnsi="Arial" w:cs="Arial"/>
                <w:sz w:val="16"/>
                <w:szCs w:val="16"/>
                <w:lang w:eastAsia="en-GB"/>
              </w:rPr>
              <w:br/>
              <w:t xml:space="preserve">Research (CRESR) and </w:t>
            </w:r>
            <w:r w:rsidRPr="00474647">
              <w:rPr>
                <w:rFonts w:ascii="Arial" w:eastAsia="Times New Roman" w:hAnsi="Arial" w:cs="Arial"/>
                <w:sz w:val="16"/>
                <w:szCs w:val="16"/>
                <w:lang w:eastAsia="en-GB"/>
              </w:rPr>
              <w:br/>
              <w:t xml:space="preserve">Institute for Employment Research (IER), </w:t>
            </w:r>
            <w:r w:rsidRPr="00474647">
              <w:rPr>
                <w:rFonts w:ascii="Arial" w:eastAsia="Times New Roman" w:hAnsi="Arial" w:cs="Arial"/>
                <w:sz w:val="16"/>
                <w:szCs w:val="16"/>
                <w:lang w:eastAsia="en-GB"/>
              </w:rPr>
              <w:br/>
              <w:t>University of Warwick</w:t>
            </w:r>
          </w:p>
        </w:tc>
        <w:tc>
          <w:tcPr>
            <w:tcW w:w="1995" w:type="dxa"/>
            <w:tcBorders>
              <w:top w:val="nil"/>
              <w:left w:val="nil"/>
              <w:bottom w:val="single" w:sz="4" w:space="0" w:color="auto"/>
              <w:right w:val="nil"/>
            </w:tcBorders>
            <w:shd w:val="clear" w:color="000000" w:fill="FFFFFF"/>
            <w:vAlign w:val="center"/>
            <w:hideMark/>
          </w:tcPr>
          <w:p w14:paraId="53387F58"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Active Lives Survey - Children and Young People Survey</w:t>
            </w:r>
          </w:p>
        </w:tc>
        <w:tc>
          <w:tcPr>
            <w:tcW w:w="3257" w:type="dxa"/>
            <w:tcBorders>
              <w:top w:val="nil"/>
              <w:left w:val="nil"/>
              <w:bottom w:val="single" w:sz="4" w:space="0" w:color="auto"/>
              <w:right w:val="nil"/>
            </w:tcBorders>
            <w:shd w:val="clear" w:color="000000" w:fill="FFFFFF"/>
            <w:hideMark/>
          </w:tcPr>
          <w:p w14:paraId="397A23D1"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Includes 3 of the ONS 4 - does not include the anxiety question.</w:t>
            </w:r>
          </w:p>
        </w:tc>
        <w:tc>
          <w:tcPr>
            <w:tcW w:w="997" w:type="dxa"/>
            <w:tcBorders>
              <w:top w:val="nil"/>
              <w:left w:val="nil"/>
              <w:bottom w:val="single" w:sz="4" w:space="0" w:color="auto"/>
              <w:right w:val="nil"/>
            </w:tcBorders>
            <w:shd w:val="clear" w:color="000000" w:fill="FFFFFF"/>
            <w:vAlign w:val="center"/>
            <w:hideMark/>
          </w:tcPr>
          <w:p w14:paraId="1DBCE26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2017</w:t>
            </w:r>
          </w:p>
        </w:tc>
        <w:tc>
          <w:tcPr>
            <w:tcW w:w="1769" w:type="dxa"/>
            <w:tcBorders>
              <w:top w:val="nil"/>
              <w:left w:val="nil"/>
              <w:bottom w:val="single" w:sz="4" w:space="0" w:color="auto"/>
              <w:right w:val="nil"/>
            </w:tcBorders>
            <w:shd w:val="clear" w:color="000000" w:fill="FFFFFF"/>
            <w:vAlign w:val="center"/>
            <w:hideMark/>
          </w:tcPr>
          <w:p w14:paraId="7245EB85"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5E901880" w14:textId="77777777" w:rsidTr="00474647">
        <w:trPr>
          <w:trHeight w:val="1052"/>
        </w:trPr>
        <w:tc>
          <w:tcPr>
            <w:tcW w:w="1638" w:type="dxa"/>
            <w:vMerge/>
            <w:tcBorders>
              <w:top w:val="nil"/>
              <w:left w:val="nil"/>
              <w:bottom w:val="single" w:sz="4" w:space="0" w:color="000000"/>
              <w:right w:val="nil"/>
            </w:tcBorders>
            <w:vAlign w:val="center"/>
            <w:hideMark/>
          </w:tcPr>
          <w:p w14:paraId="0315386B" w14:textId="77777777" w:rsidR="00474647" w:rsidRPr="00474647" w:rsidRDefault="00474647" w:rsidP="00474647">
            <w:pPr>
              <w:rPr>
                <w:rFonts w:ascii="Arial" w:eastAsia="Times New Roman" w:hAnsi="Arial" w:cs="Arial"/>
                <w:sz w:val="16"/>
                <w:szCs w:val="16"/>
                <w:lang w:eastAsia="en-GB"/>
              </w:rPr>
            </w:pPr>
          </w:p>
        </w:tc>
        <w:tc>
          <w:tcPr>
            <w:tcW w:w="1995" w:type="dxa"/>
            <w:tcBorders>
              <w:top w:val="nil"/>
              <w:left w:val="nil"/>
              <w:bottom w:val="single" w:sz="4" w:space="0" w:color="auto"/>
              <w:right w:val="nil"/>
            </w:tcBorders>
            <w:shd w:val="clear" w:color="000000" w:fill="FFFFFF"/>
            <w:vAlign w:val="center"/>
            <w:hideMark/>
          </w:tcPr>
          <w:p w14:paraId="602217F1"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Big Lottery Talent </w:t>
            </w:r>
            <w:r w:rsidRPr="00474647">
              <w:rPr>
                <w:rFonts w:ascii="Arial" w:eastAsia="Times New Roman" w:hAnsi="Arial" w:cs="Arial"/>
                <w:sz w:val="16"/>
                <w:szCs w:val="16"/>
                <w:lang w:eastAsia="en-GB"/>
              </w:rPr>
              <w:br/>
              <w:t>Match Survey</w:t>
            </w:r>
          </w:p>
        </w:tc>
        <w:tc>
          <w:tcPr>
            <w:tcW w:w="3257" w:type="dxa"/>
            <w:tcBorders>
              <w:top w:val="nil"/>
              <w:left w:val="nil"/>
              <w:bottom w:val="single" w:sz="4" w:space="0" w:color="auto"/>
              <w:right w:val="nil"/>
            </w:tcBorders>
            <w:shd w:val="clear" w:color="auto" w:fill="auto"/>
            <w:hideMark/>
          </w:tcPr>
          <w:p w14:paraId="16FD65CD"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An evaluation survey of the initial entrants onto the Talent Match programme. The overall objectives of the programme are to support 25,000 individuals with the goal of 5,400 entering employment.</w:t>
            </w:r>
          </w:p>
        </w:tc>
        <w:tc>
          <w:tcPr>
            <w:tcW w:w="997" w:type="dxa"/>
            <w:tcBorders>
              <w:top w:val="nil"/>
              <w:left w:val="nil"/>
              <w:bottom w:val="single" w:sz="4" w:space="0" w:color="auto"/>
              <w:right w:val="nil"/>
            </w:tcBorders>
            <w:shd w:val="clear" w:color="000000" w:fill="FFFFFF"/>
            <w:vAlign w:val="center"/>
            <w:hideMark/>
          </w:tcPr>
          <w:p w14:paraId="12372D83"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2014</w:t>
            </w:r>
          </w:p>
        </w:tc>
        <w:tc>
          <w:tcPr>
            <w:tcW w:w="1769" w:type="dxa"/>
            <w:tcBorders>
              <w:top w:val="nil"/>
              <w:left w:val="nil"/>
              <w:bottom w:val="single" w:sz="4" w:space="0" w:color="auto"/>
              <w:right w:val="nil"/>
            </w:tcBorders>
            <w:shd w:val="clear" w:color="000000" w:fill="FFFFFF"/>
            <w:vAlign w:val="center"/>
            <w:hideMark/>
          </w:tcPr>
          <w:p w14:paraId="69D9AB5E"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Not updated</w:t>
            </w:r>
          </w:p>
        </w:tc>
      </w:tr>
      <w:tr w:rsidR="00474647" w:rsidRPr="00474647" w14:paraId="68CE6291" w14:textId="77777777" w:rsidTr="00474647">
        <w:trPr>
          <w:trHeight w:val="1429"/>
        </w:trPr>
        <w:tc>
          <w:tcPr>
            <w:tcW w:w="1638" w:type="dxa"/>
            <w:tcBorders>
              <w:top w:val="nil"/>
              <w:left w:val="nil"/>
              <w:bottom w:val="single" w:sz="4" w:space="0" w:color="auto"/>
              <w:right w:val="nil"/>
            </w:tcBorders>
            <w:shd w:val="clear" w:color="000000" w:fill="FFFFFF"/>
            <w:vAlign w:val="center"/>
            <w:hideMark/>
          </w:tcPr>
          <w:p w14:paraId="5908E128"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Isle of Man Government</w:t>
            </w:r>
          </w:p>
        </w:tc>
        <w:tc>
          <w:tcPr>
            <w:tcW w:w="1995" w:type="dxa"/>
            <w:tcBorders>
              <w:top w:val="nil"/>
              <w:left w:val="nil"/>
              <w:bottom w:val="single" w:sz="4" w:space="0" w:color="auto"/>
              <w:right w:val="nil"/>
            </w:tcBorders>
            <w:shd w:val="clear" w:color="auto" w:fill="auto"/>
            <w:vAlign w:val="center"/>
            <w:hideMark/>
          </w:tcPr>
          <w:p w14:paraId="44B2A2A2"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Health and Lifestyle </w:t>
            </w:r>
            <w:r w:rsidRPr="00474647">
              <w:rPr>
                <w:rFonts w:ascii="Arial" w:eastAsia="Times New Roman" w:hAnsi="Arial" w:cs="Arial"/>
                <w:sz w:val="16"/>
                <w:szCs w:val="16"/>
                <w:lang w:eastAsia="en-GB"/>
              </w:rPr>
              <w:br/>
              <w:t>Survey 2017</w:t>
            </w:r>
          </w:p>
        </w:tc>
        <w:tc>
          <w:tcPr>
            <w:tcW w:w="3257" w:type="dxa"/>
            <w:tcBorders>
              <w:top w:val="nil"/>
              <w:left w:val="nil"/>
              <w:bottom w:val="single" w:sz="4" w:space="0" w:color="auto"/>
              <w:right w:val="nil"/>
            </w:tcBorders>
            <w:shd w:val="clear" w:color="auto" w:fill="auto"/>
            <w:hideMark/>
          </w:tcPr>
          <w:p w14:paraId="1415F84C"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 xml:space="preserve">The areas of interest for this survey were: </w:t>
            </w:r>
            <w:r w:rsidRPr="00474647">
              <w:rPr>
                <w:rFonts w:ascii="Arial" w:eastAsia="Times New Roman" w:hAnsi="Arial" w:cs="Arial"/>
                <w:sz w:val="16"/>
                <w:szCs w:val="16"/>
                <w:lang w:eastAsia="en-GB"/>
              </w:rPr>
              <w:br/>
              <w:t xml:space="preserve">• general health </w:t>
            </w:r>
            <w:r w:rsidRPr="00474647">
              <w:rPr>
                <w:rFonts w:ascii="Arial" w:eastAsia="Times New Roman" w:hAnsi="Arial" w:cs="Arial"/>
                <w:sz w:val="16"/>
                <w:szCs w:val="16"/>
                <w:lang w:eastAsia="en-GB"/>
              </w:rPr>
              <w:br/>
              <w:t xml:space="preserve">• diet and physical activity </w:t>
            </w:r>
            <w:r w:rsidRPr="00474647">
              <w:rPr>
                <w:rFonts w:ascii="Arial" w:eastAsia="Times New Roman" w:hAnsi="Arial" w:cs="Arial"/>
                <w:sz w:val="16"/>
                <w:szCs w:val="16"/>
                <w:lang w:eastAsia="en-GB"/>
              </w:rPr>
              <w:br/>
              <w:t xml:space="preserve">• smoking </w:t>
            </w:r>
            <w:r w:rsidRPr="00474647">
              <w:rPr>
                <w:rFonts w:ascii="Arial" w:eastAsia="Times New Roman" w:hAnsi="Arial" w:cs="Arial"/>
                <w:sz w:val="16"/>
                <w:szCs w:val="16"/>
                <w:lang w:eastAsia="en-GB"/>
              </w:rPr>
              <w:br/>
              <w:t xml:space="preserve">• alcohol and drug consumption </w:t>
            </w:r>
            <w:r w:rsidRPr="00474647">
              <w:rPr>
                <w:rFonts w:ascii="Arial" w:eastAsia="Times New Roman" w:hAnsi="Arial" w:cs="Arial"/>
                <w:sz w:val="16"/>
                <w:szCs w:val="16"/>
                <w:lang w:eastAsia="en-GB"/>
              </w:rPr>
              <w:br/>
              <w:t>• well-being</w:t>
            </w:r>
          </w:p>
        </w:tc>
        <w:tc>
          <w:tcPr>
            <w:tcW w:w="997" w:type="dxa"/>
            <w:tcBorders>
              <w:top w:val="nil"/>
              <w:left w:val="nil"/>
              <w:bottom w:val="single" w:sz="4" w:space="0" w:color="auto"/>
              <w:right w:val="nil"/>
            </w:tcBorders>
            <w:shd w:val="clear" w:color="000000" w:fill="FFFFFF"/>
            <w:vAlign w:val="center"/>
            <w:hideMark/>
          </w:tcPr>
          <w:p w14:paraId="29E32E1D"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2016</w:t>
            </w:r>
          </w:p>
        </w:tc>
        <w:tc>
          <w:tcPr>
            <w:tcW w:w="1769" w:type="dxa"/>
            <w:tcBorders>
              <w:top w:val="nil"/>
              <w:left w:val="nil"/>
              <w:bottom w:val="single" w:sz="4" w:space="0" w:color="auto"/>
              <w:right w:val="nil"/>
            </w:tcBorders>
            <w:shd w:val="clear" w:color="000000" w:fill="FFFFFF"/>
            <w:vAlign w:val="center"/>
            <w:hideMark/>
          </w:tcPr>
          <w:p w14:paraId="0B6CD259"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r w:rsidR="00474647" w:rsidRPr="00474647" w14:paraId="419445E4" w14:textId="77777777" w:rsidTr="00474647">
        <w:trPr>
          <w:trHeight w:val="1667"/>
        </w:trPr>
        <w:tc>
          <w:tcPr>
            <w:tcW w:w="1638" w:type="dxa"/>
            <w:tcBorders>
              <w:top w:val="single" w:sz="4" w:space="0" w:color="auto"/>
              <w:left w:val="nil"/>
              <w:bottom w:val="double" w:sz="4" w:space="0" w:color="auto"/>
              <w:right w:val="nil"/>
            </w:tcBorders>
            <w:shd w:val="clear" w:color="000000" w:fill="FFFFFF"/>
            <w:vAlign w:val="center"/>
            <w:hideMark/>
          </w:tcPr>
          <w:p w14:paraId="50A84465" w14:textId="77777777" w:rsidR="00474647" w:rsidRPr="00474647" w:rsidRDefault="00474647" w:rsidP="00474647">
            <w:pPr>
              <w:rPr>
                <w:rFonts w:ascii="Arial" w:eastAsia="Times New Roman" w:hAnsi="Arial" w:cs="Arial"/>
                <w:sz w:val="16"/>
                <w:szCs w:val="16"/>
                <w:lang w:eastAsia="en-GB"/>
              </w:rPr>
            </w:pPr>
            <w:r w:rsidRPr="00474647">
              <w:rPr>
                <w:rFonts w:ascii="Arial" w:eastAsia="Times New Roman" w:hAnsi="Arial" w:cs="Arial"/>
                <w:sz w:val="16"/>
                <w:szCs w:val="16"/>
                <w:lang w:eastAsia="en-GB"/>
              </w:rPr>
              <w:t>Higher Education Policy Institute</w:t>
            </w:r>
          </w:p>
        </w:tc>
        <w:tc>
          <w:tcPr>
            <w:tcW w:w="1995" w:type="dxa"/>
            <w:tcBorders>
              <w:top w:val="single" w:sz="4" w:space="0" w:color="auto"/>
              <w:left w:val="nil"/>
              <w:bottom w:val="double" w:sz="4" w:space="0" w:color="auto"/>
              <w:right w:val="nil"/>
            </w:tcBorders>
            <w:shd w:val="clear" w:color="000000" w:fill="FFFFFF"/>
            <w:vAlign w:val="center"/>
            <w:hideMark/>
          </w:tcPr>
          <w:p w14:paraId="6254A9DC"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Student Academic</w:t>
            </w:r>
            <w:r w:rsidRPr="00474647">
              <w:rPr>
                <w:rFonts w:ascii="Arial" w:eastAsia="Times New Roman" w:hAnsi="Arial" w:cs="Arial"/>
                <w:sz w:val="16"/>
                <w:szCs w:val="16"/>
                <w:lang w:eastAsia="en-GB"/>
              </w:rPr>
              <w:br/>
              <w:t>Experience Survey</w:t>
            </w:r>
          </w:p>
        </w:tc>
        <w:tc>
          <w:tcPr>
            <w:tcW w:w="3257" w:type="dxa"/>
            <w:tcBorders>
              <w:top w:val="single" w:sz="4" w:space="0" w:color="auto"/>
              <w:left w:val="nil"/>
              <w:bottom w:val="double" w:sz="4" w:space="0" w:color="auto"/>
              <w:right w:val="nil"/>
            </w:tcBorders>
            <w:shd w:val="clear" w:color="000000" w:fill="FFFFFF"/>
            <w:hideMark/>
          </w:tcPr>
          <w:p w14:paraId="65054E96" w14:textId="77777777" w:rsidR="00474647" w:rsidRPr="00474647" w:rsidRDefault="00474647" w:rsidP="00474647">
            <w:pPr>
              <w:jc w:val="right"/>
              <w:rPr>
                <w:rFonts w:ascii="Arial" w:eastAsia="Times New Roman" w:hAnsi="Arial" w:cs="Arial"/>
                <w:sz w:val="16"/>
                <w:szCs w:val="16"/>
                <w:lang w:eastAsia="en-GB"/>
              </w:rPr>
            </w:pPr>
            <w:r w:rsidRPr="00474647">
              <w:rPr>
                <w:rFonts w:ascii="Arial" w:eastAsia="Times New Roman" w:hAnsi="Arial" w:cs="Arial"/>
                <w:sz w:val="16"/>
                <w:szCs w:val="16"/>
                <w:lang w:eastAsia="en-GB"/>
              </w:rPr>
              <w:t>The survey investigates the learning and teaching experiences of students, including satisfaction with courses, reasons for dissatisfaction, experience of different-sized classes, total time spent working, perceptions of value-for-money, institutional spending priorities and a focus on student well-being.</w:t>
            </w:r>
          </w:p>
        </w:tc>
        <w:tc>
          <w:tcPr>
            <w:tcW w:w="997" w:type="dxa"/>
            <w:tcBorders>
              <w:top w:val="single" w:sz="4" w:space="0" w:color="auto"/>
              <w:left w:val="nil"/>
              <w:bottom w:val="double" w:sz="4" w:space="0" w:color="auto"/>
              <w:right w:val="nil"/>
            </w:tcBorders>
            <w:shd w:val="clear" w:color="000000" w:fill="FFFFFF"/>
            <w:vAlign w:val="center"/>
            <w:hideMark/>
          </w:tcPr>
          <w:p w14:paraId="17A4BF64"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2014</w:t>
            </w:r>
          </w:p>
        </w:tc>
        <w:tc>
          <w:tcPr>
            <w:tcW w:w="1769" w:type="dxa"/>
            <w:tcBorders>
              <w:top w:val="single" w:sz="4" w:space="0" w:color="auto"/>
              <w:left w:val="nil"/>
              <w:bottom w:val="double" w:sz="4" w:space="0" w:color="auto"/>
              <w:right w:val="nil"/>
            </w:tcBorders>
            <w:shd w:val="clear" w:color="000000" w:fill="FFFFFF"/>
            <w:vAlign w:val="center"/>
            <w:hideMark/>
          </w:tcPr>
          <w:p w14:paraId="264F0C36" w14:textId="77777777" w:rsidR="00474647" w:rsidRPr="00474647" w:rsidRDefault="00474647" w:rsidP="00474647">
            <w:pPr>
              <w:jc w:val="center"/>
              <w:rPr>
                <w:rFonts w:ascii="Arial" w:eastAsia="Times New Roman" w:hAnsi="Arial" w:cs="Arial"/>
                <w:sz w:val="16"/>
                <w:szCs w:val="16"/>
                <w:lang w:eastAsia="en-GB"/>
              </w:rPr>
            </w:pPr>
            <w:r w:rsidRPr="00474647">
              <w:rPr>
                <w:rFonts w:ascii="Arial" w:eastAsia="Times New Roman" w:hAnsi="Arial" w:cs="Arial"/>
                <w:sz w:val="16"/>
                <w:szCs w:val="16"/>
                <w:lang w:eastAsia="en-GB"/>
              </w:rPr>
              <w:t>Annual</w:t>
            </w:r>
          </w:p>
        </w:tc>
      </w:tr>
    </w:tbl>
    <w:p w14:paraId="6B9DB48D" w14:textId="77777777" w:rsidR="00474647" w:rsidRPr="00474647" w:rsidRDefault="00474647">
      <w:pPr>
        <w:rPr>
          <w:rFonts w:ascii="Arial" w:hAnsi="Arial" w:cs="Arial"/>
          <w:sz w:val="16"/>
          <w:szCs w:val="16"/>
          <w:lang w:val="es-ES"/>
        </w:rPr>
      </w:pPr>
    </w:p>
    <w:sectPr w:rsidR="00474647" w:rsidRPr="004746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74647"/>
    <w:rsid w:val="0033084D"/>
    <w:rsid w:val="00474647"/>
    <w:rsid w:val="005A41CD"/>
    <w:rsid w:val="005D64AA"/>
    <w:rsid w:val="00BE00CB"/>
    <w:rsid w:val="00CA1C4E"/>
  </w:rsids>
  <m:mathPr>
    <m:mathFont m:val="Cambria Math"/>
    <m:brkBin m:val="before"/>
    <m:brkBinSub m:val="--"/>
    <m:smallFrac m:val="0"/>
    <m:dispDef/>
    <m:lMargin m:val="0"/>
    <m:rMargin m:val="0"/>
    <m:defJc m:val="centerGroup"/>
    <m:wrapIndent m:val="1440"/>
    <m:intLim m:val="subSup"/>
    <m:naryLim m:val="undOvr"/>
  </m:mathPr>
  <w:themeFontLang w:val="en-ES"/>
  <w:clrSchemeMapping w:bg1="light1" w:t1="dark1" w:bg2="light2" w:t2="dark2" w:accent1="accent1" w:accent2="accent2" w:accent3="accent3" w:accent4="accent4" w:accent5="accent5" w:accent6="accent6" w:hyperlink="hyperlink" w:followedHyperlink="followedHyperlink"/>
  <w:decimalSymbol w:val="."/>
  <w:listSeparator w:val=","/>
  <w14:docId w14:val="3A49A47D"/>
  <w15:chartTrackingRefBased/>
  <w15:docId w15:val="{309DE25E-ECE1-F849-AEEB-2332CB1D43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5731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1191</Words>
  <Characters>6795</Characters>
  <Application>Microsoft Office Word</Application>
  <DocSecurity>0</DocSecurity>
  <Lines>56</Lines>
  <Paragraphs>15</Paragraphs>
  <ScaleCrop>false</ScaleCrop>
  <Company/>
  <LinksUpToDate>false</LinksUpToDate>
  <CharactersWithSpaces>7971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Nunez Elvira, Alberto</dc:creator>
  <cp:keywords/>
  <dc:description/>
  <cp:lastModifiedBy>Nunez Elvira, Alberto</cp:lastModifiedBy>
  <cp:revision>3</cp:revision>
  <dcterms:created xsi:type="dcterms:W3CDTF">2022-08-03T15:38:00Z</dcterms:created>
  <dcterms:modified xsi:type="dcterms:W3CDTF">2022-08-10T18:24:00Z</dcterms:modified>
</cp:coreProperties>
</file>