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923" w:rsidRPr="006550EC" w:rsidRDefault="006550EC" w:rsidP="006550EC">
      <w:pPr>
        <w:jc w:val="center"/>
        <w:rPr>
          <w:color w:val="000000" w:themeColor="text1"/>
          <w:sz w:val="24"/>
          <w:lang w:val="en-US"/>
        </w:rPr>
      </w:pPr>
      <w:r w:rsidRPr="006550EC">
        <w:rPr>
          <w:color w:val="000000" w:themeColor="text1"/>
          <w:sz w:val="24"/>
          <w:lang w:val="en-US"/>
        </w:rPr>
        <w:t>Additional file 1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550EC">
        <w:rPr>
          <w:rFonts w:ascii="Times New Roman" w:eastAsia="Arial Unicode MS" w:hAnsi="Times New Roman" w:cs="Times New Roman"/>
          <w:b/>
          <w:color w:val="000000"/>
          <w:sz w:val="32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 novel, unique four-member protein family involved in extracellular fatty acid binding in </w:t>
      </w:r>
      <w:r w:rsidRPr="006550EC">
        <w:rPr>
          <w:rFonts w:ascii="Times New Roman" w:eastAsia="Arial Unicode MS" w:hAnsi="Times New Roman" w:cs="Times New Roman"/>
          <w:b/>
          <w:i/>
          <w:color w:val="000000"/>
          <w:sz w:val="32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Yarrowia lipolytica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Djamila Onésime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Léa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Vidal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Stéphane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Thom</w:t>
      </w:r>
      <w:bookmarkStart w:id="0" w:name="_GoBack"/>
      <w:bookmarkEnd w:id="0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as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, Céline Henry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2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Véronique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Martin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3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 w:rsidRPr="006550EC">
        <w:rPr>
          <w:rFonts w:ascii="Times New Roman" w:eastAsia="Calibri" w:hAnsi="Times New Roman" w:cs="Times New Roman"/>
          <w:color w:val="000000"/>
          <w:sz w:val="24"/>
          <w:szCs w:val="24"/>
          <w:bdr w:val="nil"/>
          <w:lang w:val="en-US" w:eastAsia="fr-FR"/>
          <w14:textOutline w14:w="0" w14:cap="flat" w14:cmpd="sng" w14:algn="ctr">
            <w14:noFill/>
            <w14:prstDash w14:val="solid"/>
            <w14:bevel/>
          </w14:textOutline>
        </w:rPr>
        <w:t>Gwenaëlle</w:t>
      </w:r>
      <w:proofErr w:type="spellEnd"/>
      <w:r w:rsidRPr="006550EC">
        <w:rPr>
          <w:rFonts w:ascii="Times New Roman" w:eastAsia="Calibri" w:hAnsi="Times New Roman" w:cs="Times New Roman"/>
          <w:color w:val="000000"/>
          <w:sz w:val="24"/>
          <w:szCs w:val="24"/>
          <w:bdr w:val="nil"/>
          <w:lang w:val="en-US" w:eastAsia="fr-FR"/>
          <w14:textOutline w14:w="0" w14:cap="flat" w14:cmpd="sng" w14:algn="ctr">
            <w14:noFill/>
            <w14:prstDash w14:val="solid"/>
            <w14:bevel/>
          </w14:textOutline>
        </w:rPr>
        <w:t xml:space="preserve"> André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3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, Piotr Kubiak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4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, Philippe Minard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5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Ewelina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Celinska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4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, Jean-Marc Nicaud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1ǂ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6550EC" w:rsidRPr="006550EC" w:rsidRDefault="006550EC" w:rsidP="006550EC">
      <w:pPr>
        <w:spacing w:after="0" w:line="360" w:lineRule="auto"/>
        <w:ind w:left="142" w:hanging="142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</w:pPr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vertAlign w:val="superscript"/>
          <w:lang w:val="fr-FR"/>
        </w:rPr>
        <w:t xml:space="preserve">1 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>Micalis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 xml:space="preserve"> Institute, INRAE, 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>AgroParisTech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>, Université Paris-Saclay, 78350 Jouy-en-Josas, France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142" w:hanging="14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 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Plateforme d’Analyse Protéomique Paris Sud-Ouest (PAPPSO), INRAE, MICALIS Institute, Université Paris-Saclay, 78350 Jouy-en-Josas, France.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142" w:hanging="14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3 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Université Paris-Saclay, INRAE,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MaIAGE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fr-FR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, 78350, Jouy-en-Josas, France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142" w:hanging="14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proofErr w:type="gram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4</w:t>
      </w:r>
      <w:proofErr w:type="gram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Department of Biotechnology and Food Microbiology, Poznan University of Life Sciences,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ul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Wojska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Polskiego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48, 60-627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Poznań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, Poland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142" w:hanging="14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vertAlign w:val="superscript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5 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Université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Paris-</w:t>
      </w:r>
      <w:proofErr w:type="spellStart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Saclay</w:t>
      </w:r>
      <w:proofErr w:type="spellEnd"/>
      <w:r w:rsidRPr="006550EC"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  <w:t>, CEA, CNRS, Institute for Integrative Biology of the Cell (I2BC), 91198, Gif-sur-Yvette, France</w:t>
      </w:r>
    </w:p>
    <w:p w:rsidR="006550EC" w:rsidRPr="006550EC" w:rsidRDefault="006550EC" w:rsidP="006550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color="000000"/>
          <w:bdr w:val="nil"/>
          <w:lang w:val="en-US" w:eastAsia="fr-FR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6550EC" w:rsidRPr="006550EC" w:rsidRDefault="006550EC" w:rsidP="006550EC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</w:pP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vertAlign w:val="superscript"/>
          <w:lang w:val="en-US"/>
        </w:rPr>
        <w:t>ǂ</w:t>
      </w:r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Corresponding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author: 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Micalis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Institute, INRAE-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AgroParisTech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, UMR1319, Team 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BIMLip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: Integrative Metabolism of Microbial Lipids, 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domaine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 de 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Vilvert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, 78352 </w:t>
      </w:r>
      <w:proofErr w:type="spellStart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Jouy-en-Josas</w:t>
      </w:r>
      <w:proofErr w:type="spellEnd"/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, France </w:t>
      </w:r>
    </w:p>
    <w:p w:rsidR="006550EC" w:rsidRPr="006550EC" w:rsidRDefault="006550EC" w:rsidP="006550EC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</w:pPr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 xml:space="preserve">Tel: +33 1 74 07 18 20 </w:t>
      </w:r>
    </w:p>
    <w:p w:rsidR="006550EC" w:rsidRPr="006550EC" w:rsidRDefault="006550EC" w:rsidP="006550EC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</w:pPr>
      <w:r w:rsidRPr="006550EC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 xml:space="preserve">E-mail : </w:t>
      </w:r>
      <w:hyperlink r:id="rId4" w:history="1">
        <w:r w:rsidRPr="006550EC">
          <w:rPr>
            <w:rFonts w:ascii="Times New Roman" w:eastAsia="Calibri" w:hAnsi="Times New Roman" w:cs="Times New Roman"/>
            <w:bCs/>
            <w:iCs/>
            <w:color w:val="0563C1"/>
            <w:sz w:val="24"/>
            <w:szCs w:val="24"/>
            <w:u w:val="single"/>
            <w:lang w:val="fr-FR"/>
          </w:rPr>
          <w:t>jean-marc.nicaud@inrae.fr</w:t>
        </w:r>
      </w:hyperlink>
    </w:p>
    <w:p w:rsidR="006550EC" w:rsidRPr="006550EC" w:rsidRDefault="006550EC" w:rsidP="006550EC">
      <w:pPr>
        <w:jc w:val="center"/>
        <w:rPr>
          <w:color w:val="000000" w:themeColor="text1"/>
          <w:sz w:val="24"/>
          <w:szCs w:val="24"/>
          <w:lang w:val="fr-FR"/>
        </w:rPr>
      </w:pPr>
    </w:p>
    <w:p w:rsidR="006550EC" w:rsidRPr="006550EC" w:rsidRDefault="006550EC" w:rsidP="006550EC">
      <w:p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6550EC">
        <w:rPr>
          <w:rFonts w:ascii="Times New Roman" w:hAnsi="Times New Roman" w:cs="Times New Roman"/>
          <w:b/>
          <w:sz w:val="24"/>
          <w:lang w:val="en-US"/>
        </w:rPr>
        <w:t>Keywords</w:t>
      </w:r>
      <w:r w:rsidRPr="006550EC">
        <w:rPr>
          <w:rFonts w:ascii="Times New Roman" w:hAnsi="Times New Roman" w:cs="Times New Roman"/>
          <w:sz w:val="24"/>
          <w:lang w:val="en-US"/>
        </w:rPr>
        <w:t xml:space="preserve">: </w:t>
      </w:r>
      <w:r w:rsidRPr="006550EC">
        <w:rPr>
          <w:rFonts w:ascii="Times New Roman" w:hAnsi="Times New Roman" w:cs="Times New Roman"/>
          <w:i/>
          <w:iCs/>
          <w:sz w:val="24"/>
          <w:lang w:val="en-US"/>
        </w:rPr>
        <w:t>Yarrowia lipolytica</w:t>
      </w:r>
      <w:r w:rsidRPr="006550EC">
        <w:rPr>
          <w:rFonts w:ascii="Times New Roman" w:hAnsi="Times New Roman" w:cs="Times New Roman"/>
          <w:sz w:val="24"/>
          <w:lang w:val="en-US"/>
        </w:rPr>
        <w:t>, lipid, fatty acid binding protein, fatty acid transport, secretion</w:t>
      </w:r>
    </w:p>
    <w:p w:rsidR="006550EC" w:rsidRPr="006550EC" w:rsidRDefault="006550EC" w:rsidP="006550EC">
      <w:pPr>
        <w:jc w:val="center"/>
        <w:rPr>
          <w:color w:val="000000" w:themeColor="text1"/>
          <w:lang w:val="en-US"/>
        </w:rPr>
      </w:pPr>
    </w:p>
    <w:p w:rsidR="006550EC" w:rsidRPr="006550EC" w:rsidRDefault="006550EC" w:rsidP="006550EC">
      <w:pPr>
        <w:jc w:val="center"/>
        <w:rPr>
          <w:color w:val="000000" w:themeColor="text1"/>
          <w:lang w:val="en-US"/>
        </w:rPr>
      </w:pPr>
    </w:p>
    <w:p w:rsidR="006550EC" w:rsidRPr="006550EC" w:rsidRDefault="006550EC">
      <w:pPr>
        <w:rPr>
          <w:color w:val="000000" w:themeColor="text1"/>
          <w:lang w:val="en-US"/>
        </w:rPr>
      </w:pPr>
      <w:r w:rsidRPr="006550EC">
        <w:rPr>
          <w:color w:val="000000" w:themeColor="text1"/>
          <w:lang w:val="en-US"/>
        </w:rPr>
        <w:br w:type="page"/>
      </w:r>
    </w:p>
    <w:p w:rsidR="00502CBD" w:rsidRPr="006550EC" w:rsidRDefault="006550EC">
      <w:pPr>
        <w:rPr>
          <w:b/>
          <w:color w:val="000000" w:themeColor="text1"/>
          <w:sz w:val="24"/>
          <w:lang w:val="en-US"/>
        </w:rPr>
      </w:pPr>
      <w:r w:rsidRPr="006550EC">
        <w:rPr>
          <w:b/>
          <w:color w:val="000000" w:themeColor="text1"/>
          <w:sz w:val="24"/>
          <w:lang w:val="en-US"/>
        </w:rPr>
        <w:lastRenderedPageBreak/>
        <w:t xml:space="preserve">Additional </w:t>
      </w:r>
      <w:r>
        <w:rPr>
          <w:b/>
          <w:color w:val="000000" w:themeColor="text1"/>
          <w:sz w:val="24"/>
          <w:lang w:val="en-US"/>
        </w:rPr>
        <w:t>Figure 1</w:t>
      </w:r>
    </w:p>
    <w:p w:rsidR="00BE3C2B" w:rsidRDefault="00BE3C2B">
      <w:pPr>
        <w:rPr>
          <w:color w:val="000000" w:themeColor="text1"/>
          <w:lang w:val="en-US"/>
        </w:rPr>
      </w:pPr>
      <w:r>
        <w:rPr>
          <w:noProof/>
          <w:color w:val="000000" w:themeColor="text1"/>
          <w:lang w:val="fr-FR" w:eastAsia="fr-FR"/>
        </w:rPr>
        <w:drawing>
          <wp:inline distT="0" distB="0" distL="0" distR="0" wp14:anchorId="5666ACA8">
            <wp:extent cx="2967487" cy="2457873"/>
            <wp:effectExtent l="0" t="0" r="444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219" cy="246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7973" w:rsidRPr="00DA51C9" w:rsidRDefault="00B27973" w:rsidP="00B27973">
      <w:pPr>
        <w:jc w:val="both"/>
        <w:rPr>
          <w:rFonts w:ascii="Times New Roman" w:hAnsi="Times New Roman" w:cs="Times New Roman"/>
          <w:i/>
          <w:lang w:val="en-US"/>
        </w:rPr>
      </w:pPr>
      <w:r w:rsidRPr="00B27973">
        <w:rPr>
          <w:rFonts w:ascii="Times New Roman" w:hAnsi="Times New Roman" w:cs="Times New Roman"/>
          <w:b/>
          <w:i/>
          <w:lang w:val="en-US"/>
        </w:rPr>
        <w:t>Additional Figure 1</w:t>
      </w:r>
      <w:r w:rsidRPr="00DA51C9">
        <w:rPr>
          <w:rFonts w:ascii="Times New Roman" w:hAnsi="Times New Roman" w:cs="Times New Roman"/>
          <w:i/>
          <w:lang w:val="en-US"/>
        </w:rPr>
        <w:t>. Schematic representation of the destination vector JMP4230</w:t>
      </w:r>
      <w:r>
        <w:rPr>
          <w:rFonts w:ascii="Times New Roman" w:hAnsi="Times New Roman" w:cs="Times New Roman"/>
          <w:i/>
          <w:lang w:val="en-US"/>
        </w:rPr>
        <w:t>,</w:t>
      </w:r>
      <w:r w:rsidRPr="00DA51C9">
        <w:rPr>
          <w:rFonts w:ascii="Times New Roman" w:hAnsi="Times New Roman" w:cs="Times New Roman"/>
          <w:i/>
          <w:lang w:val="en-US"/>
        </w:rPr>
        <w:t xml:space="preserve"> a variant of JMP62 shuttle vector series, bearing the strong E</w:t>
      </w:r>
      <w:r>
        <w:rPr>
          <w:rFonts w:ascii="Times New Roman" w:hAnsi="Times New Roman" w:cs="Times New Roman"/>
          <w:i/>
          <w:lang w:val="en-US"/>
        </w:rPr>
        <w:t>rythritol</w:t>
      </w:r>
      <w:r w:rsidRPr="00DA51C9">
        <w:rPr>
          <w:rFonts w:ascii="Times New Roman" w:hAnsi="Times New Roman" w:cs="Times New Roman"/>
          <w:i/>
          <w:lang w:val="en-US"/>
        </w:rPr>
        <w:t xml:space="preserve">-inducible promoter pHU8EYK1, tLip2 terminator, the excisable URA3ex auxotrophy selection marker, and zeta integration sites, flanking </w:t>
      </w:r>
      <w:r>
        <w:rPr>
          <w:rFonts w:ascii="Times New Roman" w:hAnsi="Times New Roman" w:cs="Times New Roman"/>
          <w:i/>
          <w:lang w:val="en-US"/>
        </w:rPr>
        <w:t xml:space="preserve">the </w:t>
      </w:r>
      <w:r w:rsidRPr="00DA51C9">
        <w:rPr>
          <w:rFonts w:ascii="Times New Roman" w:hAnsi="Times New Roman" w:cs="Times New Roman"/>
          <w:i/>
          <w:lang w:val="en-US"/>
        </w:rPr>
        <w:t>expr</w:t>
      </w:r>
      <w:r>
        <w:rPr>
          <w:rFonts w:ascii="Times New Roman" w:hAnsi="Times New Roman" w:cs="Times New Roman"/>
          <w:i/>
          <w:lang w:val="en-US"/>
        </w:rPr>
        <w:t>ession cassette. Bacterial part</w:t>
      </w:r>
      <w:r w:rsidRPr="00DA51C9">
        <w:rPr>
          <w:rFonts w:ascii="Times New Roman" w:hAnsi="Times New Roman" w:cs="Times New Roman"/>
          <w:i/>
          <w:lang w:val="en-US"/>
        </w:rPr>
        <w:t xml:space="preserve"> bearing </w:t>
      </w:r>
      <w:proofErr w:type="spellStart"/>
      <w:r w:rsidRPr="00DA51C9">
        <w:rPr>
          <w:rFonts w:ascii="Times New Roman" w:hAnsi="Times New Roman" w:cs="Times New Roman"/>
          <w:i/>
          <w:lang w:val="en-US"/>
        </w:rPr>
        <w:t>ori</w:t>
      </w:r>
      <w:proofErr w:type="spellEnd"/>
      <w:r w:rsidRPr="00DA51C9">
        <w:rPr>
          <w:rFonts w:ascii="Times New Roman" w:hAnsi="Times New Roman" w:cs="Times New Roman"/>
          <w:i/>
          <w:lang w:val="en-US"/>
        </w:rPr>
        <w:t xml:space="preserve"> and kanamycin resistance marker </w:t>
      </w:r>
      <w:proofErr w:type="gramStart"/>
      <w:r w:rsidRPr="00DA51C9">
        <w:rPr>
          <w:rFonts w:ascii="Times New Roman" w:hAnsi="Times New Roman" w:cs="Times New Roman"/>
          <w:i/>
          <w:lang w:val="en-US"/>
        </w:rPr>
        <w:t>was removed</w:t>
      </w:r>
      <w:proofErr w:type="gramEnd"/>
      <w:r>
        <w:rPr>
          <w:rFonts w:ascii="Times New Roman" w:hAnsi="Times New Roman" w:cs="Times New Roman"/>
          <w:i/>
          <w:lang w:val="en-US"/>
        </w:rPr>
        <w:t>,</w:t>
      </w:r>
      <w:r w:rsidRPr="00DA51C9">
        <w:rPr>
          <w:rFonts w:ascii="Times New Roman" w:hAnsi="Times New Roman" w:cs="Times New Roman"/>
          <w:i/>
          <w:lang w:val="en-US"/>
        </w:rPr>
        <w:t xml:space="preserve"> prior to the yeast transformation</w:t>
      </w:r>
      <w:r>
        <w:rPr>
          <w:rFonts w:ascii="Times New Roman" w:hAnsi="Times New Roman" w:cs="Times New Roman"/>
          <w:i/>
          <w:lang w:val="en-US"/>
        </w:rPr>
        <w:t>,</w:t>
      </w:r>
      <w:r w:rsidRPr="00DA51C9">
        <w:rPr>
          <w:rFonts w:ascii="Times New Roman" w:hAnsi="Times New Roman" w:cs="Times New Roman"/>
          <w:i/>
          <w:lang w:val="en-US"/>
        </w:rPr>
        <w:t xml:space="preserve"> by </w:t>
      </w:r>
      <w:proofErr w:type="spellStart"/>
      <w:r w:rsidRPr="00DA51C9">
        <w:rPr>
          <w:rFonts w:ascii="Times New Roman" w:hAnsi="Times New Roman" w:cs="Times New Roman"/>
          <w:i/>
          <w:lang w:val="en-US"/>
        </w:rPr>
        <w:t>NotI</w:t>
      </w:r>
      <w:proofErr w:type="spellEnd"/>
      <w:r w:rsidRPr="00DA51C9">
        <w:rPr>
          <w:rFonts w:ascii="Times New Roman" w:hAnsi="Times New Roman" w:cs="Times New Roman"/>
          <w:i/>
          <w:lang w:val="en-US"/>
        </w:rPr>
        <w:t xml:space="preserve"> restriction </w:t>
      </w:r>
      <w:r>
        <w:rPr>
          <w:rFonts w:ascii="Times New Roman" w:hAnsi="Times New Roman" w:cs="Times New Roman"/>
          <w:i/>
          <w:lang w:val="en-US"/>
        </w:rPr>
        <w:t xml:space="preserve">enzyme </w:t>
      </w:r>
      <w:r w:rsidRPr="00DA51C9">
        <w:rPr>
          <w:rFonts w:ascii="Times New Roman" w:hAnsi="Times New Roman" w:cs="Times New Roman"/>
          <w:i/>
          <w:lang w:val="en-US"/>
        </w:rPr>
        <w:t xml:space="preserve">digestion. Main unique restriction sites </w:t>
      </w:r>
      <w:proofErr w:type="gramStart"/>
      <w:r w:rsidRPr="00DA51C9">
        <w:rPr>
          <w:rFonts w:ascii="Times New Roman" w:hAnsi="Times New Roman" w:cs="Times New Roman"/>
          <w:i/>
          <w:lang w:val="en-US"/>
        </w:rPr>
        <w:t>are indicated</w:t>
      </w:r>
      <w:proofErr w:type="gramEnd"/>
      <w:r w:rsidRPr="00DA51C9">
        <w:rPr>
          <w:rFonts w:ascii="Times New Roman" w:hAnsi="Times New Roman" w:cs="Times New Roman"/>
          <w:i/>
          <w:lang w:val="en-US"/>
        </w:rPr>
        <w:t>; ClaI-BamH1 for promotor exchange, BamH1-AvrII for gene cloning and I-</w:t>
      </w:r>
      <w:proofErr w:type="spellStart"/>
      <w:r w:rsidRPr="00DA51C9">
        <w:rPr>
          <w:rFonts w:ascii="Times New Roman" w:hAnsi="Times New Roman" w:cs="Times New Roman"/>
          <w:i/>
          <w:lang w:val="en-US"/>
        </w:rPr>
        <w:t>SceI</w:t>
      </w:r>
      <w:proofErr w:type="spellEnd"/>
      <w:r w:rsidRPr="00DA51C9">
        <w:rPr>
          <w:rFonts w:ascii="Times New Roman" w:hAnsi="Times New Roman" w:cs="Times New Roman"/>
          <w:i/>
          <w:lang w:val="en-US"/>
        </w:rPr>
        <w:t xml:space="preserve"> for marker exchange.</w:t>
      </w:r>
    </w:p>
    <w:p w:rsidR="00BE3C2B" w:rsidRDefault="00BE3C2B">
      <w:pPr>
        <w:rPr>
          <w:color w:val="000000" w:themeColor="text1"/>
          <w:lang w:val="en-US"/>
        </w:rPr>
      </w:pPr>
    </w:p>
    <w:p w:rsidR="002B1B41" w:rsidRPr="002B1B41" w:rsidRDefault="002B1B41" w:rsidP="002B1B41">
      <w:pPr>
        <w:rPr>
          <w:rFonts w:ascii="Times New Roman" w:hAnsi="Times New Roman" w:cs="Times New Roman"/>
          <w:b/>
        </w:rPr>
      </w:pPr>
      <w:r w:rsidRPr="002B1B41">
        <w:rPr>
          <w:rFonts w:ascii="Times New Roman" w:hAnsi="Times New Roman" w:cs="Times New Roman"/>
          <w:b/>
        </w:rPr>
        <w:t>Additional Figure 2</w:t>
      </w:r>
    </w:p>
    <w:p w:rsidR="002B1B41" w:rsidRPr="005965E3" w:rsidRDefault="002B1B41" w:rsidP="002B1B41">
      <w:pPr>
        <w:spacing w:line="360" w:lineRule="auto"/>
        <w:contextualSpacing/>
        <w:jc w:val="both"/>
        <w:rPr>
          <w:rFonts w:ascii="Times New Roman" w:hAnsi="Times New Roman" w:cs="Times New Roman"/>
          <w:lang w:val="fr-FR"/>
        </w:rPr>
      </w:pPr>
      <w:r w:rsidRPr="005965E3"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77B83C1E" wp14:editId="71E7355F">
            <wp:extent cx="2872619" cy="3040380"/>
            <wp:effectExtent l="0" t="0" r="4445" b="762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88" cy="3045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1B41" w:rsidRPr="005965E3" w:rsidRDefault="002B1B41" w:rsidP="002B1B41">
      <w:pPr>
        <w:spacing w:line="360" w:lineRule="auto"/>
        <w:contextualSpacing/>
        <w:jc w:val="both"/>
        <w:rPr>
          <w:rFonts w:ascii="Times New Roman" w:hAnsi="Times New Roman" w:cs="Times New Roman"/>
          <w:i/>
          <w:lang w:val="fr-FR"/>
        </w:rPr>
      </w:pPr>
    </w:p>
    <w:p w:rsidR="002B1B41" w:rsidRPr="005965E3" w:rsidRDefault="002B1B41" w:rsidP="002B1B41">
      <w:pPr>
        <w:spacing w:line="360" w:lineRule="auto"/>
        <w:contextualSpacing/>
        <w:jc w:val="both"/>
        <w:rPr>
          <w:rFonts w:ascii="Times New Roman" w:hAnsi="Times New Roman" w:cs="Times New Roman"/>
          <w:i/>
          <w:lang w:val="en-US"/>
        </w:rPr>
      </w:pPr>
      <w:r w:rsidRPr="002B1B41">
        <w:rPr>
          <w:rFonts w:ascii="Times New Roman" w:hAnsi="Times New Roman" w:cs="Times New Roman"/>
          <w:b/>
          <w:i/>
          <w:lang w:val="en-US"/>
        </w:rPr>
        <w:t>Additional Figure 2</w:t>
      </w:r>
      <w:r w:rsidRPr="002B1B41">
        <w:rPr>
          <w:rFonts w:ascii="Times New Roman" w:hAnsi="Times New Roman" w:cs="Times New Roman"/>
          <w:i/>
          <w:lang w:val="en-US"/>
        </w:rPr>
        <w:t>.</w:t>
      </w:r>
      <w:r w:rsidRPr="005965E3">
        <w:rPr>
          <w:rFonts w:ascii="Times New Roman" w:hAnsi="Times New Roman" w:cs="Times New Roman"/>
          <w:i/>
          <w:lang w:val="en-US"/>
        </w:rPr>
        <w:t xml:space="preserve"> The rank</w:t>
      </w:r>
      <w:r>
        <w:rPr>
          <w:rFonts w:ascii="Times New Roman" w:hAnsi="Times New Roman" w:cs="Times New Roman"/>
          <w:i/>
          <w:lang w:val="en-US"/>
        </w:rPr>
        <w:t xml:space="preserve"> </w:t>
      </w:r>
      <w:proofErr w:type="gramStart"/>
      <w:r w:rsidRPr="005965E3">
        <w:rPr>
          <w:rFonts w:ascii="Times New Roman" w:hAnsi="Times New Roman" w:cs="Times New Roman"/>
          <w:i/>
          <w:lang w:val="en-US"/>
        </w:rPr>
        <w:t>1</w:t>
      </w:r>
      <w:proofErr w:type="gramEnd"/>
      <w:r w:rsidRPr="005965E3">
        <w:rPr>
          <w:rFonts w:ascii="Times New Roman" w:hAnsi="Times New Roman" w:cs="Times New Roman"/>
          <w:i/>
          <w:lang w:val="en-US"/>
        </w:rPr>
        <w:t xml:space="preserve"> to </w:t>
      </w:r>
      <w:r>
        <w:rPr>
          <w:rFonts w:ascii="Times New Roman" w:hAnsi="Times New Roman" w:cs="Times New Roman"/>
          <w:i/>
          <w:lang w:val="en-US"/>
        </w:rPr>
        <w:t xml:space="preserve">rank </w:t>
      </w:r>
      <w:r w:rsidRPr="005965E3">
        <w:rPr>
          <w:rFonts w:ascii="Times New Roman" w:hAnsi="Times New Roman" w:cs="Times New Roman"/>
          <w:i/>
          <w:lang w:val="en-US"/>
        </w:rPr>
        <w:t xml:space="preserve">5 models of UP1 structure independently predicted by </w:t>
      </w:r>
      <w:proofErr w:type="spellStart"/>
      <w:r w:rsidRPr="005965E3">
        <w:rPr>
          <w:rFonts w:ascii="Times New Roman" w:hAnsi="Times New Roman" w:cs="Times New Roman"/>
          <w:i/>
          <w:lang w:val="en-US"/>
        </w:rPr>
        <w:t>AlphaFold</w:t>
      </w:r>
      <w:proofErr w:type="spellEnd"/>
      <w:r w:rsidRPr="005965E3">
        <w:rPr>
          <w:rFonts w:ascii="Times New Roman" w:hAnsi="Times New Roman" w:cs="Times New Roman"/>
          <w:i/>
          <w:lang w:val="en-US"/>
        </w:rPr>
        <w:t xml:space="preserve"> were superimposed. Each chain </w:t>
      </w:r>
      <w:proofErr w:type="gramStart"/>
      <w:r w:rsidRPr="005965E3">
        <w:rPr>
          <w:rFonts w:ascii="Times New Roman" w:hAnsi="Times New Roman" w:cs="Times New Roman"/>
          <w:i/>
          <w:lang w:val="en-US"/>
        </w:rPr>
        <w:t>is colored</w:t>
      </w:r>
      <w:proofErr w:type="gramEnd"/>
      <w:r w:rsidRPr="005965E3">
        <w:rPr>
          <w:rFonts w:ascii="Times New Roman" w:hAnsi="Times New Roman" w:cs="Times New Roman"/>
          <w:i/>
          <w:lang w:val="en-US"/>
        </w:rPr>
        <w:t xml:space="preserve"> </w:t>
      </w:r>
      <w:r>
        <w:rPr>
          <w:rFonts w:ascii="Times New Roman" w:hAnsi="Times New Roman" w:cs="Times New Roman"/>
          <w:i/>
          <w:lang w:val="en-US"/>
        </w:rPr>
        <w:t xml:space="preserve">in </w:t>
      </w:r>
      <w:r w:rsidRPr="005965E3">
        <w:rPr>
          <w:rFonts w:ascii="Times New Roman" w:hAnsi="Times New Roman" w:cs="Times New Roman"/>
          <w:i/>
          <w:lang w:val="en-US"/>
        </w:rPr>
        <w:t xml:space="preserve">blue to red from N-end to C end. The </w:t>
      </w:r>
      <w:r>
        <w:rPr>
          <w:rFonts w:ascii="Times New Roman" w:hAnsi="Times New Roman" w:cs="Times New Roman"/>
          <w:i/>
          <w:lang w:val="en-US"/>
        </w:rPr>
        <w:t>five</w:t>
      </w:r>
      <w:r w:rsidRPr="005965E3">
        <w:rPr>
          <w:rFonts w:ascii="Times New Roman" w:hAnsi="Times New Roman" w:cs="Times New Roman"/>
          <w:i/>
          <w:lang w:val="en-US"/>
        </w:rPr>
        <w:t xml:space="preserve"> long helices (residues 50-200 in matured protein) </w:t>
      </w:r>
      <w:proofErr w:type="gramStart"/>
      <w:r w:rsidRPr="005965E3">
        <w:rPr>
          <w:rFonts w:ascii="Times New Roman" w:hAnsi="Times New Roman" w:cs="Times New Roman"/>
          <w:i/>
          <w:lang w:val="en-US"/>
        </w:rPr>
        <w:t>are consistently predicted</w:t>
      </w:r>
      <w:proofErr w:type="gramEnd"/>
      <w:r w:rsidRPr="005965E3">
        <w:rPr>
          <w:rFonts w:ascii="Times New Roman" w:hAnsi="Times New Roman" w:cs="Times New Roman"/>
          <w:i/>
          <w:lang w:val="en-US"/>
        </w:rPr>
        <w:t xml:space="preserve"> in the same relative positions. The predicted structure of residue 1 to 50 are more variable betwe</w:t>
      </w:r>
      <w:r>
        <w:rPr>
          <w:rFonts w:ascii="Times New Roman" w:hAnsi="Times New Roman" w:cs="Times New Roman"/>
          <w:i/>
          <w:lang w:val="en-US"/>
        </w:rPr>
        <w:t>en predictions.</w:t>
      </w:r>
    </w:p>
    <w:p w:rsidR="002B1B41" w:rsidRDefault="006550EC">
      <w:pPr>
        <w:rPr>
          <w:b/>
          <w:color w:val="000000" w:themeColor="text1"/>
          <w:lang w:val="en-US"/>
        </w:rPr>
      </w:pPr>
      <w:r w:rsidRPr="006550EC">
        <w:rPr>
          <w:b/>
          <w:color w:val="000000" w:themeColor="text1"/>
          <w:lang w:val="en-US"/>
        </w:rPr>
        <w:lastRenderedPageBreak/>
        <w:t xml:space="preserve">Additional </w:t>
      </w:r>
      <w:r w:rsidR="002B1B41">
        <w:rPr>
          <w:b/>
          <w:color w:val="000000" w:themeColor="text1"/>
          <w:lang w:val="en-US"/>
        </w:rPr>
        <w:t xml:space="preserve">Table </w:t>
      </w:r>
      <w:r w:rsidR="00F430B6" w:rsidRPr="006550EC">
        <w:rPr>
          <w:b/>
          <w:color w:val="000000" w:themeColor="text1"/>
          <w:lang w:val="en-US"/>
        </w:rPr>
        <w:t xml:space="preserve">1 </w:t>
      </w:r>
    </w:p>
    <w:p w:rsidR="002B1B41" w:rsidRPr="002B1B41" w:rsidRDefault="002B1B41" w:rsidP="002B1B41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i/>
          <w:lang w:val="en-US"/>
        </w:rPr>
      </w:pPr>
      <w:r w:rsidRPr="002B1B41">
        <w:rPr>
          <w:rFonts w:ascii="Times New Roman" w:hAnsi="Times New Roman" w:cs="Times New Roman"/>
          <w:b/>
          <w:i/>
          <w:lang w:val="en-US"/>
        </w:rPr>
        <w:t>Additional Table 1 List of primers used in this study</w:t>
      </w:r>
    </w:p>
    <w:p w:rsidR="002B1B41" w:rsidRPr="009542C4" w:rsidRDefault="002B1B41" w:rsidP="002B1B41">
      <w:pPr>
        <w:spacing w:after="0" w:line="36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9542C4">
        <w:rPr>
          <w:rFonts w:ascii="Times New Roman" w:hAnsi="Times New Roman" w:cs="Times New Roman"/>
          <w:lang w:val="en-US"/>
        </w:rPr>
        <w:t>F/</w:t>
      </w:r>
      <w:proofErr w:type="spellStart"/>
      <w:r w:rsidRPr="009542C4">
        <w:rPr>
          <w:rFonts w:ascii="Times New Roman" w:hAnsi="Times New Roman" w:cs="Times New Roman"/>
          <w:lang w:val="en-US"/>
        </w:rPr>
        <w:t>fw</w:t>
      </w:r>
      <w:proofErr w:type="spellEnd"/>
      <w:r w:rsidRPr="009542C4">
        <w:rPr>
          <w:rFonts w:ascii="Times New Roman" w:hAnsi="Times New Roman" w:cs="Times New Roman"/>
          <w:lang w:val="en-US"/>
        </w:rPr>
        <w:t xml:space="preserve">: forward primer; R/rev: revers primer, </w:t>
      </w:r>
      <w:proofErr w:type="gramStart"/>
      <w:r w:rsidRPr="009542C4">
        <w:rPr>
          <w:rFonts w:ascii="Times New Roman" w:hAnsi="Times New Roman" w:cs="Times New Roman"/>
          <w:lang w:val="en-US"/>
        </w:rPr>
        <w:t>G.O</w:t>
      </w:r>
      <w:r>
        <w:rPr>
          <w:rFonts w:ascii="Times New Roman" w:hAnsi="Times New Roman" w:cs="Times New Roman"/>
          <w:lang w:val="en-US"/>
        </w:rPr>
        <w:t>E</w:t>
      </w:r>
      <w:r w:rsidRPr="009542C4">
        <w:rPr>
          <w:rFonts w:ascii="Times New Roman" w:hAnsi="Times New Roman" w:cs="Times New Roman"/>
          <w:lang w:val="en-US"/>
        </w:rPr>
        <w:t>.:</w:t>
      </w:r>
      <w:proofErr w:type="gramEnd"/>
      <w:r w:rsidRPr="009542C4">
        <w:rPr>
          <w:rFonts w:ascii="Times New Roman" w:hAnsi="Times New Roman" w:cs="Times New Roman"/>
          <w:lang w:val="en-US"/>
        </w:rPr>
        <w:t xml:space="preserve"> Gene overexpression; BamH1 and AvrII sites are bolded and underlined.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268"/>
        <w:gridCol w:w="4819"/>
        <w:gridCol w:w="1134"/>
      </w:tblGrid>
      <w:tr w:rsidR="002B1B41" w:rsidRPr="009542C4" w:rsidTr="002B1B41">
        <w:trPr>
          <w:trHeight w:val="315"/>
        </w:trPr>
        <w:tc>
          <w:tcPr>
            <w:tcW w:w="1702" w:type="dxa"/>
          </w:tcPr>
          <w:p w:rsidR="002B1B41" w:rsidRPr="002B1B41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</w:pPr>
            <w:r w:rsidRPr="002B1B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Gene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2B1B41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</w:pPr>
            <w:r w:rsidRPr="002B1B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Primer name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2B1B41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</w:pPr>
            <w:r w:rsidRPr="002B1B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Primer sequence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2B1B41" w:rsidRDefault="002B1B41" w:rsidP="00100D44">
            <w:pPr>
              <w:spacing w:after="0" w:line="276" w:lineRule="auto"/>
              <w:ind w:left="183" w:hanging="18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</w:pPr>
            <w:r w:rsidRPr="002B1B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use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YALI0D03245g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ST081-prot3245A-F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ATT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GGATCC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CACAATGAAGTTCTCTCACGTCACC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ST082-prot3245A-R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TTA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CCTAGG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TTAGTTACCAAGCTTCTTGGTG</w:t>
            </w:r>
          </w:p>
        </w:tc>
        <w:tc>
          <w:tcPr>
            <w:tcW w:w="1134" w:type="dxa"/>
            <w:shd w:val="clear" w:color="auto" w:fill="auto"/>
            <w:hideMark/>
          </w:tcPr>
          <w:p w:rsidR="002B1B41" w:rsidRDefault="002B1B41" w:rsidP="00100D44">
            <w:pPr>
              <w:spacing w:line="240" w:lineRule="auto"/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 w:rsidRPr="00C40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YALI0F04598g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ST083-prot4598B-F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ATT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GGATCC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CACAATGCAGTTCTCCACTCTTGCC</w:t>
            </w:r>
          </w:p>
        </w:tc>
        <w:tc>
          <w:tcPr>
            <w:tcW w:w="1134" w:type="dxa"/>
            <w:shd w:val="clear" w:color="auto" w:fill="auto"/>
            <w:hideMark/>
          </w:tcPr>
          <w:p w:rsidR="002B1B41" w:rsidRDefault="002B1B41" w:rsidP="00100D44">
            <w:pPr>
              <w:spacing w:line="240" w:lineRule="auto"/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 w:rsidRPr="00C40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ST084-prot4598B-R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TTA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CCTAGG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TTAGTGTCCTCCAGCCTTCTTC</w:t>
            </w:r>
          </w:p>
        </w:tc>
        <w:tc>
          <w:tcPr>
            <w:tcW w:w="1134" w:type="dxa"/>
            <w:shd w:val="clear" w:color="auto" w:fill="auto"/>
            <w:hideMark/>
          </w:tcPr>
          <w:p w:rsidR="002B1B41" w:rsidRDefault="002B1B41" w:rsidP="00100D44">
            <w:pPr>
              <w:spacing w:line="240" w:lineRule="auto"/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 w:rsidRPr="00C40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YALI0C05687g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ST085-prot4687C-F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ATT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GGATCC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CACAATGAAGTTCTCCGCCGTTGC</w:t>
            </w:r>
          </w:p>
        </w:tc>
        <w:tc>
          <w:tcPr>
            <w:tcW w:w="1134" w:type="dxa"/>
            <w:shd w:val="clear" w:color="auto" w:fill="auto"/>
            <w:hideMark/>
          </w:tcPr>
          <w:p w:rsidR="002B1B41" w:rsidRDefault="002B1B41" w:rsidP="00100D44">
            <w:pPr>
              <w:spacing w:line="240" w:lineRule="auto"/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 w:rsidRPr="00C40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ST086-prot4687C-R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TTA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CCTAGG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TTAGTTGTTCTTCTGGCCATCG</w:t>
            </w:r>
          </w:p>
        </w:tc>
        <w:tc>
          <w:tcPr>
            <w:tcW w:w="1134" w:type="dxa"/>
            <w:shd w:val="clear" w:color="auto" w:fill="auto"/>
            <w:hideMark/>
          </w:tcPr>
          <w:p w:rsidR="002B1B41" w:rsidRDefault="002B1B41" w:rsidP="00100D44">
            <w:pPr>
              <w:spacing w:line="240" w:lineRule="auto"/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 w:rsidRPr="00C40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YALI0F04620g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ST087-prot4620D-F 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ATT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GGATCC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CACAATGAAGCTCTCTGCCGTCAC</w:t>
            </w:r>
          </w:p>
        </w:tc>
        <w:tc>
          <w:tcPr>
            <w:tcW w:w="1134" w:type="dxa"/>
            <w:shd w:val="clear" w:color="auto" w:fill="auto"/>
            <w:hideMark/>
          </w:tcPr>
          <w:p w:rsidR="002B1B41" w:rsidRDefault="002B1B41" w:rsidP="00100D44">
            <w:pPr>
              <w:spacing w:line="240" w:lineRule="auto"/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 w:rsidRPr="00C40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ST088-prot4620D-R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TTA</w:t>
            </w:r>
            <w:r w:rsidRPr="009542C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fr-FR"/>
              </w:rPr>
              <w:t>CCTAGG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CTAGTTGCTACCGTTCTTGATC</w:t>
            </w:r>
          </w:p>
        </w:tc>
        <w:tc>
          <w:tcPr>
            <w:tcW w:w="1134" w:type="dxa"/>
            <w:shd w:val="clear" w:color="auto" w:fill="auto"/>
            <w:hideMark/>
          </w:tcPr>
          <w:p w:rsidR="002B1B41" w:rsidRDefault="002B1B41" w:rsidP="00100D44">
            <w:pPr>
              <w:spacing w:line="240" w:lineRule="auto"/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G.O</w:t>
            </w:r>
            <w:r w:rsidRPr="00C408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.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YALI0C05687g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UP1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_682fw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TTTTCACTTTCCCCCCCCTC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YALI0C05687g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UP1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_1686rev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AACATGGCAGCATGGCAAC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YALI0D03245g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UP2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_549Fw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ACATCACCACATCCCACACC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YALI0D03245g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UP2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_1676Rev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ACCTCTGAAACCAACTGAAAC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YALI0F04598g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UP3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_478fw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AACCTCACACCACAACCAC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YALI0F04598g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UP3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_1858rev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AAACATCTCTTTCTCGCCATC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YALI0F04620g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UP4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_689fw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TCAAACCCTATCTATCGTCCTC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YALI0F04620g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UP4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_1687rev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ACTCAAGTCCCATCTACAGTC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YALI0B21582g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SeqFila-fwd 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CATATCCCTCTCTCCAGC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YALI0B21582g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SeqFila-rev 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CTTACAAAGTGGACAAGCG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Verification</w:t>
            </w:r>
          </w:p>
        </w:tc>
      </w:tr>
      <w:tr w:rsidR="002B1B41" w:rsidRPr="009542C4" w:rsidTr="002B1B41">
        <w:trPr>
          <w:trHeight w:val="300"/>
        </w:trPr>
        <w:tc>
          <w:tcPr>
            <w:tcW w:w="9923" w:type="dxa"/>
            <w:gridSpan w:val="4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YALI0C05687g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UP1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_Seq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CTCGTTAATCTCGTCTCCAATG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sequencing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YALI0D03245g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UP2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_Seq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TTCTCTCACTCACCAAGCTTC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sequencing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YALI0F04598g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UP3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_seq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CACCGCAACACCCTCCATAATG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sequencing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YALI0F04620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UP4</w:t>
            </w: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_seq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GCCGTCACTTTCATTGCTCTC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sequencing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YALI0B21582g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Fila-intern-verif-fw-2 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GCATCGCATCTAATCAGG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sequencing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YALI0B21582g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Fila-intern-verif-Rev 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GTCGGAGCACGAAGAGGTGTCATGC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sequencing</w:t>
            </w:r>
          </w:p>
        </w:tc>
      </w:tr>
      <w:tr w:rsidR="002B1B41" w:rsidRPr="009542C4" w:rsidTr="002B1B41">
        <w:trPr>
          <w:trHeight w:val="300"/>
        </w:trPr>
        <w:tc>
          <w:tcPr>
            <w:tcW w:w="9923" w:type="dxa"/>
            <w:gridSpan w:val="4"/>
          </w:tcPr>
          <w:p w:rsidR="002B1B41" w:rsidRPr="009542C4" w:rsidRDefault="002B1B41" w:rsidP="00100D4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sgRNA target sequence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YALI0C05687g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C05687g_gRNA69rv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AAACAAGAATCTCCCGGGAC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YALI0C05687g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C05687g_gRNA620fw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AGCTATGCTCGCCGTCCAGT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YALI0D03245g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D03245g_gRNA55rv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CGGGACTCCAGCTGCTGGGT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YALI0D03245g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D03245g_gRNA567rv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TAACGTCAGCGGCAGAGCCC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YALI0F04598g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F04598g_gRNA55rv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CGAGCAACCAGAGAGTTGGT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YALI0F04598g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F04598g_gRNA500fw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CCTCGAGTCTCCCCTTCTCC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YALI0F04620g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F04620g_gRNA77rv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GTAGAGAGTGTTGTCTTCCC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YALI0F04620g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F04620g_gRNA612rv_F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AGTTGATGGCGAGTTGGGCT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  <w:tr w:rsidR="002B1B41" w:rsidRPr="009542C4" w:rsidTr="002B1B41">
        <w:trPr>
          <w:trHeight w:val="300"/>
        </w:trPr>
        <w:tc>
          <w:tcPr>
            <w:tcW w:w="1702" w:type="dxa"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YALI0B21582g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B21582g_gRNA</w:t>
            </w:r>
          </w:p>
        </w:tc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GGCGACAGCATGTAAATGGG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2B1B41" w:rsidRPr="009542C4" w:rsidRDefault="002B1B41" w:rsidP="00100D4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542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gRNA</w:t>
            </w:r>
          </w:p>
        </w:tc>
      </w:tr>
    </w:tbl>
    <w:p w:rsidR="002B1B41" w:rsidRDefault="002B1B41">
      <w:pPr>
        <w:rPr>
          <w:b/>
          <w:color w:val="000000" w:themeColor="text1"/>
          <w:lang w:val="en-US"/>
        </w:rPr>
      </w:pPr>
    </w:p>
    <w:sectPr w:rsidR="002B1B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CBD"/>
    <w:rsid w:val="002035F1"/>
    <w:rsid w:val="00237F0B"/>
    <w:rsid w:val="002B1B41"/>
    <w:rsid w:val="00502CBD"/>
    <w:rsid w:val="00644E5E"/>
    <w:rsid w:val="006550EC"/>
    <w:rsid w:val="00790649"/>
    <w:rsid w:val="008F57AE"/>
    <w:rsid w:val="00A00D7E"/>
    <w:rsid w:val="00B27973"/>
    <w:rsid w:val="00BE3C2B"/>
    <w:rsid w:val="00CC2903"/>
    <w:rsid w:val="00D42759"/>
    <w:rsid w:val="00D5097A"/>
    <w:rsid w:val="00F4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A4F550-F36E-4B13-BC4C-FFA9061F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ela-Siatka1">
    <w:name w:val="Tabela - Siatka1"/>
    <w:basedOn w:val="TableauNormal"/>
    <w:next w:val="Grilledutableau"/>
    <w:uiPriority w:val="59"/>
    <w:rsid w:val="00502CBD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502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TableauNormal"/>
    <w:next w:val="Grilledutableau"/>
    <w:uiPriority w:val="59"/>
    <w:rsid w:val="00502CBD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E3C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6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jean-marc.nicaud@inrae.f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699</Words>
  <Characters>3850</Characters>
  <Application>Microsoft Office Word</Application>
  <DocSecurity>0</DocSecurity>
  <Lines>32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Djamila Onesime</cp:lastModifiedBy>
  <cp:revision>2</cp:revision>
  <dcterms:created xsi:type="dcterms:W3CDTF">2022-08-10T10:59:00Z</dcterms:created>
  <dcterms:modified xsi:type="dcterms:W3CDTF">2022-08-10T10:59:00Z</dcterms:modified>
</cp:coreProperties>
</file>