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rPr>
          <w:b w:val="0"/>
        </w:rPr>
      </w:pPr>
      <w:r>
        <w:t>Supplementary Material</w:t>
      </w:r>
      <w:bookmarkStart w:id="1" w:name="_GoBack"/>
      <w:bookmarkEnd w:id="1"/>
    </w:p>
    <w:p>
      <w:pPr>
        <w:pStyle w:val="2"/>
      </w:pPr>
      <w:r>
        <w:t>Supplementary Data</w:t>
      </w:r>
    </w:p>
    <w:p>
      <w:pPr>
        <w:pStyle w:val="2"/>
      </w:pPr>
      <w:r>
        <w:t>Supplementary Figures and Tables.</w:t>
      </w:r>
    </w:p>
    <w:p>
      <w:pPr>
        <w:pStyle w:val="4"/>
      </w:pPr>
      <w:r>
        <w:rPr>
          <w:b w:val="0"/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3490595</wp:posOffset>
            </wp:positionH>
            <wp:positionV relativeFrom="paragraph">
              <wp:posOffset>426085</wp:posOffset>
            </wp:positionV>
            <wp:extent cx="2308860" cy="230886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3" t="10651" r="40896" b="17421"/>
                    <a:stretch>
                      <a:fillRect/>
                    </a:stretch>
                  </pic:blipFill>
                  <pic:spPr>
                    <a:xfrm>
                      <a:off x="0" y="0"/>
                      <a:ext cx="2308860" cy="23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356235</wp:posOffset>
            </wp:positionV>
            <wp:extent cx="2832100" cy="2445385"/>
            <wp:effectExtent l="0" t="0" r="635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2" r="24312" b="8393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24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Supplementary Figure</w:t>
      </w:r>
    </w:p>
    <w:p>
      <w:pPr>
        <w:pStyle w:val="4"/>
        <w:numPr>
          <w:ilvl w:val="0"/>
          <w:numId w:val="0"/>
        </w:numPr>
        <w:ind w:left="480" w:leftChars="200" w:firstLine="1446" w:firstLineChars="600"/>
        <w:rPr>
          <w:rFonts w:eastAsiaTheme="minorEastAsia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Theme="minorEastAsia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A                                                                                      B</w:t>
      </w:r>
    </w:p>
    <w:p>
      <w:r>
        <w:rPr>
          <w:rFonts w:cs="Times New Roman"/>
          <w:szCs w:val="24"/>
        </w:rPr>
        <w:t xml:space="preserve">Supplementary Figure </w:t>
      </w:r>
      <w:r>
        <w:rPr>
          <w:rFonts w:cs="Times New Roman"/>
          <w:szCs w:val="24"/>
        </w:rPr>
        <w:fldChar w:fldCharType="begin"/>
      </w:r>
      <w:r>
        <w:rPr>
          <w:rFonts w:cs="Times New Roman"/>
          <w:szCs w:val="24"/>
        </w:rPr>
        <w:instrText xml:space="preserve"> SEQ Figure \* ARABIC </w:instrText>
      </w:r>
      <w:r>
        <w:rPr>
          <w:rFonts w:cs="Times New Roman"/>
          <w:szCs w:val="24"/>
        </w:rPr>
        <w:fldChar w:fldCharType="separate"/>
      </w:r>
      <w:r>
        <w:rPr>
          <w:rFonts w:cs="Times New Roman"/>
          <w:szCs w:val="24"/>
        </w:rPr>
        <w:t>1</w:t>
      </w:r>
      <w:r>
        <w:rPr>
          <w:rFonts w:cs="Times New Roman"/>
          <w:szCs w:val="24"/>
        </w:rPr>
        <w:fldChar w:fldCharType="end"/>
      </w:r>
      <w:r>
        <w:t xml:space="preserve">  </w:t>
      </w:r>
      <w:r>
        <w:rPr>
          <w:rFonts w:cs="Times New Roman"/>
          <w:szCs w:val="24"/>
        </w:rPr>
        <w:t>Sub-networks generated by MCODE.</w:t>
      </w:r>
      <w:r>
        <w:t xml:space="preserve"> (A)Module 1 with MCODE score of 10.727 (nodes =12,</w:t>
      </w:r>
      <w:r>
        <w:rPr>
          <w:rFonts w:eastAsiaTheme="minorEastAsia"/>
          <w:lang w:eastAsia="zh-CN"/>
        </w:rPr>
        <w:t>edges=118</w:t>
      </w:r>
      <w:r>
        <w:t>).  (B)Module 2 with MCODE score of 6.517 (nodes =8,</w:t>
      </w:r>
      <w:r>
        <w:rPr>
          <w:rFonts w:eastAsiaTheme="minorEastAsia"/>
          <w:lang w:eastAsia="zh-CN"/>
        </w:rPr>
        <w:t>edges=46</w:t>
      </w:r>
      <w:r>
        <w:t xml:space="preserve">) </w:t>
      </w:r>
    </w:p>
    <w:p>
      <w:pPr>
        <w:pStyle w:val="4"/>
      </w:pPr>
      <w:r>
        <w:t>Supplementary Table</w:t>
      </w:r>
    </w:p>
    <w:p/>
    <w:tbl>
      <w:tblPr>
        <w:tblStyle w:val="21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3827"/>
        <w:gridCol w:w="1417"/>
        <w:gridCol w:w="1276"/>
        <w:gridCol w:w="11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9767" w:type="dxa"/>
            <w:gridSpan w:val="5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keepNext/>
              <w:jc w:val="center"/>
              <w:rPr>
                <w:rFonts w:cs="Times New Roman"/>
                <w:b/>
                <w:bCs/>
                <w:szCs w:val="24"/>
              </w:rPr>
            </w:pPr>
            <w:bookmarkStart w:id="0" w:name="_Hlk107654588"/>
            <w:r>
              <w:rPr>
                <w:rFonts w:cs="Times New Roman"/>
                <w:b/>
                <w:bCs/>
                <w:sz w:val="28"/>
                <w:szCs w:val="28"/>
              </w:rPr>
              <w:t>The main active component of  SJZT</w:t>
            </w: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 ID</w:t>
            </w:r>
          </w:p>
        </w:tc>
        <w:tc>
          <w:tcPr>
            <w:tcW w:w="3827" w:type="dxa"/>
            <w:tcBorders>
              <w:top w:val="single" w:color="auto" w:sz="4" w:space="0"/>
              <w:bottom w:val="nil"/>
            </w:tcBorders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Molecule Name</w:t>
            </w:r>
          </w:p>
        </w:tc>
        <w:tc>
          <w:tcPr>
            <w:tcW w:w="1417" w:type="dxa"/>
            <w:tcBorders>
              <w:top w:val="single" w:color="auto" w:sz="4" w:space="0"/>
              <w:bottom w:val="nil"/>
            </w:tcBorders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MW</w:t>
            </w:r>
          </w:p>
        </w:tc>
        <w:tc>
          <w:tcPr>
            <w:tcW w:w="127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OB(%)</w:t>
            </w:r>
          </w:p>
        </w:tc>
        <w:tc>
          <w:tcPr>
            <w:tcW w:w="112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tcBorders>
              <w:top w:val="nil"/>
            </w:tcBorders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MOL001484</w:t>
            </w:r>
          </w:p>
        </w:tc>
        <w:tc>
          <w:tcPr>
            <w:tcW w:w="3827" w:type="dxa"/>
            <w:tcBorders>
              <w:top w:val="nil"/>
            </w:tcBorders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Inermine</w:t>
            </w:r>
          </w:p>
        </w:tc>
        <w:tc>
          <w:tcPr>
            <w:tcW w:w="1417" w:type="dxa"/>
            <w:tcBorders>
              <w:top w:val="nil"/>
            </w:tcBorders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284.28</w:t>
            </w:r>
          </w:p>
        </w:tc>
        <w:tc>
          <w:tcPr>
            <w:tcW w:w="1276" w:type="dxa"/>
            <w:tcBorders>
              <w:top w:val="nil"/>
            </w:tcBorders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75.18 </w:t>
            </w:r>
          </w:p>
        </w:tc>
        <w:tc>
          <w:tcPr>
            <w:tcW w:w="1125" w:type="dxa"/>
            <w:tcBorders>
              <w:top w:val="nil"/>
            </w:tcBorders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MOL001792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DFV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256.27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32.76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0.18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MOL000211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Mairin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456.78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55.38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MOL002311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Glycyrol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366.39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90.78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0.67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MOL000239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Jaranol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314.31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50.83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MOL002565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Medicarpin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270.3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49.22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MOL000354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isorhamnetin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316.28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49.60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MOL000359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sitosterol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414.79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36.91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MOL003656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Lupiwighteone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338.38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51.64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MOL003896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7-Methoxy-2-methyl isoflavone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266.31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42.56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MOL000392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formononetin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268.28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69.67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MOL000417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Calycosin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284.28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47.75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MOL000422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kaempferol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286.25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41.88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MOL004328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naringenin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272.27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59.29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MOL004805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(2S)-2-[4-hydroxy-3-(3-methylbut-2-enyl)phenyl]-8,8-dimethyl-2,3-dihydropyrano[2,3-f]chromen-4-one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390.51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31.79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MOL004806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euchrenone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406.56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30.29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MOL004808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glyasperin B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370.43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65.22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MOL004810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glyasperin F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354.38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75.84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MOL004811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Glyasperin C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356.45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45.56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MOL004814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Isotrifoliol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298.26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31.94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MOL004815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(E)-1-(2,4-dihydroxyphenyl)-3-(2,2-dimethylchromen-6-yl)prop-2-en-1-one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322.38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39.62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MOL004820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kanzonols W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336.36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50.48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MOL004824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(2S)-6-(2,4-dihydroxyphenyl)-2-(2-hydroxypropan-2-yl)-4-methoxy-2,3-dihydrofuro[3,2-g]chromen-7-one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384.41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60.25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0.63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MOL004827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Semilicoisoflavone B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352.36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48.78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MOL004828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Glepidotin A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338.38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44.72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MOL004829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Glepidotin B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340.4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64.46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MOL004833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Phaseolinisoflavan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324.4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32.01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MOL004835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Glypallichalcone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284.33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61.60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0.19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MOL004838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8-(6-hydroxy-2-benzofuranyl)-2,2-dimethyl-5-chromenol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308.35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58.44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MOL004841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Licochalcone B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286.3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76.76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0.19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MOL004848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licochalcone G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354.43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49.25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MOL004849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3-(2,4-dihydroxyphenyl)-8-(1,1-dimethylprop-2-enyl)-7-hydroxy-5-methoxy-coumarin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368.41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59.62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MOL004855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Licoricone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382.44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63.58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MOL004856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Gancaonin A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352.41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51.08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MOL004857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Gancaonin B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368.41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48.79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MOL004860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licorice glycoside 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693.71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32.89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MOL004863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3-(3,4-dihydroxyphenyl)-5,7-dihydroxy-8-(3-methylbut-2-enyl)chromone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354.38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66.37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MOL004864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5,7-dihydroxy-3-(4-methoxyphenyl)-8-(3-methylbut-2-enyl)chromone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352.41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30.49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MOL004866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2-(3,4-dihydroxyphenyl)-5,7-dihydroxy-6-(3-methylbut-2-enyl)chromone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354.38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44.15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MOL004879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Glycyrin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382.44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52.61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MOL004882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Licocoumarone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340.4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33.21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MOL004883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Licoisoflavone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354.38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41.61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MOL004884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Licoisoflavone B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352.36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38.93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MOL004885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licoisoflavanone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354.38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52.47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MOL004891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shinpterocarpin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322.38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80.30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MOL004898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(E)-3-[3,4-dihydroxy-5-(3-methylbut-2-enyl)phenyl]-1-(2,4-dihydroxyphenyl)prop-2-en-1-one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340.4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46.27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MOL004903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liquiritin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418.43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65.69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MOL004904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licopyranocoumarin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384.41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80.36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0.65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MOL004905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3,22-Dihydroxy-11-oxo-delta(12)-oleanene-27-alpha-methoxycarbonyl-29-oic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512.75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34.32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MOL004907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Glyzaglabrin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298.26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61.07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MOL004908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Glabridin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324.4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53.25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MOL004910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Glabranin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324.4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52.90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MOL004911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Glabrene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322.38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46.27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MOL004912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Glabrone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336.36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52.51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MOL004913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1,3-dihydroxy-9-methoxy-6-benzofurano[3,2-c]chromenone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298.26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48.14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MOL004914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1,3-dihydroxy-8,9-dimethoxy-6-benzofurano[3,2-c]chromenone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328.29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62.90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MOL004915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Eurycarpin A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338.38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43.28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MOL004917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glycyroside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562.57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37.25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MOL004924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(-)-Medicocarpin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432.46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40.99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0.95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MOL004935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Sigmoidin-B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356.4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34.88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MOL004941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(2R)-7-hydroxy-2-(4-hydroxyphenyl)chroman-4-one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256.27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71.12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0.18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MOL004945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(2S)-7-hydroxy-2-(4-hydroxyphenyl)-8-(3-methylbut-2-enyl)chroman-4-one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324.4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36.57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MOL004948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Isoglycyrol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366.39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44.70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MOL004949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Isolicoflavonol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354.38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45.17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MOL004957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HMO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268.28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38.37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MOL004959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1-Methoxyphaseollidin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354.43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69.98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0.64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MOL004961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Quercetin der.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330.31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46.45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MOL004966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3'-Hydroxy-4'-O-Methylglabridin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354.43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43.71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MOL000497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licochalcone a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338.43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40.79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MOL004974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3'-Methoxyglabridin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354.43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46.16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MOL004978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2-[(3R)-8,8-dimethyl-3,4-dihydro-2H-pyrano[6,5-f]chromen-3-yl]-5-methoxyphenol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338.43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36.21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MOL004980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Inflacoumarin A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322.38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39.71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MOL004985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icos-5-enoic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310.58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30.70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MOL004988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Kanzonol F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420.54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32.47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MOL004989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6-prenylated eriodictyol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356.4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39.22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MOL004990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7,2',4'-trihydroxy</w:t>
            </w:r>
            <w:r>
              <w:rPr>
                <w:rFonts w:eastAsia="宋体" w:cs="Times New Roman"/>
                <w:szCs w:val="24"/>
              </w:rPr>
              <w:t>－</w:t>
            </w:r>
            <w:r>
              <w:rPr>
                <w:rFonts w:cs="Times New Roman"/>
                <w:szCs w:val="24"/>
              </w:rPr>
              <w:t>5-methoxy-3</w:t>
            </w:r>
            <w:r>
              <w:rPr>
                <w:rFonts w:eastAsia="宋体" w:cs="Times New Roman"/>
                <w:szCs w:val="24"/>
              </w:rPr>
              <w:t>－</w:t>
            </w:r>
            <w:r>
              <w:rPr>
                <w:rFonts w:cs="Times New Roman"/>
                <w:szCs w:val="24"/>
              </w:rPr>
              <w:t>arylcoumarin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300.28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83.71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MOL004991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7-Acetoxy-2-methylisoflavone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294.32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38.92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MOL004993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8-prenylated eriodictyol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356.4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53.79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MOL004996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gadelaidic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310.58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30.70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MOL000500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Vestitol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272.32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74.66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MOL005000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Gancaonin G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352.41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60.44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MOL005001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Gancaonin H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420.49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50.10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MOL005003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Licoagrocarpin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338.43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58.81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MOL005007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Glyasperins M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368.41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72.67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MOL005008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Glycyrrhiza flavonol A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370.38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41.28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0.60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MOL005012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Licoagroisoflavone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336.36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57.28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MOL005013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18α-hydroxyglycyrrhetic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486.76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41.16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MOL005016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Odoratin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314.31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49.95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MOL005017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Phaseol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336.36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78.77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MOL005018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Xambioona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388.49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54.85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MOL005020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dehydroglyasperins C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340.4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53.82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MOL000098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quercetin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302.25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46.43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MOL000273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(2R)-2-[(3S,5R,10S,13R,14R,16R,17R)-3,16-dihydroxy-4,4,10,13,14-pentamethyl-2,3,5,6,12,15,16,17-octahydro-1H-cyclopenta[a]phenanthren-17-yl]-6-methylhept-5-enoic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470.76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30.93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MOL000275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trametenolic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456.78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38.71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MOL000276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7,9(11)-dehydropachymic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526.83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35.11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MOL000279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Cerevisterol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430.74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37.96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MOL000280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(2R)-2-[(3S,5R,10S,13R,14R,16R,17R)-3,16-dihydroxy-4,4,10,13,14-pentamethyl-2,3,5,6,12,15,16,17-octahydro-1H-cyclopenta[a]phenanthren-17-yl]-5-isopropyl-hex-5-enoic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484.79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31.07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MOL000282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ergosta-7,22E-dien-3beta-ol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398.74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43.51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MOL000283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Ergosterol peroxide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430.74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40.36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MOL000285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(2R)-2-[(5R,10S,13R,14R,16R,17R)-16-hydroxy-3-keto-4,4,10,13,14-pentamethyl-1,2,5,6,12,15,16,17-octahydrocyclopenta[a]phenanthren-17-yl]-5-isopropyl-hex-5-enoic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482.77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38.26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MOL000287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3beta-Hydroxy-24-methylene-8-lanostene-21-oic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470.81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38.70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MOL000289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pachymic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528.85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33.63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MOL000290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Poricoic acid A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498.77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30.61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MOL000291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Poricoic acid B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484.74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30.52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MOL000292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poricoic acid C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482.77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38.15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MOL000296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hederagenin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414.79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36.91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MOL000300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dehydroeburicoic acid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453.75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44.17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MOL002879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Diop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390.62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43.59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MOL000449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Stigmasterol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412.77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43.83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MOL000358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beta-sitosterol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414.79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36.91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MOL003648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Inermin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284.28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65.83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MOL004492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Chrysanthemaxanthin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584.96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38.72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MOL005308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Aposiopolamine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271.34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66.65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MOL005314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Celabenzine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379.55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101.88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0.49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MOL005317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Deoxyharringtonine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515.66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39.27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MOL005318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Dianthramine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289.26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40.45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MOL005320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arachidonate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304.52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45.57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MOL005321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Frutinone A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264.24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65.90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MOL005344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ginsenoside rh2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622.98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36.32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MOL005348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Ginsenoside-Rh4_qt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458.8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31.11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MOL005356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Girinimbin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263.36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61.22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MOL005357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Gomisin B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514.62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31.99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MOL005360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malkangunin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432.56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57.71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0.63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MOL005376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Panaxadiol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460.82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33.09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MOL005384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suchilactone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368.41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57.52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0.56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MOL005399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alexandrin_qt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414.79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36.91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MOL005401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ginsenoside Rg5_qt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442.8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39.56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MOL000787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Fumarine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353.4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59.26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0.83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MOL000022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14-acetyl-12-senecioyl-2E,8Z,10E-atractylentriol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356.45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63.37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MOL000020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12-senecioyl-2E,8E,10E-atractylentriol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312.39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62.40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MOL000021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14-acetyl-12-senecioyl-2E,8E,10E-atractylentriol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355.44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60.31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0.31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MOL000049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3β-acetoxyatractylone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274.39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54.07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MOL000028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α-Amyrin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426.8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39.51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MOL000033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(3S,8S,9S,10R,13R,14S,17R)-10,13-dimethyl-17-[(2R,5S)-5-propan-2-yloctan-2-yl]-2,3,4,7,8,9,11,12,14,15,16,17-dodecahydro-1H-cyclopenta[a]phenanthren-3-ol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428.82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36.23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0.78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2122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MOL000072</w:t>
            </w:r>
          </w:p>
        </w:tc>
        <w:tc>
          <w:tcPr>
            <w:tcW w:w="382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8β-ethoxy atractylenolide </w:t>
            </w:r>
            <w:r>
              <w:rPr>
                <w:rFonts w:eastAsia="宋体" w:cs="Times New Roman"/>
                <w:szCs w:val="24"/>
              </w:rPr>
              <w:t>Ⅲ</w:t>
            </w:r>
          </w:p>
        </w:tc>
        <w:tc>
          <w:tcPr>
            <w:tcW w:w="1417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276.41</w:t>
            </w:r>
          </w:p>
        </w:tc>
        <w:tc>
          <w:tcPr>
            <w:tcW w:w="1276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35.95 </w:t>
            </w:r>
          </w:p>
        </w:tc>
        <w:tc>
          <w:tcPr>
            <w:tcW w:w="1125" w:type="dxa"/>
            <w:noWrap/>
          </w:tcPr>
          <w:p>
            <w:pPr>
              <w:keepNext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0.21 </w:t>
            </w:r>
          </w:p>
        </w:tc>
      </w:tr>
    </w:tbl>
    <w:p>
      <w:pPr>
        <w:keepNext/>
        <w:ind w:firstLine="1800" w:firstLineChars="750"/>
        <w:rPr>
          <w:rFonts w:cs="Times New Roman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Supplementary Table</w:t>
      </w:r>
      <w:r>
        <w:rPr>
          <w:rFonts w:cs="Times New Roman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cs="Times New Roman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instrText xml:space="preserve"> SEQ Figure \* ARABIC </w:instrText>
      </w:r>
      <w:r>
        <w:rPr>
          <w:rFonts w:cs="Times New Roman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cs="Times New Roman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cs="Times New Roman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cs="Times New Roman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The main active components of SJZT.</w:t>
      </w:r>
    </w:p>
    <w:p>
      <w:pPr>
        <w:keepNext/>
        <w:rPr>
          <w:rFonts w:cs="Times New Roman"/>
          <w:szCs w:val="24"/>
        </w:rPr>
      </w:pPr>
    </w:p>
    <w:tbl>
      <w:tblPr>
        <w:tblStyle w:val="21"/>
        <w:tblpPr w:leftFromText="180" w:rightFromText="180" w:vertAnchor="text" w:horzAnchor="margin" w:tblpXSpec="center" w:tblpY="-1361"/>
        <w:tblOverlap w:val="never"/>
        <w:tblW w:w="1071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701"/>
        <w:gridCol w:w="425"/>
        <w:gridCol w:w="1606"/>
        <w:gridCol w:w="338"/>
        <w:gridCol w:w="1481"/>
        <w:gridCol w:w="591"/>
        <w:gridCol w:w="1592"/>
        <w:gridCol w:w="534"/>
        <w:gridCol w:w="1167"/>
        <w:gridCol w:w="28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</w:p>
        </w:tc>
        <w:tc>
          <w:tcPr>
            <w:tcW w:w="2031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</w:p>
          <w:p>
            <w:pPr>
              <w:spacing w:before="240"/>
              <w:rPr>
                <w:sz w:val="22"/>
              </w:rPr>
            </w:pPr>
          </w:p>
        </w:tc>
        <w:tc>
          <w:tcPr>
            <w:tcW w:w="1819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</w:p>
        </w:tc>
        <w:tc>
          <w:tcPr>
            <w:tcW w:w="2183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0716" w:type="dxa"/>
            <w:gridSpan w:val="11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before="24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8"/>
                <w:szCs w:val="28"/>
              </w:rPr>
              <w:t>The association between SPP1 expression and 24 immune cell markers in HCC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993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  <w:r>
              <w:rPr>
                <w:sz w:val="22"/>
              </w:rPr>
              <w:t>Target</w:t>
            </w:r>
          </w:p>
        </w:tc>
        <w:tc>
          <w:tcPr>
            <w:tcW w:w="1701" w:type="dxa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  <w:r>
              <w:rPr>
                <w:sz w:val="22"/>
              </w:rPr>
              <w:t>Cells</w:t>
            </w:r>
          </w:p>
        </w:tc>
        <w:tc>
          <w:tcPr>
            <w:tcW w:w="2031" w:type="dxa"/>
            <w:gridSpan w:val="2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  <w:r>
              <w:rPr>
                <w:sz w:val="22"/>
              </w:rPr>
              <w:t>Correlation coefficient(Pearson)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  <w:r>
              <w:rPr>
                <w:sz w:val="22"/>
              </w:rPr>
              <w:t>P-value(Pearson)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  <w:r>
              <w:rPr>
                <w:sz w:val="22"/>
              </w:rPr>
              <w:t>Correlation coefficient(Spearman)</w:t>
            </w:r>
          </w:p>
        </w:tc>
        <w:tc>
          <w:tcPr>
            <w:tcW w:w="1989" w:type="dxa"/>
            <w:gridSpan w:val="3"/>
            <w:tcBorders>
              <w:top w:val="single" w:color="auto" w:sz="4" w:space="0"/>
              <w:bottom w:val="nil"/>
            </w:tcBorders>
            <w:noWrap/>
            <w:vAlign w:val="center"/>
          </w:tcPr>
          <w:p>
            <w:pPr>
              <w:spacing w:before="240"/>
              <w:rPr>
                <w:sz w:val="22"/>
              </w:rPr>
            </w:pPr>
            <w:r>
              <w:rPr>
                <w:sz w:val="22"/>
              </w:rPr>
              <w:t>P-value(Spearman)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tcBorders>
              <w:top w:val="nil"/>
            </w:tcBorders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tcBorders>
              <w:top w:val="nil"/>
            </w:tcBorders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aDC</w:t>
            </w:r>
          </w:p>
        </w:tc>
        <w:tc>
          <w:tcPr>
            <w:tcW w:w="1944" w:type="dxa"/>
            <w:gridSpan w:val="2"/>
            <w:tcBorders>
              <w:top w:val="nil"/>
            </w:tcBorders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0.201</w:t>
            </w:r>
          </w:p>
        </w:tc>
        <w:tc>
          <w:tcPr>
            <w:tcW w:w="2072" w:type="dxa"/>
            <w:gridSpan w:val="2"/>
            <w:tcBorders>
              <w:top w:val="nil"/>
            </w:tcBorders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  <w:tc>
          <w:tcPr>
            <w:tcW w:w="2126" w:type="dxa"/>
            <w:gridSpan w:val="2"/>
            <w:tcBorders>
              <w:top w:val="nil"/>
            </w:tcBorders>
            <w:noWrap/>
            <w:vAlign w:val="bottom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0.215</w:t>
            </w:r>
          </w:p>
        </w:tc>
        <w:tc>
          <w:tcPr>
            <w:tcW w:w="1167" w:type="dxa"/>
            <w:tcBorders>
              <w:top w:val="nil"/>
            </w:tcBorders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B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0.048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0.357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0.071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CD8 T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-0.079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0.128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-0.069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Cytotoxic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-0.072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0.165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-0.062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DC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0.030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0.559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0.050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0.334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Eosinophils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-0.066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0.204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-0.055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iDC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0.340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0.338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Macrophages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0.388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0.393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Mast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-0.019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0.710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0.029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0.574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Neutrophils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0.147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0.004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0.149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NK CD56bright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0.208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0.200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NK CD56dim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0.021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0.685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0.011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0.825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NK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0.044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0.400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0.009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0.858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pDC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-0.003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0.955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0.005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0.924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T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0.110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0.033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0.117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T helper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0.116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0.025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0.141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Tcm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0.074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0.153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0.065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Tem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0.213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0.210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TFH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0.143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0.006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0.156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Tgd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0.025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0.634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-0.004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0.938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Th1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0.212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0.244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Th17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-0.195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-0.245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Th2 cells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0.202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0.211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" w:type="dxa"/>
          <w:trHeight w:val="290" w:hRule="atLeast"/>
        </w:trPr>
        <w:tc>
          <w:tcPr>
            <w:tcW w:w="993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SPP1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TReg</w:t>
            </w:r>
          </w:p>
        </w:tc>
        <w:tc>
          <w:tcPr>
            <w:tcW w:w="1944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-0.189</w:t>
            </w:r>
          </w:p>
        </w:tc>
        <w:tc>
          <w:tcPr>
            <w:tcW w:w="2072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&lt;0.001</w:t>
            </w:r>
          </w:p>
        </w:tc>
        <w:tc>
          <w:tcPr>
            <w:tcW w:w="2126" w:type="dxa"/>
            <w:gridSpan w:val="2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-0.124</w:t>
            </w:r>
          </w:p>
        </w:tc>
        <w:tc>
          <w:tcPr>
            <w:tcW w:w="1167" w:type="dxa"/>
            <w:noWrap/>
            <w:vAlign w:val="center"/>
          </w:tcPr>
          <w:p>
            <w:pPr>
              <w:spacing w:before="240"/>
              <w:rPr>
                <w:szCs w:val="24"/>
              </w:rPr>
            </w:pPr>
            <w:r>
              <w:rPr>
                <w:szCs w:val="24"/>
              </w:rPr>
              <w:t>0.017</w:t>
            </w:r>
          </w:p>
        </w:tc>
      </w:tr>
    </w:tbl>
    <w:p>
      <w:pPr>
        <w:spacing w:before="240"/>
      </w:pPr>
      <w:r>
        <w:rPr>
          <w:rFonts w:cs="Times New Roman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Supplementary Table3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The association between SPP1 expression and 24 immune cell markers in HCC.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434.15pt;margin-top:726.5pt;height:31.15pt;width:118.8pt;mso-position-horizontal-relative:page;mso-position-vertical-relative:page;z-index:251646976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MV0Qi0gAAAAQBAAAPAAAAAAAAAAEA&#10;IAAAACIAAABkcnMvZG93bnJldi54bWxQSwECFAAUAAAACACHTuJAXLnphhUCAAAnBAAADgAAAAAA&#10;AAABACAAAAAhAQAAZHJzL2Uyb0RvYy54bWxQSwUGAAAAAAYABgBZAQAAqA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MV0Qi0gAAAAQBAAAPAAAAAAAAAAEA&#10;IAAAACIAAABkcnMvZG93bnJldi54bWxQSwECFAAUAAAACACHTuJAknen5xUCAAAlBAAADgAAAAAA&#10;AAABACAAAAAhAQAAZHJzL2Uyb0RvYy54bWxQSwUGAAAAAAYABgBZAQAAqA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7320" w:firstLineChars="3050"/>
      <w:rPr>
        <w:b w:val="0"/>
        <w:bCs/>
      </w:rPr>
    </w:pPr>
    <w:r>
      <w:rPr>
        <w:rFonts w:cs="Times New Roman"/>
        <w:b w:val="0"/>
        <w:bCs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attachedTemplate r:id="rId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2E2F"/>
    <w:rsid w:val="00034304"/>
    <w:rsid w:val="00035434"/>
    <w:rsid w:val="00052A14"/>
    <w:rsid w:val="00077D53"/>
    <w:rsid w:val="00105FD9"/>
    <w:rsid w:val="00117666"/>
    <w:rsid w:val="00136C18"/>
    <w:rsid w:val="001549D3"/>
    <w:rsid w:val="00160065"/>
    <w:rsid w:val="00177D84"/>
    <w:rsid w:val="001D1B37"/>
    <w:rsid w:val="00267D18"/>
    <w:rsid w:val="00270715"/>
    <w:rsid w:val="00274347"/>
    <w:rsid w:val="002868E2"/>
    <w:rsid w:val="002869C3"/>
    <w:rsid w:val="002936E4"/>
    <w:rsid w:val="002946D6"/>
    <w:rsid w:val="002B4A57"/>
    <w:rsid w:val="002B610A"/>
    <w:rsid w:val="002C74CA"/>
    <w:rsid w:val="003123F4"/>
    <w:rsid w:val="003544FB"/>
    <w:rsid w:val="003D2F2D"/>
    <w:rsid w:val="003E755A"/>
    <w:rsid w:val="00401590"/>
    <w:rsid w:val="00417B34"/>
    <w:rsid w:val="00420169"/>
    <w:rsid w:val="00447801"/>
    <w:rsid w:val="00452E9C"/>
    <w:rsid w:val="004735C8"/>
    <w:rsid w:val="004947A6"/>
    <w:rsid w:val="004961FF"/>
    <w:rsid w:val="004B0F6A"/>
    <w:rsid w:val="00517A89"/>
    <w:rsid w:val="005250F2"/>
    <w:rsid w:val="00573708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16ECE"/>
    <w:rsid w:val="00725A7D"/>
    <w:rsid w:val="007501BE"/>
    <w:rsid w:val="00777ECA"/>
    <w:rsid w:val="00790BB3"/>
    <w:rsid w:val="007C206C"/>
    <w:rsid w:val="007C7C22"/>
    <w:rsid w:val="00817DD6"/>
    <w:rsid w:val="0083759F"/>
    <w:rsid w:val="00885156"/>
    <w:rsid w:val="00905601"/>
    <w:rsid w:val="009151AA"/>
    <w:rsid w:val="0093429D"/>
    <w:rsid w:val="00943573"/>
    <w:rsid w:val="009445B6"/>
    <w:rsid w:val="00964134"/>
    <w:rsid w:val="00970F7D"/>
    <w:rsid w:val="00994A3D"/>
    <w:rsid w:val="009C2B12"/>
    <w:rsid w:val="00A174D9"/>
    <w:rsid w:val="00A85739"/>
    <w:rsid w:val="00AA4D24"/>
    <w:rsid w:val="00AB6715"/>
    <w:rsid w:val="00AC50CF"/>
    <w:rsid w:val="00AC7358"/>
    <w:rsid w:val="00B1671E"/>
    <w:rsid w:val="00B25EB8"/>
    <w:rsid w:val="00B37F4D"/>
    <w:rsid w:val="00B52A36"/>
    <w:rsid w:val="00B71BA4"/>
    <w:rsid w:val="00C52A7B"/>
    <w:rsid w:val="00C56BAF"/>
    <w:rsid w:val="00C679AA"/>
    <w:rsid w:val="00C75972"/>
    <w:rsid w:val="00C912E4"/>
    <w:rsid w:val="00CD066B"/>
    <w:rsid w:val="00CE4FEE"/>
    <w:rsid w:val="00D060CF"/>
    <w:rsid w:val="00DB59C3"/>
    <w:rsid w:val="00DB6D7C"/>
    <w:rsid w:val="00DC259A"/>
    <w:rsid w:val="00DE23E8"/>
    <w:rsid w:val="00E52377"/>
    <w:rsid w:val="00E537AD"/>
    <w:rsid w:val="00E54965"/>
    <w:rsid w:val="00E64E17"/>
    <w:rsid w:val="00E866C9"/>
    <w:rsid w:val="00EA3D3C"/>
    <w:rsid w:val="00EC090A"/>
    <w:rsid w:val="00EC4D4E"/>
    <w:rsid w:val="00ED20B5"/>
    <w:rsid w:val="00F46900"/>
    <w:rsid w:val="00F61D89"/>
    <w:rsid w:val="2C133E76"/>
    <w:rsid w:val="6F13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uiPriority w:val="99"/>
    <w:rPr>
      <w:b/>
      <w:bCs/>
    </w:rPr>
  </w:style>
  <w:style w:type="table" w:styleId="21">
    <w:name w:val="Table Grid"/>
    <w:basedOn w:val="20"/>
    <w:uiPriority w:val="59"/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标题 1 字符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标题 2 字符"/>
    <w:basedOn w:val="22"/>
    <w:link w:val="4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副标题 字符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批注框文本 字符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书籍标题1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批注文字 字符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批注主题 字符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尾注文本 字符"/>
    <w:basedOn w:val="22"/>
    <w:link w:val="11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页脚 字符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脚注文本 字符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页眉 字符"/>
    <w:basedOn w:val="22"/>
    <w:link w:val="14"/>
    <w:uiPriority w:val="99"/>
    <w:rPr>
      <w:rFonts w:ascii="Times New Roman" w:hAnsi="Times New Roman"/>
      <w:b/>
      <w:sz w:val="24"/>
    </w:rPr>
  </w:style>
  <w:style w:type="character" w:customStyle="1" w:styleId="43">
    <w:name w:val="明显强调1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明显参考1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标题 3 字符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标题 4 字符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标题 5 字符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引用 字符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不明显强调1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标题 字符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A95B22-B4E8-4C8E-ABCB-1E2B9143F8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</Pages>
  <Words>1435</Words>
  <Characters>8180</Characters>
  <Lines>68</Lines>
  <Paragraphs>19</Paragraphs>
  <TotalTime>252</TotalTime>
  <ScaleCrop>false</ScaleCrop>
  <LinksUpToDate>false</LinksUpToDate>
  <CharactersWithSpaces>9596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2018-11-23T08:58:00Z</dcterms:created>
  <dc:creator>Frontiers Media SA</dc:creator>
  <cp:lastModifiedBy>lp</cp:lastModifiedBy>
  <cp:lastPrinted>2013-10-03T12:51:00Z</cp:lastPrinted>
  <dcterms:modified xsi:type="dcterms:W3CDTF">2022-07-04T15:54:05Z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