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6BCADF" w14:textId="77777777" w:rsidR="005F773A" w:rsidRPr="00EE525A" w:rsidRDefault="005F773A" w:rsidP="005F773A">
      <w:pPr>
        <w:spacing w:after="0" w:line="480" w:lineRule="auto"/>
        <w:textAlignment w:val="baseline"/>
        <w:rPr>
          <w:rFonts w:ascii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val="en-US"/>
        </w:rPr>
      </w:pPr>
    </w:p>
    <w:tbl>
      <w:tblPr>
        <w:tblpPr w:leftFromText="141" w:rightFromText="141" w:vertAnchor="text" w:horzAnchor="margin" w:tblpY="219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054"/>
        <w:gridCol w:w="1023"/>
        <w:gridCol w:w="4998"/>
        <w:gridCol w:w="672"/>
      </w:tblGrid>
      <w:tr w:rsidR="005F773A" w:rsidRPr="000E7374" w14:paraId="6E86A072" w14:textId="77777777" w:rsidTr="008967AC">
        <w:trPr>
          <w:trHeight w:val="433"/>
        </w:trPr>
        <w:tc>
          <w:tcPr>
            <w:tcW w:w="9747" w:type="dxa"/>
            <w:gridSpan w:val="4"/>
            <w:shd w:val="clear" w:color="auto" w:fill="auto"/>
          </w:tcPr>
          <w:p w14:paraId="5152BF6D" w14:textId="175F11DB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10F3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Table </w:t>
            </w:r>
            <w:r w:rsidR="00FB05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A10F3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Scoring of histopathological findings in renal biopsies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8967AC" w:rsidRPr="000E7374" w14:paraId="619AF679" w14:textId="77777777" w:rsidTr="008967AC">
        <w:trPr>
          <w:trHeight w:val="422"/>
        </w:trPr>
        <w:tc>
          <w:tcPr>
            <w:tcW w:w="3054" w:type="dxa"/>
          </w:tcPr>
          <w:p w14:paraId="3DC62C2D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en-US"/>
              </w:rPr>
            </w:pPr>
          </w:p>
        </w:tc>
        <w:tc>
          <w:tcPr>
            <w:tcW w:w="1023" w:type="dxa"/>
          </w:tcPr>
          <w:p w14:paraId="76999070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998" w:type="dxa"/>
            <w:hideMark/>
          </w:tcPr>
          <w:p w14:paraId="7C470D93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672" w:type="dxa"/>
            <w:hideMark/>
          </w:tcPr>
          <w:p w14:paraId="4CE0A807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Score</w:t>
            </w:r>
          </w:p>
        </w:tc>
      </w:tr>
      <w:tr w:rsidR="008967AC" w:rsidRPr="000E7374" w14:paraId="749AD7A0" w14:textId="77777777" w:rsidTr="008967AC">
        <w:trPr>
          <w:trHeight w:val="856"/>
        </w:trPr>
        <w:tc>
          <w:tcPr>
            <w:tcW w:w="3054" w:type="dxa"/>
            <w:hideMark/>
          </w:tcPr>
          <w:p w14:paraId="10EE694F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Class of glomerular amyloid deposition </w:t>
            </w:r>
          </w:p>
        </w:tc>
        <w:tc>
          <w:tcPr>
            <w:tcW w:w="1023" w:type="dxa"/>
          </w:tcPr>
          <w:p w14:paraId="254ABE03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GAP</w:t>
            </w:r>
          </w:p>
        </w:tc>
        <w:tc>
          <w:tcPr>
            <w:tcW w:w="4998" w:type="dxa"/>
            <w:hideMark/>
          </w:tcPr>
          <w:p w14:paraId="3F68496A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0: absent, 1: hilar, 2: minimal mesangial, 3: focal mesangial, 4: </w:t>
            </w:r>
            <w:proofErr w:type="spellStart"/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mesangiocapillar</w:t>
            </w:r>
            <w:proofErr w:type="spellEnd"/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, 5: membranous, 6: global </w:t>
            </w:r>
            <w:r w:rsidRPr="000E737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sclerotic </w:t>
            </w:r>
          </w:p>
        </w:tc>
        <w:tc>
          <w:tcPr>
            <w:tcW w:w="672" w:type="dxa"/>
            <w:hideMark/>
          </w:tcPr>
          <w:p w14:paraId="1ED5368F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0–6</w:t>
            </w:r>
          </w:p>
        </w:tc>
      </w:tr>
      <w:tr w:rsidR="008967AC" w:rsidRPr="000E7374" w14:paraId="08E25DCB" w14:textId="77777777" w:rsidTr="008967AC">
        <w:trPr>
          <w:trHeight w:val="1289"/>
        </w:trPr>
        <w:tc>
          <w:tcPr>
            <w:tcW w:w="3054" w:type="dxa"/>
            <w:hideMark/>
          </w:tcPr>
          <w:p w14:paraId="734F007F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Percentage of glomerular amyloid deposition </w:t>
            </w:r>
          </w:p>
        </w:tc>
        <w:tc>
          <w:tcPr>
            <w:tcW w:w="1023" w:type="dxa"/>
          </w:tcPr>
          <w:p w14:paraId="38D2ED37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GA%</w:t>
            </w:r>
          </w:p>
        </w:tc>
        <w:tc>
          <w:tcPr>
            <w:tcW w:w="4998" w:type="dxa"/>
            <w:hideMark/>
          </w:tcPr>
          <w:p w14:paraId="0EE3322C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0: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absent</w:t>
            </w: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, 1: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1-10%, 2: 11-25%, 3: 26-50%, 4: 51-75%, 5: 76-100%</w:t>
            </w:r>
          </w:p>
        </w:tc>
        <w:tc>
          <w:tcPr>
            <w:tcW w:w="672" w:type="dxa"/>
            <w:hideMark/>
          </w:tcPr>
          <w:p w14:paraId="3D0877A2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0-5</w:t>
            </w:r>
          </w:p>
        </w:tc>
      </w:tr>
      <w:tr w:rsidR="008967AC" w:rsidRPr="000E7374" w14:paraId="6F048F23" w14:textId="77777777" w:rsidTr="008967AC">
        <w:trPr>
          <w:trHeight w:val="868"/>
        </w:trPr>
        <w:tc>
          <w:tcPr>
            <w:tcW w:w="3054" w:type="dxa"/>
            <w:hideMark/>
          </w:tcPr>
          <w:p w14:paraId="6F34E359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Vascular amyloid deposition </w:t>
            </w:r>
          </w:p>
        </w:tc>
        <w:tc>
          <w:tcPr>
            <w:tcW w:w="1023" w:type="dxa"/>
          </w:tcPr>
          <w:p w14:paraId="5B02CCC9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</w:t>
            </w:r>
          </w:p>
        </w:tc>
        <w:tc>
          <w:tcPr>
            <w:tcW w:w="4998" w:type="dxa"/>
            <w:hideMark/>
          </w:tcPr>
          <w:p w14:paraId="157713D0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0: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absent, </w:t>
            </w: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1: minimal 2: focal, 3: moderate, 4: severe </w:t>
            </w:r>
          </w:p>
        </w:tc>
        <w:tc>
          <w:tcPr>
            <w:tcW w:w="672" w:type="dxa"/>
            <w:hideMark/>
          </w:tcPr>
          <w:p w14:paraId="143FCF68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0-4</w:t>
            </w:r>
          </w:p>
        </w:tc>
      </w:tr>
      <w:tr w:rsidR="008967AC" w:rsidRPr="000E7374" w14:paraId="71E1F2EF" w14:textId="77777777" w:rsidTr="008967AC">
        <w:trPr>
          <w:trHeight w:val="856"/>
        </w:trPr>
        <w:tc>
          <w:tcPr>
            <w:tcW w:w="3054" w:type="dxa"/>
            <w:hideMark/>
          </w:tcPr>
          <w:p w14:paraId="1CF42110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Interstitial amyloid deposition </w:t>
            </w:r>
          </w:p>
        </w:tc>
        <w:tc>
          <w:tcPr>
            <w:tcW w:w="1023" w:type="dxa"/>
          </w:tcPr>
          <w:p w14:paraId="5CA5134A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IA</w:t>
            </w:r>
          </w:p>
        </w:tc>
        <w:tc>
          <w:tcPr>
            <w:tcW w:w="4998" w:type="dxa"/>
            <w:shd w:val="clear" w:color="auto" w:fill="auto"/>
            <w:hideMark/>
          </w:tcPr>
          <w:p w14:paraId="43E1EBBA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0: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absent</w:t>
            </w: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>, 1: minimal 2: focal, 3: moderate, 4: severe</w:t>
            </w:r>
          </w:p>
        </w:tc>
        <w:tc>
          <w:tcPr>
            <w:tcW w:w="672" w:type="dxa"/>
            <w:hideMark/>
          </w:tcPr>
          <w:p w14:paraId="4D1D2359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0-4</w:t>
            </w:r>
          </w:p>
        </w:tc>
      </w:tr>
      <w:tr w:rsidR="008967AC" w:rsidRPr="000E7374" w14:paraId="673460FE" w14:textId="77777777" w:rsidTr="008967AC">
        <w:trPr>
          <w:trHeight w:val="856"/>
        </w:trPr>
        <w:tc>
          <w:tcPr>
            <w:tcW w:w="3054" w:type="dxa"/>
            <w:hideMark/>
          </w:tcPr>
          <w:p w14:paraId="0431A05B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Interstitial fibrosis and tubular atrophy </w:t>
            </w:r>
          </w:p>
        </w:tc>
        <w:tc>
          <w:tcPr>
            <w:tcW w:w="1023" w:type="dxa"/>
          </w:tcPr>
          <w:p w14:paraId="7EE17B54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Ifib</w:t>
            </w:r>
            <w:proofErr w:type="spellEnd"/>
          </w:p>
        </w:tc>
        <w:tc>
          <w:tcPr>
            <w:tcW w:w="4998" w:type="dxa"/>
            <w:shd w:val="clear" w:color="auto" w:fill="auto"/>
            <w:hideMark/>
          </w:tcPr>
          <w:p w14:paraId="2B452F2B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0: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absent</w:t>
            </w: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, 1: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1-10%, 2: 11-25%, 3: 26-50%, 4: 51-100%</w:t>
            </w:r>
          </w:p>
        </w:tc>
        <w:tc>
          <w:tcPr>
            <w:tcW w:w="672" w:type="dxa"/>
            <w:hideMark/>
          </w:tcPr>
          <w:p w14:paraId="182F3C98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0-4</w:t>
            </w:r>
          </w:p>
        </w:tc>
      </w:tr>
      <w:tr w:rsidR="008967AC" w:rsidRPr="000E7374" w14:paraId="4FDDDBF4" w14:textId="77777777" w:rsidTr="008967AC">
        <w:trPr>
          <w:trHeight w:val="942"/>
        </w:trPr>
        <w:tc>
          <w:tcPr>
            <w:tcW w:w="3054" w:type="dxa"/>
            <w:hideMark/>
          </w:tcPr>
          <w:p w14:paraId="5F79DEF1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Interstitial inflammatory infiltration </w:t>
            </w:r>
          </w:p>
        </w:tc>
        <w:tc>
          <w:tcPr>
            <w:tcW w:w="1023" w:type="dxa"/>
          </w:tcPr>
          <w:p w14:paraId="616AA841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Iinf</w:t>
            </w:r>
            <w:proofErr w:type="spellEnd"/>
          </w:p>
        </w:tc>
        <w:tc>
          <w:tcPr>
            <w:tcW w:w="4998" w:type="dxa"/>
            <w:shd w:val="clear" w:color="auto" w:fill="auto"/>
            <w:hideMark/>
          </w:tcPr>
          <w:p w14:paraId="53C5A43F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0: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absent</w:t>
            </w: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, 1: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1-10%, 2: 11-25%, 3: 26-50%, 4: 51-100%</w:t>
            </w:r>
          </w:p>
        </w:tc>
        <w:tc>
          <w:tcPr>
            <w:tcW w:w="672" w:type="dxa"/>
            <w:hideMark/>
          </w:tcPr>
          <w:p w14:paraId="603AEE89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0-4</w:t>
            </w:r>
          </w:p>
        </w:tc>
      </w:tr>
      <w:tr w:rsidR="008967AC" w:rsidRPr="000E7374" w14:paraId="47464913" w14:textId="77777777" w:rsidTr="008967AC">
        <w:trPr>
          <w:trHeight w:val="422"/>
        </w:trPr>
        <w:tc>
          <w:tcPr>
            <w:tcW w:w="3054" w:type="dxa"/>
            <w:hideMark/>
          </w:tcPr>
          <w:p w14:paraId="0D4C05D9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Glomerular sclerosis </w:t>
            </w:r>
          </w:p>
        </w:tc>
        <w:tc>
          <w:tcPr>
            <w:tcW w:w="1023" w:type="dxa"/>
          </w:tcPr>
          <w:p w14:paraId="38890004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GS</w:t>
            </w:r>
          </w:p>
        </w:tc>
        <w:tc>
          <w:tcPr>
            <w:tcW w:w="4998" w:type="dxa"/>
            <w:shd w:val="clear" w:color="auto" w:fill="auto"/>
            <w:hideMark/>
          </w:tcPr>
          <w:p w14:paraId="7AD27D67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0: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absent</w:t>
            </w:r>
            <w:r w:rsidRPr="000E7374">
              <w:rPr>
                <w:rFonts w:ascii="Times New Roman" w:eastAsia="MinionPro-Regular" w:hAnsi="Times New Roman" w:cs="Times New Roman"/>
                <w:sz w:val="20"/>
                <w:szCs w:val="20"/>
                <w:lang w:val="en-US"/>
              </w:rPr>
              <w:t xml:space="preserve">, 1: </w:t>
            </w: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1-10%, 2: 11-25%, 3: 26-50%, 4: 51-100%</w:t>
            </w:r>
          </w:p>
        </w:tc>
        <w:tc>
          <w:tcPr>
            <w:tcW w:w="672" w:type="dxa"/>
            <w:hideMark/>
          </w:tcPr>
          <w:p w14:paraId="7821E475" w14:textId="77777777" w:rsidR="005F773A" w:rsidRPr="000E7374" w:rsidRDefault="005F773A" w:rsidP="008D3B45">
            <w:pPr>
              <w:autoSpaceDE w:val="0"/>
              <w:autoSpaceDN w:val="0"/>
              <w:adjustRightInd w:val="0"/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</w:pPr>
            <w:r w:rsidRPr="000E7374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0-4</w:t>
            </w:r>
          </w:p>
        </w:tc>
      </w:tr>
    </w:tbl>
    <w:p w14:paraId="6E6E3F62" w14:textId="77777777" w:rsidR="005F773A" w:rsidRDefault="005F773A" w:rsidP="005F773A">
      <w:pPr>
        <w:spacing w:after="0" w:line="480" w:lineRule="auto"/>
        <w:textAlignment w:val="baseline"/>
        <w:rPr>
          <w:rFonts w:ascii="Times New Roman" w:hAnsi="Times New Roman" w:cs="Times New Roman"/>
          <w:sz w:val="24"/>
          <w:szCs w:val="24"/>
          <w:lang w:val="en-US"/>
        </w:rPr>
      </w:pPr>
    </w:p>
    <w:p w14:paraId="7875B24B" w14:textId="77777777" w:rsidR="005F773A" w:rsidRDefault="005F773A" w:rsidP="005F773A">
      <w:pPr>
        <w:spacing w:after="0" w:line="480" w:lineRule="auto"/>
        <w:textAlignment w:val="baseline"/>
        <w:rPr>
          <w:rFonts w:ascii="Times New Roman" w:hAnsi="Times New Roman" w:cs="Times New Roman"/>
          <w:sz w:val="24"/>
          <w:szCs w:val="24"/>
          <w:lang w:val="en-US"/>
        </w:rPr>
      </w:pPr>
    </w:p>
    <w:p w14:paraId="5645D4F1" w14:textId="77777777" w:rsidR="005F773A" w:rsidRDefault="005F773A" w:rsidP="005F773A">
      <w:pPr>
        <w:spacing w:after="0" w:line="480" w:lineRule="auto"/>
        <w:textAlignment w:val="baseline"/>
        <w:rPr>
          <w:rFonts w:ascii="Times New Roman" w:hAnsi="Times New Roman" w:cs="Times New Roman"/>
          <w:sz w:val="24"/>
          <w:szCs w:val="24"/>
          <w:lang w:val="en-US"/>
        </w:rPr>
      </w:pPr>
    </w:p>
    <w:p w14:paraId="0DA3A3B0" w14:textId="77777777" w:rsidR="005F773A" w:rsidRDefault="005F773A" w:rsidP="005F773A">
      <w:pPr>
        <w:spacing w:after="0" w:line="480" w:lineRule="auto"/>
        <w:textAlignment w:val="baseline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696"/>
        <w:gridCol w:w="3119"/>
        <w:gridCol w:w="4247"/>
      </w:tblGrid>
      <w:tr w:rsidR="005F773A" w:rsidRPr="00CA1279" w14:paraId="68BE817C" w14:textId="77777777" w:rsidTr="008D3B45">
        <w:tc>
          <w:tcPr>
            <w:tcW w:w="9062" w:type="dxa"/>
            <w:gridSpan w:val="3"/>
          </w:tcPr>
          <w:p w14:paraId="59CB5667" w14:textId="14E103E5" w:rsidR="005F773A" w:rsidRPr="00CA1279" w:rsidRDefault="005F773A" w:rsidP="008D3B45">
            <w:pPr>
              <w:spacing w:line="480" w:lineRule="auto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10F3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Table </w:t>
            </w:r>
            <w:r w:rsidR="00FB059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A10F3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Renal Amyloid Prognostic Score (RAPS) and grade</w:t>
            </w: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5F773A" w:rsidRPr="00CA1279" w14:paraId="072B822C" w14:textId="77777777" w:rsidTr="008D3B45">
        <w:tc>
          <w:tcPr>
            <w:tcW w:w="1696" w:type="dxa"/>
          </w:tcPr>
          <w:p w14:paraId="6F7A6A9B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Grade</w:t>
            </w:r>
          </w:p>
        </w:tc>
        <w:tc>
          <w:tcPr>
            <w:tcW w:w="3119" w:type="dxa"/>
          </w:tcPr>
          <w:p w14:paraId="4658A01D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4247" w:type="dxa"/>
          </w:tcPr>
          <w:p w14:paraId="51035047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RAPS (</w:t>
            </w:r>
            <w:r w:rsidRPr="00CA1279">
              <w:rPr>
                <w:rFonts w:ascii="Arial" w:hAnsi="Arial" w:cs="Arial"/>
                <w:sz w:val="20"/>
                <w:szCs w:val="20"/>
                <w:bdr w:val="none" w:sz="0" w:space="0" w:color="auto" w:frame="1"/>
                <w:shd w:val="clear" w:color="auto" w:fill="FFFFFF"/>
              </w:rPr>
              <w:t>GAP+GA%+</w:t>
            </w:r>
            <w:proofErr w:type="spellStart"/>
            <w:r w:rsidRPr="00CA1279">
              <w:rPr>
                <w:rFonts w:ascii="Arial" w:hAnsi="Arial" w:cs="Arial"/>
                <w:sz w:val="20"/>
                <w:szCs w:val="20"/>
                <w:bdr w:val="none" w:sz="0" w:space="0" w:color="auto" w:frame="1"/>
                <w:shd w:val="clear" w:color="auto" w:fill="FFFFFF"/>
              </w:rPr>
              <w:t>VA+IA+Ifib+Iinf+GS</w:t>
            </w:r>
            <w:proofErr w:type="spellEnd"/>
            <w:r w:rsidRPr="00CA1279">
              <w:rPr>
                <w:rFonts w:ascii="Arial" w:hAnsi="Arial" w:cs="Arial"/>
                <w:sz w:val="20"/>
                <w:szCs w:val="20"/>
                <w:bdr w:val="none" w:sz="0" w:space="0" w:color="auto" w:frame="1"/>
                <w:shd w:val="clear" w:color="auto" w:fill="FFFFFF"/>
              </w:rPr>
              <w:t>)</w:t>
            </w:r>
          </w:p>
        </w:tc>
      </w:tr>
      <w:tr w:rsidR="005F773A" w:rsidRPr="00CA1279" w14:paraId="3FFE6680" w14:textId="77777777" w:rsidTr="008D3B45">
        <w:tc>
          <w:tcPr>
            <w:tcW w:w="1696" w:type="dxa"/>
          </w:tcPr>
          <w:p w14:paraId="2B2D8550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3119" w:type="dxa"/>
          </w:tcPr>
          <w:p w14:paraId="0C6011CD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Early renal amyloidosis</w:t>
            </w:r>
          </w:p>
        </w:tc>
        <w:tc>
          <w:tcPr>
            <w:tcW w:w="4247" w:type="dxa"/>
          </w:tcPr>
          <w:p w14:paraId="5C97A0BD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1-7</w:t>
            </w:r>
          </w:p>
        </w:tc>
      </w:tr>
      <w:tr w:rsidR="005F773A" w:rsidRPr="00CA1279" w14:paraId="7BBC303C" w14:textId="77777777" w:rsidTr="008D3B45">
        <w:tc>
          <w:tcPr>
            <w:tcW w:w="1696" w:type="dxa"/>
          </w:tcPr>
          <w:p w14:paraId="1DAF0F4C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</w:tc>
        <w:tc>
          <w:tcPr>
            <w:tcW w:w="3119" w:type="dxa"/>
          </w:tcPr>
          <w:p w14:paraId="5FEAA56F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Late renal amyloidosis</w:t>
            </w:r>
          </w:p>
        </w:tc>
        <w:tc>
          <w:tcPr>
            <w:tcW w:w="4247" w:type="dxa"/>
          </w:tcPr>
          <w:p w14:paraId="47D97076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8-15</w:t>
            </w:r>
          </w:p>
        </w:tc>
      </w:tr>
      <w:tr w:rsidR="005F773A" w:rsidRPr="00CA1279" w14:paraId="4A39A688" w14:textId="77777777" w:rsidTr="008D3B45">
        <w:tc>
          <w:tcPr>
            <w:tcW w:w="1696" w:type="dxa"/>
          </w:tcPr>
          <w:p w14:paraId="7D937809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</w:p>
        </w:tc>
        <w:tc>
          <w:tcPr>
            <w:tcW w:w="3119" w:type="dxa"/>
          </w:tcPr>
          <w:p w14:paraId="1D70F66B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Advanced renal amyloidosis</w:t>
            </w:r>
          </w:p>
        </w:tc>
        <w:tc>
          <w:tcPr>
            <w:tcW w:w="4247" w:type="dxa"/>
          </w:tcPr>
          <w:p w14:paraId="11AA382C" w14:textId="77777777" w:rsidR="005F773A" w:rsidRPr="00CA1279" w:rsidRDefault="005F773A" w:rsidP="008D3B45">
            <w:pPr>
              <w:spacing w:line="480" w:lineRule="auto"/>
              <w:jc w:val="center"/>
              <w:textAlignment w:val="baseline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A127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 or higher</w:t>
            </w:r>
          </w:p>
        </w:tc>
      </w:tr>
    </w:tbl>
    <w:p w14:paraId="20B6923D" w14:textId="77777777" w:rsidR="005F773A" w:rsidRPr="00CA1279" w:rsidRDefault="005F773A" w:rsidP="005F773A">
      <w:pPr>
        <w:spacing w:after="0" w:line="480" w:lineRule="auto"/>
        <w:textAlignment w:val="baseline"/>
        <w:rPr>
          <w:rFonts w:ascii="Times New Roman" w:hAnsi="Times New Roman" w:cs="Times New Roman"/>
          <w:sz w:val="20"/>
          <w:szCs w:val="20"/>
          <w:lang w:val="en-US"/>
        </w:rPr>
      </w:pPr>
    </w:p>
    <w:p w14:paraId="1714F80B" w14:textId="77777777" w:rsidR="005F773A" w:rsidRDefault="005F773A" w:rsidP="005F773A">
      <w:pPr>
        <w:spacing w:after="0" w:line="480" w:lineRule="auto"/>
        <w:textAlignment w:val="baseline"/>
        <w:rPr>
          <w:rFonts w:ascii="Times New Roman" w:hAnsi="Times New Roman" w:cs="Times New Roman"/>
          <w:sz w:val="24"/>
          <w:szCs w:val="24"/>
          <w:lang w:val="en-US"/>
        </w:rPr>
      </w:pPr>
    </w:p>
    <w:p w14:paraId="7EF66278" w14:textId="77777777" w:rsidR="008862F9" w:rsidRDefault="008862F9"/>
    <w:sectPr w:rsidR="008862F9" w:rsidSect="008862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2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A2"/>
    <w:family w:val="roman"/>
    <w:pitch w:val="variable"/>
    <w:sig w:usb0="20002A87" w:usb1="80000000" w:usb2="00000008" w:usb3="00000000" w:csb0="000001F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2C4474"/>
    <w:rsid w:val="002C4474"/>
    <w:rsid w:val="003C47CA"/>
    <w:rsid w:val="005F773A"/>
    <w:rsid w:val="008862F9"/>
    <w:rsid w:val="008967AC"/>
    <w:rsid w:val="00FB0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188F2"/>
  <w15:chartTrackingRefBased/>
  <w15:docId w15:val="{7FFA1666-7A0D-48A4-BD46-341F93AE1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73A"/>
    <w:rPr>
      <w:rFonts w:eastAsiaTheme="minorEastAsia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5F773A"/>
    <w:pPr>
      <w:spacing w:after="0" w:line="240" w:lineRule="auto"/>
    </w:pPr>
    <w:rPr>
      <w:rFonts w:eastAsiaTheme="minorEastAsia"/>
      <w:lang w:eastAsia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C1AA2-8831-4E35-B3E6-63979DE81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161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Aygul Celtik</dc:creator>
  <cp:keywords/>
  <dc:description/>
  <cp:lastModifiedBy>Aygul Celtik</cp:lastModifiedBy>
  <cp:revision>4</cp:revision>
  <dcterms:created xsi:type="dcterms:W3CDTF">2021-01-23T13:04:00Z</dcterms:created>
  <dcterms:modified xsi:type="dcterms:W3CDTF">2021-01-23T13:07:00Z</dcterms:modified>
</cp:coreProperties>
</file>