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LineNumbers/>
        <w:snapToGrid w:val="0"/>
        <w:spacing w:before="156" w:beforeLines="50" w:after="156" w:afterLines="50"/>
        <w:ind w:firstLine="400" w:firstLineChars="200"/>
        <w:jc w:val="center"/>
        <w:rPr>
          <w:rFonts w:cs="Times New Roman"/>
          <w:b/>
          <w:color w:val="000000"/>
          <w:kern w:val="0"/>
          <w:sz w:val="20"/>
          <w:szCs w:val="20"/>
          <w:lang w:bidi="ar"/>
        </w:rPr>
      </w:pPr>
      <w:r>
        <w:rPr>
          <w:rFonts w:hint="eastAsia" w:eastAsia="Arial Unicode MS" w:cs="Times New Roman"/>
          <w:b/>
          <w:bCs/>
          <w:color w:val="000000"/>
          <w:kern w:val="0"/>
          <w:sz w:val="20"/>
          <w:szCs w:val="20"/>
          <w:lang w:bidi="ar"/>
        </w:rPr>
        <w:t>S-</w:t>
      </w:r>
      <w:r>
        <w:rPr>
          <w:rFonts w:eastAsia="Arial Unicode MS" w:cs="Times New Roman"/>
          <w:b/>
          <w:bCs/>
          <w:color w:val="000000"/>
          <w:kern w:val="0"/>
          <w:sz w:val="20"/>
          <w:szCs w:val="20"/>
          <w:lang w:bidi="ar"/>
        </w:rPr>
        <w:t xml:space="preserve">Table </w:t>
      </w:r>
      <w:r>
        <w:rPr>
          <w:rFonts w:hint="eastAsia" w:eastAsia="Arial Unicode MS" w:cs="Times New Roman"/>
          <w:b/>
          <w:bCs/>
          <w:color w:val="000000"/>
          <w:kern w:val="0"/>
          <w:sz w:val="20"/>
          <w:szCs w:val="20"/>
          <w:lang w:bidi="ar"/>
        </w:rPr>
        <w:t>1</w:t>
      </w:r>
      <w:r>
        <w:rPr>
          <w:rFonts w:eastAsia="Arial Unicode MS" w:cs="Times New Roman"/>
          <w:b/>
          <w:bCs/>
          <w:color w:val="000000"/>
          <w:kern w:val="0"/>
          <w:sz w:val="20"/>
          <w:szCs w:val="20"/>
          <w:lang w:bidi="ar"/>
        </w:rPr>
        <w:t xml:space="preserve">. </w:t>
      </w:r>
      <w:r>
        <w:rPr>
          <w:rFonts w:eastAsia="Arial Unicode MS" w:cs="Times New Roman"/>
          <w:b/>
          <w:color w:val="000000"/>
          <w:kern w:val="0"/>
          <w:sz w:val="20"/>
          <w:szCs w:val="20"/>
          <w:lang w:bidi="ar"/>
        </w:rPr>
        <w:t>Primer sequences for real-time PCR</w:t>
      </w:r>
    </w:p>
    <w:tbl>
      <w:tblPr>
        <w:tblStyle w:val="3"/>
        <w:tblpPr w:leftFromText="180" w:rightFromText="180" w:vertAnchor="text" w:horzAnchor="page" w:tblpX="1856" w:tblpY="95"/>
        <w:tblOverlap w:val="never"/>
        <w:tblW w:w="4998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1"/>
        <w:gridCol w:w="2662"/>
        <w:gridCol w:w="3172"/>
        <w:gridCol w:w="668"/>
        <w:gridCol w:w="10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Gene Name</w:t>
            </w:r>
          </w:p>
        </w:tc>
        <w:tc>
          <w:tcPr>
            <w:tcW w:w="1597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Upstream (5′-3′)</w:t>
            </w:r>
          </w:p>
        </w:tc>
        <w:tc>
          <w:tcPr>
            <w:tcW w:w="1903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Downstream (5′-3′)</w:t>
            </w:r>
          </w:p>
        </w:tc>
        <w:tc>
          <w:tcPr>
            <w:tcW w:w="40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Product size (bp)</w:t>
            </w:r>
          </w:p>
        </w:tc>
        <w:tc>
          <w:tcPr>
            <w:tcW w:w="618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Accession number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i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color w:val="000000"/>
                <w:kern w:val="0"/>
                <w:sz w:val="18"/>
                <w:szCs w:val="18"/>
                <w:lang w:bidi="ar"/>
              </w:rPr>
              <w:t>FAS</w:t>
            </w:r>
          </w:p>
        </w:tc>
        <w:tc>
          <w:tcPr>
            <w:tcW w:w="1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TGCCTCCGAGAACCCTAA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AAGACCACTGCCACTCCA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109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EU770327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i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SREBP-1</w:t>
            </w:r>
          </w:p>
        </w:tc>
        <w:tc>
          <w:tcPr>
            <w:tcW w:w="1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CGAGTACATCCGCTTCCTGC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TGAGGGACTTGCTCTTCTGC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92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EU333990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i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ACCα</w:t>
            </w:r>
          </w:p>
        </w:tc>
        <w:tc>
          <w:tcPr>
            <w:tcW w:w="1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TGCCTCCGAGAACCCTAA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AAGACCACTGCCACTCCA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163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EF990142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i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color w:val="000000"/>
                <w:kern w:val="0"/>
                <w:sz w:val="18"/>
                <w:szCs w:val="18"/>
                <w:lang w:bidi="ar"/>
              </w:rPr>
              <w:t>CPT1</w:t>
            </w:r>
          </w:p>
        </w:tc>
        <w:tc>
          <w:tcPr>
            <w:tcW w:w="1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GTCTCCAAGGCTCCGACAA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GAAGACCCGAATGAAAGTA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193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GW342986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i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ACOX1</w:t>
            </w:r>
          </w:p>
        </w:tc>
        <w:tc>
          <w:tcPr>
            <w:tcW w:w="1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ACAGAAAGAGCAAGGAGGAT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GCACGAGGTCAACAGAAGT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51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KC424582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i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PPARα</w:t>
            </w:r>
          </w:p>
        </w:tc>
        <w:tc>
          <w:tcPr>
            <w:tcW w:w="1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ATCTATCCCTGGCTTCTCCA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AGCATCCCATCCTTGTTCATT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117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AF481797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i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PPARγ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CCTCCTTCCCCACCCTATT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CTTGTCCCCACACACACGA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108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AF481798.1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i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ApoB</w:t>
            </w:r>
          </w:p>
        </w:tc>
        <w:tc>
          <w:tcPr>
            <w:tcW w:w="1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CTCAAGCCAACGAAGAAG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AAGCAAGTCAAGGCAAAA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153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GW342984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i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MTP</w:t>
            </w:r>
          </w:p>
        </w:tc>
        <w:tc>
          <w:tcPr>
            <w:tcW w:w="1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CCCGATGAAGGAGAGGAA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AAAATGTAACTGGCCTGAGT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85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GO240734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i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color w:val="000000"/>
                <w:kern w:val="0"/>
                <w:sz w:val="18"/>
                <w:szCs w:val="18"/>
                <w:lang w:bidi="ar"/>
              </w:rPr>
              <w:t>DGAT1</w:t>
            </w:r>
          </w:p>
        </w:tc>
        <w:tc>
          <w:tcPr>
            <w:tcW w:w="1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CCTGAGGAACTTGGACACG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CAGGGACTGGTGGAACTCG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256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uppressLineNumbers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GW342946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1" w:type="pct"/>
            <w:tcBorders>
              <w:bottom w:val="nil"/>
            </w:tcBorders>
            <w:shd w:val="clear" w:color="auto" w:fill="auto"/>
            <w:vAlign w:val="center"/>
          </w:tcPr>
          <w:p>
            <w:pPr>
              <w:suppressLineNumbers/>
              <w:autoSpaceDE w:val="0"/>
              <w:autoSpaceDN w:val="0"/>
              <w:adjustRightInd w:val="0"/>
              <w:jc w:val="center"/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</w:rPr>
              <w:t>β-actin</w:t>
            </w:r>
          </w:p>
        </w:tc>
        <w:tc>
          <w:tcPr>
            <w:tcW w:w="1597" w:type="pct"/>
            <w:tcBorders>
              <w:bottom w:val="nil"/>
            </w:tcBorders>
            <w:shd w:val="clear" w:color="auto" w:fill="auto"/>
            <w:vAlign w:val="center"/>
          </w:tcPr>
          <w:p>
            <w:pPr>
              <w:suppressLineNumbers/>
              <w:autoSpaceDE w:val="0"/>
              <w:autoSpaceDN w:val="0"/>
              <w:adjustRightInd w:val="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CAACGAGCGGTTCAGGTGT</w:t>
            </w:r>
          </w:p>
        </w:tc>
        <w:tc>
          <w:tcPr>
            <w:tcW w:w="1903" w:type="pct"/>
            <w:tcBorders>
              <w:bottom w:val="nil"/>
            </w:tcBorders>
            <w:shd w:val="clear" w:color="auto" w:fill="auto"/>
            <w:vAlign w:val="center"/>
          </w:tcPr>
          <w:p>
            <w:pPr>
              <w:suppressLineNumbers/>
              <w:autoSpaceDE w:val="0"/>
              <w:autoSpaceDN w:val="0"/>
              <w:adjustRightInd w:val="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TGGAGTTGAAGGTGGTCTCG</w:t>
            </w:r>
          </w:p>
        </w:tc>
        <w:tc>
          <w:tcPr>
            <w:tcW w:w="401" w:type="pct"/>
            <w:tcBorders>
              <w:bottom w:val="nil"/>
            </w:tcBorders>
            <w:shd w:val="clear" w:color="auto" w:fill="auto"/>
            <w:vAlign w:val="center"/>
          </w:tcPr>
          <w:p>
            <w:pPr>
              <w:suppressLineNumbers/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618" w:type="pct"/>
            <w:tcBorders>
              <w:bottom w:val="nil"/>
            </w:tcBorders>
            <w:shd w:val="clear" w:color="auto" w:fill="auto"/>
            <w:vAlign w:val="center"/>
          </w:tcPr>
          <w:p>
            <w:pPr>
              <w:suppressLineNumbers/>
              <w:autoSpaceDE w:val="0"/>
              <w:autoSpaceDN w:val="0"/>
              <w:adjustRightInd w:val="0"/>
              <w:jc w:val="left"/>
              <w:rPr>
                <w:rFonts w:eastAsia="ComputerModern-Regular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M26111.1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suppressLineNumbers/>
              <w:autoSpaceDE w:val="0"/>
              <w:autoSpaceDN w:val="0"/>
              <w:adjustRightInd w:val="0"/>
              <w:jc w:val="center"/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</w:rPr>
              <w:t>18S</w:t>
            </w:r>
          </w:p>
        </w:tc>
        <w:tc>
          <w:tcPr>
            <w:tcW w:w="1597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suppressLineNumbers/>
              <w:autoSpaceDE w:val="0"/>
              <w:autoSpaceDN w:val="0"/>
              <w:adjustRightInd w:val="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TTGGTGGAGCGATTTGTC</w:t>
            </w:r>
          </w:p>
        </w:tc>
        <w:tc>
          <w:tcPr>
            <w:tcW w:w="190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suppressLineNumbers/>
              <w:autoSpaceDE w:val="0"/>
              <w:autoSpaceDN w:val="0"/>
              <w:adjustRightInd w:val="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ATCTCGGGTGGCTGAACG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suppressLineNumbers/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61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suppressLineNumbers/>
              <w:autoSpaceDE w:val="0"/>
              <w:autoSpaceDN w:val="0"/>
              <w:adjustRightInd w:val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L21170.1</w:t>
            </w:r>
          </w:p>
        </w:tc>
      </w:tr>
    </w:tbl>
    <w:p>
      <w:pPr>
        <w:suppressLineNumbers/>
        <w:rPr>
          <w:rFonts w:cs="Times New Roman"/>
        </w:rPr>
      </w:pPr>
      <w:r>
        <w:rPr>
          <w:rFonts w:cs="Times New Roman"/>
          <w:color w:val="000000"/>
          <w:sz w:val="18"/>
          <w:szCs w:val="18"/>
        </w:rPr>
        <w:t>Note:</w:t>
      </w:r>
      <w:r>
        <w:rPr>
          <w:rFonts w:cs="Times New Roman"/>
          <w:sz w:val="18"/>
          <w:szCs w:val="18"/>
          <w:lang w:bidi="ar"/>
        </w:rPr>
        <w:t xml:space="preserve"> FAS = fatty acid synthetase; SREBP-1 = sterol regulatory element-binding proteins-1; ACCα = acetyl-CoA carboxylase; CPT1 = carnitine palmitoyltransferase; ACOX1 = acyl-CoA oxidase 1; PPARα = peroxisome proliferators-activated receptor-α; ApoB = apolipoprotein B; MTP = microsomal triglyceride transfer protein; DGAT1 = diacylglycerol acyltransferase-1; </w:t>
      </w:r>
    </w:p>
    <w:p/>
    <w:p/>
    <w:p>
      <w:pPr>
        <w:rPr>
          <w:rFonts w:hint="eastAsia"/>
        </w:rPr>
      </w:pPr>
    </w:p>
    <w:p>
      <w:pPr>
        <w:jc w:val="center"/>
        <w:rPr>
          <w:rFonts w:eastAsia="Arial Unicode MS" w:cs="Times New Roman"/>
          <w:color w:val="000000"/>
          <w:kern w:val="0"/>
          <w:sz w:val="18"/>
          <w:szCs w:val="18"/>
        </w:rPr>
      </w:pPr>
      <w:r>
        <w:rPr>
          <w:rFonts w:hint="eastAsia" w:eastAsia="Arial Unicode MS" w:cs="Times New Roman"/>
          <w:b/>
          <w:bCs/>
          <w:color w:val="000000"/>
          <w:kern w:val="0"/>
          <w:sz w:val="18"/>
          <w:szCs w:val="18"/>
        </w:rPr>
        <w:t xml:space="preserve">S-Table 2. </w:t>
      </w:r>
      <w:r>
        <w:rPr>
          <w:rFonts w:hint="eastAsia" w:eastAsia="Arial Unicode MS" w:cs="Times New Roman"/>
          <w:color w:val="000000"/>
          <w:kern w:val="0"/>
          <w:sz w:val="18"/>
          <w:szCs w:val="18"/>
        </w:rPr>
        <w:t>Antibody information</w:t>
      </w:r>
    </w:p>
    <w:tbl>
      <w:tblPr>
        <w:tblStyle w:val="3"/>
        <w:tblW w:w="4998" w:type="pct"/>
        <w:tblInd w:w="93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2620"/>
        <w:gridCol w:w="1300"/>
        <w:gridCol w:w="1047"/>
        <w:gridCol w:w="227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53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212121"/>
                <w:sz w:val="18"/>
                <w:szCs w:val="18"/>
              </w:rPr>
            </w:pPr>
            <w:r>
              <w:rPr>
                <w:rFonts w:cs="Times New Roman"/>
                <w:color w:val="212121"/>
                <w:kern w:val="0"/>
                <w:sz w:val="18"/>
                <w:szCs w:val="18"/>
              </w:rPr>
              <w:t xml:space="preserve">Reagent type </w:t>
            </w:r>
          </w:p>
        </w:tc>
        <w:tc>
          <w:tcPr>
            <w:tcW w:w="157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212121"/>
                <w:sz w:val="18"/>
                <w:szCs w:val="18"/>
              </w:rPr>
            </w:pPr>
            <w:r>
              <w:rPr>
                <w:rFonts w:cs="Times New Roman"/>
                <w:color w:val="212121"/>
                <w:kern w:val="0"/>
                <w:sz w:val="18"/>
                <w:szCs w:val="18"/>
              </w:rPr>
              <w:t>Designation</w:t>
            </w:r>
          </w:p>
        </w:tc>
        <w:tc>
          <w:tcPr>
            <w:tcW w:w="780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212121"/>
                <w:sz w:val="18"/>
                <w:szCs w:val="18"/>
              </w:rPr>
            </w:pPr>
            <w:r>
              <w:rPr>
                <w:rFonts w:cs="Times New Roman"/>
                <w:color w:val="212121"/>
                <w:kern w:val="0"/>
                <w:sz w:val="18"/>
                <w:szCs w:val="18"/>
              </w:rPr>
              <w:t>Source or reference</w:t>
            </w:r>
          </w:p>
        </w:tc>
        <w:tc>
          <w:tcPr>
            <w:tcW w:w="628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212121"/>
                <w:sz w:val="18"/>
                <w:szCs w:val="18"/>
              </w:rPr>
            </w:pPr>
            <w:r>
              <w:rPr>
                <w:rFonts w:cs="Times New Roman"/>
                <w:color w:val="212121"/>
                <w:kern w:val="0"/>
                <w:sz w:val="18"/>
                <w:szCs w:val="18"/>
              </w:rPr>
              <w:t>Identifiers</w:t>
            </w:r>
          </w:p>
        </w:tc>
        <w:tc>
          <w:tcPr>
            <w:tcW w:w="1367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212121"/>
                <w:sz w:val="18"/>
                <w:szCs w:val="18"/>
              </w:rPr>
            </w:pPr>
            <w:r>
              <w:rPr>
                <w:rFonts w:cs="Times New Roman"/>
                <w:color w:val="212121"/>
                <w:kern w:val="0"/>
                <w:sz w:val="18"/>
                <w:szCs w:val="18"/>
              </w:rPr>
              <w:t>Additional information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653" w:type="pct"/>
            <w:tcBorders>
              <w:top w:val="single" w:color="auto" w:sz="12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212121"/>
                <w:sz w:val="18"/>
                <w:szCs w:val="18"/>
              </w:rPr>
            </w:pPr>
            <w:r>
              <w:rPr>
                <w:rFonts w:cs="Times New Roman"/>
                <w:color w:val="212121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572" w:type="pct"/>
            <w:tcBorders>
              <w:top w:val="single" w:color="auto" w:sz="12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Times New Roman"/>
                <w:color w:val="212121"/>
                <w:kern w:val="0"/>
                <w:sz w:val="18"/>
                <w:szCs w:val="18"/>
              </w:rPr>
            </w:pPr>
            <w:r>
              <w:rPr>
                <w:rFonts w:cs="Times New Roman"/>
                <w:color w:val="212121"/>
                <w:kern w:val="0"/>
                <w:sz w:val="18"/>
                <w:szCs w:val="18"/>
              </w:rPr>
              <w:t>Anti-</w:t>
            </w:r>
            <w:r>
              <w:rPr>
                <w:rFonts w:hint="eastAsia" w:cs="Times New Roman"/>
                <w:color w:val="212121"/>
                <w:kern w:val="0"/>
                <w:sz w:val="18"/>
                <w:szCs w:val="18"/>
              </w:rPr>
              <w:t>SREBP1</w:t>
            </w:r>
            <w:r>
              <w:rPr>
                <w:rFonts w:cs="Times New Roman"/>
                <w:color w:val="212121"/>
                <w:kern w:val="0"/>
                <w:sz w:val="18"/>
                <w:szCs w:val="18"/>
              </w:rPr>
              <w:t xml:space="preserve">  </w:t>
            </w:r>
          </w:p>
          <w:p>
            <w:pPr>
              <w:widowControl/>
              <w:jc w:val="center"/>
              <w:textAlignment w:val="center"/>
              <w:rPr>
                <w:rFonts w:cs="Times New Roman"/>
                <w:color w:val="212121"/>
                <w:sz w:val="18"/>
                <w:szCs w:val="18"/>
              </w:rPr>
            </w:pPr>
            <w:r>
              <w:rPr>
                <w:rFonts w:cs="Times New Roman"/>
                <w:color w:val="212121"/>
                <w:kern w:val="0"/>
                <w:sz w:val="18"/>
                <w:szCs w:val="18"/>
              </w:rPr>
              <w:t>(Rabbit polyclonal)</w:t>
            </w:r>
          </w:p>
        </w:tc>
        <w:tc>
          <w:tcPr>
            <w:tcW w:w="780" w:type="pct"/>
            <w:tcBorders>
              <w:top w:val="single" w:color="auto" w:sz="12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Cell signalling</w:t>
            </w:r>
          </w:p>
        </w:tc>
        <w:tc>
          <w:tcPr>
            <w:tcW w:w="628" w:type="pct"/>
            <w:tcBorders>
              <w:top w:val="single" w:color="auto" w:sz="12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212121"/>
                <w:sz w:val="18"/>
                <w:szCs w:val="18"/>
              </w:rPr>
            </w:pPr>
            <w:r>
              <w:rPr>
                <w:rFonts w:cs="Times New Roman"/>
                <w:color w:val="212121"/>
                <w:kern w:val="0"/>
                <w:sz w:val="18"/>
                <w:szCs w:val="18"/>
              </w:rPr>
              <w:t>bs-14</w:t>
            </w:r>
            <w:r>
              <w:rPr>
                <w:rFonts w:hint="eastAsia" w:cs="Times New Roman"/>
                <w:color w:val="212121"/>
                <w:kern w:val="0"/>
                <w:sz w:val="18"/>
                <w:szCs w:val="18"/>
              </w:rPr>
              <w:t>0</w:t>
            </w:r>
            <w:r>
              <w:rPr>
                <w:rFonts w:cs="Times New Roman"/>
                <w:color w:val="212121"/>
                <w:kern w:val="0"/>
                <w:sz w:val="18"/>
                <w:szCs w:val="18"/>
              </w:rPr>
              <w:t>2R</w:t>
            </w:r>
          </w:p>
        </w:tc>
        <w:tc>
          <w:tcPr>
            <w:tcW w:w="1367" w:type="pct"/>
            <w:tcBorders>
              <w:top w:val="single" w:color="auto" w:sz="12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WB (1:1000)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212121"/>
                <w:sz w:val="18"/>
                <w:szCs w:val="18"/>
              </w:rPr>
            </w:pPr>
            <w:r>
              <w:rPr>
                <w:rFonts w:cs="Times New Roman"/>
                <w:color w:val="212121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5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Anti-CPT1A                (Rabbit polyclonal)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Cell signalling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bs-2047R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WB (1:1000)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212121"/>
                <w:sz w:val="18"/>
                <w:szCs w:val="18"/>
              </w:rPr>
            </w:pPr>
            <w:r>
              <w:rPr>
                <w:rFonts w:cs="Times New Roman"/>
                <w:color w:val="212121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5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Anti-M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>T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TP                 (Rabbit polyclonal)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Cell signalling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bs-5083R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WB (1:1000)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3" w:type="pct"/>
            <w:tcBorders>
              <w:top w:val="nil"/>
              <w:left w:val="nil"/>
              <w:bottom w:val="single" w:color="auto" w:sz="1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212121"/>
                <w:sz w:val="18"/>
                <w:szCs w:val="18"/>
              </w:rPr>
            </w:pPr>
            <w:r>
              <w:rPr>
                <w:rFonts w:cs="Times New Roman"/>
                <w:color w:val="212121"/>
                <w:kern w:val="0"/>
                <w:sz w:val="18"/>
                <w:szCs w:val="18"/>
              </w:rPr>
              <w:t>Antibody</w:t>
            </w:r>
          </w:p>
        </w:tc>
        <w:tc>
          <w:tcPr>
            <w:tcW w:w="1572" w:type="pct"/>
            <w:tcBorders>
              <w:top w:val="nil"/>
              <w:left w:val="nil"/>
              <w:bottom w:val="single" w:color="auto" w:sz="1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Tubulin-alpha </w:t>
            </w:r>
          </w:p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(Loading Control)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1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Cell signalling</w:t>
            </w:r>
          </w:p>
        </w:tc>
        <w:tc>
          <w:tcPr>
            <w:tcW w:w="628" w:type="pct"/>
            <w:tcBorders>
              <w:top w:val="nil"/>
              <w:left w:val="nil"/>
              <w:bottom w:val="single" w:color="auto" w:sz="1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bs-05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9R</w:t>
            </w:r>
          </w:p>
        </w:tc>
        <w:tc>
          <w:tcPr>
            <w:tcW w:w="1367" w:type="pct"/>
            <w:tcBorders>
              <w:top w:val="nil"/>
              <w:left w:val="nil"/>
              <w:bottom w:val="single" w:color="auto" w:sz="1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WB (1: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000)</w:t>
            </w:r>
          </w:p>
        </w:tc>
      </w:tr>
    </w:tbl>
    <w:p>
      <w:pPr>
        <w:jc w:val="left"/>
        <w:rPr>
          <w:rFonts w:ascii="Calibri" w:hAnsi="Calibri" w:cs="Times New Roman"/>
          <w:szCs w:val="21"/>
        </w:rPr>
      </w:pPr>
      <w:r>
        <w:rPr>
          <w:rFonts w:hint="eastAsia" w:cs="Times New Roman"/>
          <w:sz w:val="18"/>
          <w:szCs w:val="18"/>
        </w:rPr>
        <w:t xml:space="preserve">Note: </w:t>
      </w:r>
      <w:r>
        <w:rPr>
          <w:rFonts w:cs="Times New Roman"/>
          <w:sz w:val="18"/>
          <w:szCs w:val="18"/>
        </w:rPr>
        <w:t>SREBP1 = sterol regulatory element-binding proteins-1;)</w:t>
      </w:r>
      <w:r>
        <w:rPr>
          <w:rFonts w:hint="eastAsia" w:cs="Times New Roman"/>
          <w:sz w:val="18"/>
          <w:szCs w:val="18"/>
        </w:rPr>
        <w:t xml:space="preserve">; </w:t>
      </w:r>
      <w:r>
        <w:rPr>
          <w:rFonts w:cs="Times New Roman"/>
          <w:sz w:val="18"/>
          <w:szCs w:val="18"/>
        </w:rPr>
        <w:t>CPT1 = carnitine palmitoyltransferase; MT</w:t>
      </w:r>
      <w:r>
        <w:rPr>
          <w:rFonts w:hint="eastAsia" w:cs="Times New Roman"/>
          <w:sz w:val="18"/>
          <w:szCs w:val="18"/>
        </w:rPr>
        <w:t>T</w:t>
      </w:r>
      <w:r>
        <w:rPr>
          <w:rFonts w:cs="Times New Roman"/>
          <w:sz w:val="18"/>
          <w:szCs w:val="18"/>
        </w:rPr>
        <w:t>P = microsomal triglyceride transfer protein</w:t>
      </w:r>
      <w:r>
        <w:rPr>
          <w:rFonts w:hint="eastAsia" w:cs="Times New Roman"/>
          <w:sz w:val="18"/>
          <w:szCs w:val="18"/>
        </w:rPr>
        <w:t>.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cs="Times New Roman"/>
          <w:sz w:val="18"/>
          <w:szCs w:val="18"/>
        </w:rPr>
      </w:pPr>
    </w:p>
    <w:p>
      <w:pPr>
        <w:pStyle w:val="5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S-Table </w:t>
      </w:r>
      <w:r>
        <w:rPr>
          <w:rFonts w:hint="eastAsia"/>
          <w:b/>
          <w:sz w:val="18"/>
          <w:szCs w:val="18"/>
          <w:lang w:val="en-US" w:eastAsia="zh-CN"/>
        </w:rPr>
        <w:t>3</w:t>
      </w:r>
      <w:r>
        <w:rPr>
          <w:b/>
          <w:sz w:val="18"/>
          <w:szCs w:val="18"/>
        </w:rPr>
        <w:t xml:space="preserve"> Quality control statistics of sequencing data</w:t>
      </w:r>
    </w:p>
    <w:tbl>
      <w:tblPr>
        <w:tblStyle w:val="3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667"/>
        <w:gridCol w:w="2223"/>
        <w:gridCol w:w="1626"/>
        <w:gridCol w:w="17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6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Samples</w:t>
            </w:r>
          </w:p>
        </w:tc>
        <w:tc>
          <w:tcPr>
            <w:tcW w:w="97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Clean reads</w:t>
            </w:r>
          </w:p>
        </w:tc>
        <w:tc>
          <w:tcPr>
            <w:tcW w:w="130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Clean bases</w:t>
            </w:r>
          </w:p>
        </w:tc>
        <w:tc>
          <w:tcPr>
            <w:tcW w:w="95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GC Content</w:t>
            </w:r>
          </w:p>
        </w:tc>
        <w:tc>
          <w:tcPr>
            <w:tcW w:w="100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%≥Q30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33,357,840</w:t>
            </w:r>
          </w:p>
        </w:tc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9,963,570,442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55.15%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94.90%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36,294,457</w:t>
            </w:r>
          </w:p>
        </w:tc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10,826,886,770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55.18%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94.66%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31,407,052</w:t>
            </w:r>
          </w:p>
        </w:tc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9,376,127,932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53.42%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95.41%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 xml:space="preserve">Corn 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51,367,312</w:t>
            </w:r>
          </w:p>
        </w:tc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15,362,543,482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55.44%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94.22%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 xml:space="preserve">Corn 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45,398,990</w:t>
            </w:r>
          </w:p>
        </w:tc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13,556,941,974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54.71%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93.42%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 xml:space="preserve">Corn 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59,135,319</w:t>
            </w:r>
          </w:p>
        </w:tc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17,675,244,738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55.24%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94.5%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F1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35,737,577</w:t>
            </w:r>
          </w:p>
        </w:tc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10,673,810,442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53.79%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95.21%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F2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42,740,877</w:t>
            </w:r>
          </w:p>
        </w:tc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12,763,073,356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55.46%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95.28%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F3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57,944,253</w:t>
            </w:r>
          </w:p>
        </w:tc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17,309,461,550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55.43%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95.22%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G1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48,479,516</w:t>
            </w:r>
          </w:p>
        </w:tc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14,480,603,258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55.38%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94.80%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G2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49,392,430</w:t>
            </w:r>
          </w:p>
        </w:tc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14,772,558,560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55.16%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94.45%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G3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49,324,418</w:t>
            </w:r>
          </w:p>
        </w:tc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14,739,661,922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55.45%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94.28%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S1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52,081,484</w:t>
            </w:r>
          </w:p>
        </w:tc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15,570,160,978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55.31%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94.62%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S2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47,907,209</w:t>
            </w:r>
          </w:p>
        </w:tc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14,303,005,078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55.64%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95.04%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6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S3</w:t>
            </w:r>
          </w:p>
        </w:tc>
        <w:tc>
          <w:tcPr>
            <w:tcW w:w="97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52,276,062</w:t>
            </w:r>
          </w:p>
        </w:tc>
        <w:tc>
          <w:tcPr>
            <w:tcW w:w="130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15,630,727,952</w:t>
            </w:r>
          </w:p>
        </w:tc>
        <w:tc>
          <w:tcPr>
            <w:tcW w:w="95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55.19%</w:t>
            </w:r>
          </w:p>
        </w:tc>
        <w:tc>
          <w:tcPr>
            <w:tcW w:w="100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94.73%</w:t>
            </w:r>
          </w:p>
        </w:tc>
      </w:tr>
    </w:tbl>
    <w:p>
      <w:pPr>
        <w:pStyle w:val="6"/>
        <w:rPr>
          <w:sz w:val="18"/>
          <w:szCs w:val="18"/>
        </w:rPr>
      </w:pPr>
      <w:r>
        <w:rPr>
          <w:sz w:val="18"/>
          <w:szCs w:val="18"/>
        </w:rPr>
        <w:t>Note: Samples refer to the name of each treatment group</w:t>
      </w:r>
      <w:r>
        <w:rPr>
          <w:rFonts w:hint="eastAsia"/>
          <w:sz w:val="18"/>
          <w:szCs w:val="18"/>
        </w:rPr>
        <w:t xml:space="preserve"> (n=3)</w:t>
      </w:r>
      <w:r>
        <w:rPr>
          <w:sz w:val="18"/>
          <w:szCs w:val="18"/>
        </w:rPr>
        <w:t xml:space="preserve">; </w:t>
      </w:r>
      <w:r>
        <w:rPr>
          <w:rFonts w:hint="eastAsia"/>
          <w:sz w:val="18"/>
          <w:szCs w:val="18"/>
        </w:rPr>
        <w:t>C</w:t>
      </w:r>
      <w:r>
        <w:rPr>
          <w:sz w:val="18"/>
          <w:szCs w:val="18"/>
        </w:rPr>
        <w:t>1-</w:t>
      </w:r>
      <w:r>
        <w:rPr>
          <w:rFonts w:hint="eastAsia"/>
          <w:sz w:val="18"/>
          <w:szCs w:val="18"/>
        </w:rPr>
        <w:t>C</w:t>
      </w:r>
      <w:r>
        <w:rPr>
          <w:sz w:val="18"/>
          <w:szCs w:val="18"/>
        </w:rPr>
        <w:t xml:space="preserve">3 refers to the control group; </w:t>
      </w:r>
      <w:r>
        <w:rPr>
          <w:rFonts w:hint="eastAsia"/>
          <w:sz w:val="18"/>
          <w:szCs w:val="18"/>
        </w:rPr>
        <w:t xml:space="preserve">Corn </w:t>
      </w:r>
      <w:r>
        <w:rPr>
          <w:sz w:val="18"/>
          <w:szCs w:val="18"/>
        </w:rPr>
        <w:t>1-</w:t>
      </w:r>
      <w:r>
        <w:rPr>
          <w:rFonts w:hint="eastAsia"/>
          <w:sz w:val="18"/>
          <w:szCs w:val="18"/>
        </w:rPr>
        <w:t xml:space="preserve">Corn </w:t>
      </w:r>
      <w:r>
        <w:rPr>
          <w:sz w:val="18"/>
          <w:szCs w:val="18"/>
        </w:rPr>
        <w:t>3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refers to the corn feeding group;F1-F3 refers to the fructose feeding group; G1-G3 refers to the glucose feeding group; and S1-S3 refers to the sucrose feeding group. Clean reads: the total number of pair-end reads in Clean Data. Bases or bases: Clean bases. GC content: Clean Data GC content, that is, the percentage of the two bases of G and C in the total Clean Data. Clean Data: the percentage of bases with a mass value greater than or equal to 30.</w:t>
      </w:r>
    </w:p>
    <w:p/>
    <w:p/>
    <w:p/>
    <w:p>
      <w:pPr>
        <w:pStyle w:val="5"/>
        <w:rPr>
          <w:rFonts w:hint="eastAsia"/>
          <w:b/>
          <w:bCs/>
          <w:sz w:val="18"/>
          <w:szCs w:val="18"/>
        </w:rPr>
      </w:pPr>
    </w:p>
    <w:p>
      <w:pPr>
        <w:pStyle w:val="5"/>
        <w:rPr>
          <w:rFonts w:hint="eastAsia"/>
          <w:b/>
          <w:bCs/>
          <w:sz w:val="18"/>
          <w:szCs w:val="18"/>
        </w:rPr>
      </w:pPr>
    </w:p>
    <w:p>
      <w:pPr>
        <w:pStyle w:val="5"/>
        <w:rPr>
          <w:rFonts w:hint="eastAsia"/>
          <w:b/>
          <w:bCs/>
          <w:sz w:val="18"/>
          <w:szCs w:val="18"/>
        </w:rPr>
      </w:pPr>
    </w:p>
    <w:p>
      <w:pPr>
        <w:pStyle w:val="5"/>
        <w:rPr>
          <w:rFonts w:hint="eastAsia"/>
          <w:b/>
          <w:bCs/>
          <w:sz w:val="18"/>
          <w:szCs w:val="18"/>
        </w:rPr>
      </w:pPr>
    </w:p>
    <w:p>
      <w:pPr>
        <w:pStyle w:val="5"/>
        <w:rPr>
          <w:rFonts w:hint="eastAsia"/>
          <w:b/>
          <w:bCs/>
          <w:sz w:val="18"/>
          <w:szCs w:val="18"/>
        </w:rPr>
      </w:pPr>
    </w:p>
    <w:p>
      <w:pPr>
        <w:pStyle w:val="5"/>
        <w:rPr>
          <w:rFonts w:hint="eastAsia"/>
          <w:b/>
          <w:bCs/>
          <w:sz w:val="18"/>
          <w:szCs w:val="18"/>
        </w:rPr>
      </w:pPr>
    </w:p>
    <w:p>
      <w:pPr>
        <w:pStyle w:val="5"/>
        <w:rPr>
          <w:rFonts w:hint="eastAsia"/>
          <w:b/>
          <w:bCs/>
          <w:sz w:val="18"/>
          <w:szCs w:val="18"/>
        </w:rPr>
      </w:pPr>
    </w:p>
    <w:p>
      <w:pPr>
        <w:pStyle w:val="5"/>
        <w:rPr>
          <w:rFonts w:hint="eastAsia"/>
          <w:b/>
          <w:bCs/>
          <w:sz w:val="18"/>
          <w:szCs w:val="18"/>
        </w:rPr>
      </w:pPr>
    </w:p>
    <w:p>
      <w:pPr>
        <w:pStyle w:val="5"/>
        <w:rPr>
          <w:rFonts w:hint="eastAsia"/>
          <w:b/>
          <w:bCs/>
          <w:sz w:val="18"/>
          <w:szCs w:val="18"/>
        </w:rPr>
      </w:pPr>
    </w:p>
    <w:p>
      <w:pPr>
        <w:pStyle w:val="5"/>
        <w:rPr>
          <w:rFonts w:hint="eastAsia"/>
          <w:b/>
          <w:bCs/>
          <w:sz w:val="18"/>
          <w:szCs w:val="18"/>
        </w:rPr>
      </w:pPr>
    </w:p>
    <w:p>
      <w:pPr>
        <w:pStyle w:val="5"/>
        <w:rPr>
          <w:rFonts w:hint="eastAsia"/>
          <w:b/>
          <w:bCs/>
          <w:sz w:val="18"/>
          <w:szCs w:val="18"/>
        </w:rPr>
      </w:pPr>
    </w:p>
    <w:p>
      <w:pPr>
        <w:pStyle w:val="5"/>
        <w:rPr>
          <w:rFonts w:hint="eastAsia"/>
          <w:b/>
          <w:bCs/>
          <w:sz w:val="18"/>
          <w:szCs w:val="18"/>
        </w:rPr>
      </w:pPr>
    </w:p>
    <w:p>
      <w:pPr>
        <w:pStyle w:val="5"/>
        <w:rPr>
          <w:rFonts w:hint="eastAsia"/>
          <w:b/>
          <w:bCs/>
          <w:sz w:val="18"/>
          <w:szCs w:val="18"/>
        </w:rPr>
      </w:pPr>
    </w:p>
    <w:p>
      <w:pPr>
        <w:pStyle w:val="5"/>
        <w:rPr>
          <w:rFonts w:hint="eastAsia"/>
          <w:b/>
          <w:bCs/>
          <w:sz w:val="18"/>
          <w:szCs w:val="18"/>
        </w:rPr>
      </w:pPr>
    </w:p>
    <w:p>
      <w:pPr>
        <w:pStyle w:val="5"/>
        <w:rPr>
          <w:rFonts w:hint="eastAsia"/>
          <w:b/>
          <w:bCs/>
          <w:sz w:val="18"/>
          <w:szCs w:val="18"/>
        </w:rPr>
      </w:pPr>
    </w:p>
    <w:p>
      <w:pPr>
        <w:pStyle w:val="5"/>
        <w:rPr>
          <w:rFonts w:hint="eastAsia"/>
          <w:b/>
          <w:bCs/>
          <w:sz w:val="18"/>
          <w:szCs w:val="18"/>
        </w:rPr>
      </w:pPr>
    </w:p>
    <w:p>
      <w:pPr>
        <w:pStyle w:val="5"/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S-</w:t>
      </w:r>
      <w:r>
        <w:rPr>
          <w:b/>
          <w:bCs/>
          <w:sz w:val="18"/>
          <w:szCs w:val="18"/>
        </w:rPr>
        <w:t xml:space="preserve">Table </w:t>
      </w:r>
      <w:r>
        <w:rPr>
          <w:rFonts w:hint="eastAsia"/>
          <w:b/>
          <w:bCs/>
          <w:sz w:val="18"/>
          <w:szCs w:val="18"/>
          <w:lang w:val="en-US" w:eastAsia="zh-CN"/>
        </w:rPr>
        <w:t>4</w:t>
      </w:r>
      <w:r>
        <w:rPr>
          <w:b/>
          <w:bCs/>
          <w:sz w:val="18"/>
          <w:szCs w:val="18"/>
        </w:rPr>
        <w:t xml:space="preserve"> The sequencing data were compared with the sequence of the selected reference genome</w:t>
      </w:r>
    </w:p>
    <w:tbl>
      <w:tblPr>
        <w:tblStyle w:val="3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1224"/>
        <w:gridCol w:w="1195"/>
        <w:gridCol w:w="1348"/>
        <w:gridCol w:w="1348"/>
        <w:gridCol w:w="1225"/>
        <w:gridCol w:w="12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2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Samples </w:t>
            </w:r>
          </w:p>
        </w:tc>
        <w:tc>
          <w:tcPr>
            <w:tcW w:w="71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Total Reads</w:t>
            </w:r>
          </w:p>
        </w:tc>
        <w:tc>
          <w:tcPr>
            <w:tcW w:w="70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Mapped Reads</w:t>
            </w:r>
          </w:p>
        </w:tc>
        <w:tc>
          <w:tcPr>
            <w:tcW w:w="79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Uniq Mapped Reads</w:t>
            </w:r>
          </w:p>
        </w:tc>
        <w:tc>
          <w:tcPr>
            <w:tcW w:w="79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Multiple Map Reads</w:t>
            </w:r>
          </w:p>
        </w:tc>
        <w:tc>
          <w:tcPr>
            <w:tcW w:w="71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Reads Map to'+'</w:t>
            </w:r>
          </w:p>
        </w:tc>
        <w:tc>
          <w:tcPr>
            <w:tcW w:w="75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Reads Map to '-'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 xml:space="preserve">C 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66,715,680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48,867,292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(73.25%)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47,506,523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(71.21%)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1,360,769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(2.04%)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24,374,149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(36.53%)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24,462,502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(36.67%)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 xml:space="preserve">C 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72,588,914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52,996,747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(73.01%)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51,582,581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(71.06%)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1,414,166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(1.95%)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26,542,469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(36.57%)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26,422,706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(36.40%)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 xml:space="preserve">C 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62,814,104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48,624,010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(77.41%)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47,599,126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(75.78%)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1,024,884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(1.63%)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24,233,209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(38.58%)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24,365,569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(38.79%)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 xml:space="preserve">Corn 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102,734,624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76,205,677</w:t>
            </w:r>
          </w:p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(72.15%)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74,120,577</w:t>
            </w:r>
          </w:p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(72.15%)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2,085,100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(2.03%)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38,087,938</w:t>
            </w:r>
          </w:p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(37.07)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38,068,900</w:t>
            </w:r>
          </w:p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(37.06%)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 xml:space="preserve">orn 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90,797,980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67,231,330</w:t>
            </w:r>
          </w:p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(74.04%)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65,442,715</w:t>
            </w:r>
          </w:p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(72.08%)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1,788,615</w:t>
            </w:r>
          </w:p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(1.97%)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33,439,129</w:t>
            </w:r>
          </w:p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(36.83%)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33,751,096</w:t>
            </w:r>
          </w:p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(37.17%)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 xml:space="preserve">orn 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118,270,638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88,000,066</w:t>
            </w:r>
          </w:p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(74.41%)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85,445,259</w:t>
            </w:r>
          </w:p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(72.25%)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2,554,807</w:t>
            </w:r>
          </w:p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(2.16%)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43,927,054</w:t>
            </w:r>
          </w:p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(37.14%)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44,014,712</w:t>
            </w:r>
          </w:p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(37.22%)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F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71,475,154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55,255,268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(77.31%)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54,053,121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(75.63%)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1,202,147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(1.68%)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27,573,815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(38.58%)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27,651,728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(38.69%)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F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85,481,754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62,535,978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(73.16%)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60,960,464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(71.31%)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1,575,514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(1.84%)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31,121,651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(36.41%)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31,369,806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(36.70%)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F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115,888,506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85,533,292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(73.81%)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82,948,932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(71.58%)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2,584,360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(2.23%)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42,692,751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(36.84%)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42,790,084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(36.92%)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G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96,959,032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71,506,110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(73.75%)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69,505,996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(71.69%)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2,000,114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(2.06%)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35,708,990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(36.83%)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35,745,844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(36.87%)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G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98,784,860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74,082,623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(74.99%)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72,127,032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(73.01%)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1,955,591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(1.98%)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36,922,727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(37.38%)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37,108,927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(37.57%)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G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98,648,836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71,805,276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(72.79%)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70,082,329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(71.04%)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1,722,947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(1.75%)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35,749,763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(36.24%)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35,999,956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(36.49%)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104,162,968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77,235,131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(74.15%)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75,208,712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(72.20%)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2,026,419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(1.95%)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38,418,391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(36.88%)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38,765,376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(37.22%)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95,814,418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70,486,957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(73.57%)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68,483,706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(71.48%)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2,003,251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(2.09%)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35,182,222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(36.72%)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35,251,762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(36.79%)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2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71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104,552,124</w:t>
            </w: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77,922,450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(74.53%)</w:t>
            </w:r>
          </w:p>
        </w:tc>
        <w:tc>
          <w:tcPr>
            <w:tcW w:w="79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75,797,132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(72.50%)</w:t>
            </w:r>
          </w:p>
        </w:tc>
        <w:tc>
          <w:tcPr>
            <w:tcW w:w="79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2,125,318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(2.03%)</w:t>
            </w:r>
          </w:p>
        </w:tc>
        <w:tc>
          <w:tcPr>
            <w:tcW w:w="71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38,884,167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(37.19%)</w:t>
            </w:r>
          </w:p>
        </w:tc>
        <w:tc>
          <w:tcPr>
            <w:tcW w:w="75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38,986,915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(37.29%)</w:t>
            </w:r>
          </w:p>
        </w:tc>
      </w:tr>
    </w:tbl>
    <w:p>
      <w:pPr>
        <w:pStyle w:val="6"/>
        <w:rPr>
          <w:sz w:val="18"/>
          <w:szCs w:val="18"/>
        </w:rPr>
      </w:pPr>
      <w:r>
        <w:rPr>
          <w:sz w:val="18"/>
          <w:szCs w:val="18"/>
        </w:rPr>
        <w:t>Note:</w:t>
      </w:r>
      <w:r>
        <w:rPr>
          <w:rFonts w:hint="eastAsia"/>
          <w:sz w:val="18"/>
          <w:szCs w:val="18"/>
        </w:rPr>
        <w:t xml:space="preserve"> n=3. </w:t>
      </w:r>
      <w:r>
        <w:rPr>
          <w:sz w:val="18"/>
          <w:szCs w:val="18"/>
        </w:rPr>
        <w:t xml:space="preserve">Total Reads: the number of Clean Reads is calculated as a single Reads. Mapped Reads: the number of Reads Mapped to the reference genome and the percentage of Clean Reads. Uniq Mapped Reads: number of Reads Mapped to unique locations in the reference genome and percentage of Clean Reads. Multiple Map Reads: the number of Reads and the percentage in Clean Reads that are aligned to Multiple sites of the reference genome. Reads Map to '+' : the number of Reads aligned to the positive chain of the reference genome and the percentage in Clean Reads. Reads Map to '-' : the number of Reads aligned to the negative chain of the reference genome and the percentage in Clean Reads.Samples refer to the name of each treatment group; </w:t>
      </w:r>
      <w:r>
        <w:rPr>
          <w:rFonts w:hint="eastAsia"/>
          <w:sz w:val="18"/>
          <w:szCs w:val="18"/>
        </w:rPr>
        <w:t>C</w:t>
      </w:r>
      <w:r>
        <w:rPr>
          <w:sz w:val="18"/>
          <w:szCs w:val="18"/>
        </w:rPr>
        <w:t>1-</w:t>
      </w:r>
      <w:r>
        <w:rPr>
          <w:rFonts w:hint="eastAsia"/>
          <w:sz w:val="18"/>
          <w:szCs w:val="18"/>
        </w:rPr>
        <w:t>C</w:t>
      </w:r>
      <w:r>
        <w:rPr>
          <w:sz w:val="18"/>
          <w:szCs w:val="18"/>
        </w:rPr>
        <w:t xml:space="preserve">3 refers to the control group; </w:t>
      </w:r>
      <w:r>
        <w:rPr>
          <w:rFonts w:hint="eastAsia"/>
          <w:sz w:val="18"/>
          <w:szCs w:val="18"/>
        </w:rPr>
        <w:t xml:space="preserve">Corn </w:t>
      </w:r>
      <w:r>
        <w:rPr>
          <w:sz w:val="18"/>
          <w:szCs w:val="18"/>
        </w:rPr>
        <w:t>1-</w:t>
      </w:r>
      <w:r>
        <w:rPr>
          <w:rFonts w:hint="eastAsia"/>
          <w:sz w:val="18"/>
          <w:szCs w:val="18"/>
        </w:rPr>
        <w:t xml:space="preserve">Corn </w:t>
      </w:r>
      <w:r>
        <w:rPr>
          <w:sz w:val="18"/>
          <w:szCs w:val="18"/>
        </w:rPr>
        <w:t>3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refers to the corn feeding group;F1-F3 refers to the fructose feeding group; G1-G3 refers to the glucose feeding group; and S1-S3 refers to the sucrose feeding group.</w:t>
      </w:r>
    </w:p>
    <w:p>
      <w:pPr>
        <w:rPr>
          <w:sz w:val="18"/>
          <w:szCs w:val="18"/>
        </w:rPr>
      </w:pPr>
    </w:p>
    <w:p/>
    <w:p>
      <w:pPr>
        <w:pStyle w:val="5"/>
        <w:rPr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S-</w:t>
      </w:r>
      <w:r>
        <w:rPr>
          <w:b/>
          <w:bCs/>
          <w:sz w:val="18"/>
          <w:szCs w:val="18"/>
        </w:rPr>
        <w:t>Table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rFonts w:hint="eastAsia"/>
          <w:b/>
          <w:bCs/>
          <w:sz w:val="18"/>
          <w:szCs w:val="18"/>
          <w:lang w:val="en-US" w:eastAsia="zh-CN"/>
        </w:rPr>
        <w:t>5</w:t>
      </w:r>
      <w:r>
        <w:rPr>
          <w:b/>
          <w:bCs/>
          <w:sz w:val="18"/>
          <w:szCs w:val="18"/>
        </w:rPr>
        <w:t xml:space="preserve"> Statistics on the number of differentially expressed genes</w:t>
      </w:r>
    </w:p>
    <w:tbl>
      <w:tblPr>
        <w:tblStyle w:val="3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1635"/>
        <w:gridCol w:w="1686"/>
        <w:gridCol w:w="15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15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DEG Set</w:t>
            </w:r>
          </w:p>
        </w:tc>
        <w:tc>
          <w:tcPr>
            <w:tcW w:w="95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DEG Number</w:t>
            </w:r>
          </w:p>
        </w:tc>
        <w:tc>
          <w:tcPr>
            <w:tcW w:w="98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up-regulated</w:t>
            </w:r>
          </w:p>
        </w:tc>
        <w:tc>
          <w:tcPr>
            <w:tcW w:w="90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down-regulated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>Control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_vs_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>Corn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1796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772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>Control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_vs_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>Glucose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1535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883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652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>Control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_vs_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>Fructose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1659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959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15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>Control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_vs_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</w:rPr>
              <w:t>Sucrose</w:t>
            </w:r>
          </w:p>
        </w:tc>
        <w:tc>
          <w:tcPr>
            <w:tcW w:w="95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1551</w:t>
            </w:r>
          </w:p>
        </w:tc>
        <w:tc>
          <w:tcPr>
            <w:tcW w:w="98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827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724</w:t>
            </w:r>
          </w:p>
        </w:tc>
      </w:tr>
    </w:tbl>
    <w:p>
      <w:pPr>
        <w:pStyle w:val="6"/>
        <w:rPr>
          <w:sz w:val="18"/>
          <w:szCs w:val="18"/>
        </w:rPr>
      </w:pPr>
      <w:r>
        <w:rPr>
          <w:sz w:val="18"/>
          <w:szCs w:val="18"/>
        </w:rPr>
        <w:t xml:space="preserve">Note: </w:t>
      </w:r>
      <w:r>
        <w:rPr>
          <w:rFonts w:hint="eastAsia"/>
          <w:sz w:val="18"/>
          <w:szCs w:val="18"/>
        </w:rPr>
        <w:t>n=3. T</w:t>
      </w:r>
      <w:r>
        <w:rPr>
          <w:sz w:val="18"/>
          <w:szCs w:val="18"/>
        </w:rPr>
        <w:t>he gene set obtained from the differential expression analysis is called the differential expression gene set and is named "A vs B". Differentially expressed genes may be defined as up-regulated and down-regulated genes, depending on the relative level of expression between the samples. The expression level of up-regulated gene in sample (group) B was higher than that in sample (group) A. Conversely, it is a down-regulated gene. Up-regulation and down-regulation are relative, determined by the order in which A and B are given.</w:t>
      </w:r>
      <w:r>
        <w:rPr>
          <w:rFonts w:hint="eastAsia"/>
          <w:sz w:val="18"/>
          <w:szCs w:val="18"/>
        </w:rPr>
        <w:t xml:space="preserve"> 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cs="Times New Roman"/>
          <w:color w:val="000000"/>
          <w:sz w:val="20"/>
          <w:szCs w:val="20"/>
        </w:rPr>
      </w:pPr>
      <w:r>
        <w:rPr>
          <w:rFonts w:hint="eastAsia"/>
        </w:rPr>
        <w:drawing>
          <wp:inline distT="0" distB="0" distL="114300" distR="114300">
            <wp:extent cx="4827905" cy="2508250"/>
            <wp:effectExtent l="0" t="0" r="10795" b="6350"/>
            <wp:docPr id="1" name="图片 1" descr="cell viabil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ell viability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7905" cy="250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line="360" w:lineRule="auto"/>
        <w:rPr>
          <w:sz w:val="18"/>
          <w:szCs w:val="18"/>
        </w:rPr>
      </w:pPr>
      <w:r>
        <w:rPr>
          <w:rFonts w:hint="eastAsia" w:cs="Times New Roman"/>
          <w:b/>
          <w:bCs/>
          <w:color w:val="000000"/>
          <w:sz w:val="18"/>
          <w:szCs w:val="18"/>
        </w:rPr>
        <w:t>S-Fig</w:t>
      </w:r>
      <w:r>
        <w:rPr>
          <w:rFonts w:hint="eastAsia" w:cs="Times New Roman"/>
          <w:b/>
          <w:bCs/>
          <w:color w:val="000000"/>
          <w:sz w:val="18"/>
          <w:szCs w:val="18"/>
          <w:lang w:val="en-US" w:eastAsia="zh-CN"/>
        </w:rPr>
        <w:t>.</w:t>
      </w:r>
      <w:bookmarkStart w:id="1" w:name="_GoBack"/>
      <w:bookmarkEnd w:id="1"/>
      <w:r>
        <w:rPr>
          <w:rFonts w:hint="eastAsia" w:cs="Times New Roman"/>
          <w:b/>
          <w:bCs/>
          <w:color w:val="000000"/>
          <w:sz w:val="18"/>
          <w:szCs w:val="18"/>
        </w:rPr>
        <w:t xml:space="preserve"> 1. Different concentration of glucose, fructose and sucrose on cell viability. </w:t>
      </w:r>
      <w:r>
        <w:rPr>
          <w:rFonts w:hint="eastAsia" w:cs="Times New Roman"/>
          <w:color w:val="000000"/>
          <w:sz w:val="18"/>
          <w:szCs w:val="18"/>
          <w:lang w:bidi="ar"/>
        </w:rPr>
        <w:t>12h, 24h and 36h cell viability of different treatment were tested, t</w:t>
      </w:r>
      <w:r>
        <w:rPr>
          <w:rFonts w:cs="Times New Roman"/>
          <w:color w:val="000000"/>
          <w:sz w:val="18"/>
          <w:szCs w:val="18"/>
          <w:lang w:bidi="ar"/>
        </w:rPr>
        <w:t>he assay for cell viability was performed</w:t>
      </w:r>
      <w:r>
        <w:rPr>
          <w:rFonts w:hint="eastAsia" w:cs="Times New Roman"/>
          <w:color w:val="000000"/>
          <w:sz w:val="18"/>
          <w:szCs w:val="18"/>
          <w:lang w:bidi="ar"/>
        </w:rPr>
        <w:t xml:space="preserve"> CCK8.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G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30,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F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30 and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S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>30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 xml:space="preserve"> represents 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the goose primary hepatocytes were treated with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30mmol/L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glucose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,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30mmol/L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f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>r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uctose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 and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30mmol/L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s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>uc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rose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, repectively.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G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50,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F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50 and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S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>50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 xml:space="preserve"> represents 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>the goose primary hepatocytes were treated with 5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0mmol/L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glucose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>, 5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0mmol/L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f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>r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uctose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 and 5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0mmol/L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s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>uc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rose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>, repectively.</w:t>
      </w:r>
    </w:p>
    <w:p>
      <w:pPr>
        <w:rPr>
          <w:sz w:val="18"/>
          <w:szCs w:val="18"/>
        </w:rPr>
      </w:pPr>
    </w:p>
    <w:p/>
    <w:p/>
    <w:p/>
    <w:p/>
    <w:p/>
    <w:p/>
    <w:p/>
    <w:p>
      <w:r>
        <w:drawing>
          <wp:inline distT="0" distB="0" distL="0" distR="0">
            <wp:extent cx="5274310" cy="1626870"/>
            <wp:effectExtent l="0" t="0" r="2540" b="0"/>
            <wp:docPr id="4" name="图片 4" descr="E:\DESK-PAPER\新文章数据（韩、翁、叶）\三糖投稿文件\新图-调整后\S-油红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:\DESK-PAPER\新文章数据（韩、翁、叶）\三糖投稿文件\新图-调整后\S-油红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6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cs="Times New Roman"/>
          <w:b/>
          <w:bCs/>
          <w:color w:val="000000"/>
          <w:sz w:val="18"/>
          <w:szCs w:val="18"/>
        </w:rPr>
      </w:pPr>
      <w:r>
        <w:rPr>
          <w:rFonts w:hint="eastAsia" w:cs="Times New Roman"/>
          <w:b/>
          <w:bCs/>
          <w:color w:val="000000"/>
          <w:sz w:val="18"/>
          <w:szCs w:val="18"/>
        </w:rPr>
        <w:t>Fig</w:t>
      </w:r>
      <w:r>
        <w:rPr>
          <w:rFonts w:hint="eastAsia" w:cs="Times New Roman"/>
          <w:b/>
          <w:bCs/>
          <w:color w:val="000000"/>
          <w:sz w:val="18"/>
          <w:szCs w:val="18"/>
          <w:lang w:val="en-US" w:eastAsia="zh-CN"/>
        </w:rPr>
        <w:t>.</w:t>
      </w:r>
      <w:r>
        <w:rPr>
          <w:rFonts w:hint="eastAsia" w:cs="Times New Roman"/>
          <w:b/>
          <w:bCs/>
          <w:color w:val="000000"/>
          <w:sz w:val="18"/>
          <w:szCs w:val="18"/>
        </w:rPr>
        <w:t xml:space="preserve"> 2. Different concentration of glucose, fructose and sucrose on Oil red O staining results.</w:t>
      </w:r>
    </w:p>
    <w:p>
      <w:pPr>
        <w:autoSpaceDE w:val="0"/>
        <w:autoSpaceDN w:val="0"/>
        <w:adjustRightInd w:val="0"/>
        <w:spacing w:line="360" w:lineRule="auto"/>
        <w:rPr>
          <w:sz w:val="18"/>
          <w:szCs w:val="18"/>
        </w:rPr>
      </w:pPr>
      <w:r>
        <w:rPr>
          <w:rFonts w:cs="Times New Roman"/>
          <w:sz w:val="18"/>
          <w:szCs w:val="18"/>
          <w:lang w:bidi="ar"/>
        </w:rPr>
        <w:t xml:space="preserve">Cells were examined by phase contrast microscopy at </w:t>
      </w:r>
      <w:r>
        <w:rPr>
          <w:rFonts w:hint="eastAsia" w:cs="Times New Roman"/>
          <w:sz w:val="18"/>
          <w:szCs w:val="18"/>
          <w:lang w:bidi="ar"/>
        </w:rPr>
        <w:t>1</w:t>
      </w:r>
      <w:r>
        <w:rPr>
          <w:rFonts w:cs="Times New Roman"/>
          <w:sz w:val="18"/>
          <w:szCs w:val="18"/>
          <w:lang w:bidi="ar"/>
        </w:rPr>
        <w:t>0×</w:t>
      </w:r>
      <w:r>
        <w:rPr>
          <w:rFonts w:hint="eastAsia" w:cs="Times New Roman"/>
          <w:sz w:val="18"/>
          <w:szCs w:val="18"/>
          <w:lang w:bidi="ar"/>
        </w:rPr>
        <w:t>40</w:t>
      </w:r>
      <w:r>
        <w:rPr>
          <w:rFonts w:cs="Times New Roman"/>
          <w:sz w:val="18"/>
          <w:szCs w:val="18"/>
          <w:lang w:bidi="ar"/>
        </w:rPr>
        <w:t xml:space="preserve"> magnification.</w:t>
      </w:r>
      <w:r>
        <w:rPr>
          <w:rFonts w:hint="eastAsia" w:cs="Times New Roman"/>
          <w:b/>
          <w:bCs/>
          <w:color w:val="000000"/>
          <w:sz w:val="18"/>
          <w:szCs w:val="18"/>
        </w:rPr>
        <w:t xml:space="preserve">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G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30,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F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30 and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S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>30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 xml:space="preserve"> represents 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the goose primary hepatocytes were treated with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30mmol/L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glucose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,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30mmol/L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f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>r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uctose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 and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30mmol/L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 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s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>uc</w:t>
      </w:r>
      <w:r>
        <w:rPr>
          <w:rFonts w:eastAsia="Arial Unicode MS" w:cs="Times New Roman"/>
          <w:color w:val="000000"/>
          <w:sz w:val="18"/>
          <w:szCs w:val="18"/>
          <w:lang w:bidi="ar"/>
        </w:rPr>
        <w:t>rose</w:t>
      </w:r>
      <w:r>
        <w:rPr>
          <w:rFonts w:hint="eastAsia" w:eastAsia="Arial Unicode MS" w:cs="Times New Roman"/>
          <w:color w:val="000000"/>
          <w:sz w:val="18"/>
          <w:szCs w:val="18"/>
          <w:lang w:bidi="ar"/>
        </w:rPr>
        <w:t xml:space="preserve">, repectively. </w:t>
      </w:r>
    </w:p>
    <w:p/>
    <w:p/>
    <w:p>
      <w:r>
        <w:drawing>
          <wp:inline distT="0" distB="0" distL="0" distR="0">
            <wp:extent cx="3978910" cy="6788785"/>
            <wp:effectExtent l="0" t="0" r="2540" b="0"/>
            <wp:docPr id="6" name="图片 6" descr="C:\Users\lenovo\Desktop\测序定量-小写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lenovo\Desktop\测序定量-小写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80482" cy="67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numPr>
          <w:ilvl w:val="0"/>
          <w:numId w:val="2"/>
        </w:numPr>
        <w:rPr>
          <w:b/>
          <w:bCs/>
          <w:szCs w:val="22"/>
          <w:lang w:bidi="ar"/>
        </w:rPr>
      </w:pPr>
      <w:r>
        <w:rPr>
          <w:rFonts w:hint="eastAsia"/>
          <w:b/>
          <w:bCs/>
          <w:sz w:val="18"/>
          <w:szCs w:val="18"/>
        </w:rPr>
        <w:t>Fig</w:t>
      </w:r>
      <w:r>
        <w:rPr>
          <w:rFonts w:hint="eastAsia"/>
          <w:b/>
          <w:bCs/>
          <w:sz w:val="18"/>
          <w:szCs w:val="18"/>
          <w:lang w:val="en-US" w:eastAsia="zh-CN"/>
        </w:rPr>
        <w:t>.</w:t>
      </w:r>
      <w:r>
        <w:rPr>
          <w:rFonts w:hint="eastAsia"/>
          <w:b/>
          <w:bCs/>
          <w:sz w:val="18"/>
          <w:szCs w:val="18"/>
        </w:rPr>
        <w:t xml:space="preserve"> 3. </w:t>
      </w:r>
      <w:r>
        <w:rPr>
          <w:b/>
          <w:bCs/>
          <w:szCs w:val="22"/>
          <w:lang w:bidi="ar"/>
        </w:rPr>
        <w:t>Part of the difference in gene expression by RNA-seq sequencing</w:t>
      </w:r>
      <w:r>
        <w:rPr>
          <w:rFonts w:hint="eastAsia"/>
          <w:b/>
          <w:bCs/>
          <w:szCs w:val="22"/>
          <w:lang w:bidi="ar"/>
        </w:rPr>
        <w:t xml:space="preserve">. </w:t>
      </w:r>
    </w:p>
    <w:p>
      <w:pPr>
        <w:pStyle w:val="6"/>
        <w:rPr>
          <w:sz w:val="18"/>
          <w:szCs w:val="18"/>
        </w:rPr>
      </w:pPr>
      <w:r>
        <w:rPr>
          <w:sz w:val="18"/>
          <w:szCs w:val="18"/>
        </w:rPr>
        <w:t>Note: expression of DEGs under different treatments</w:t>
      </w:r>
      <w:bookmarkStart w:id="0" w:name="OLE_LINK4"/>
      <w:r>
        <w:rPr>
          <w:rFonts w:hint="eastAsia"/>
          <w:sz w:val="18"/>
          <w:szCs w:val="18"/>
        </w:rPr>
        <w:t xml:space="preserve"> (n=3)</w:t>
      </w:r>
      <w:bookmarkEnd w:id="0"/>
      <w:r>
        <w:rPr>
          <w:sz w:val="18"/>
          <w:szCs w:val="18"/>
        </w:rPr>
        <w:t xml:space="preserve">. </w:t>
      </w:r>
      <w:r>
        <w:rPr>
          <w:rFonts w:hint="eastAsia"/>
          <w:b/>
          <w:sz w:val="18"/>
          <w:szCs w:val="18"/>
        </w:rPr>
        <w:t>a</w:t>
      </w:r>
      <w:r>
        <w:rPr>
          <w:sz w:val="18"/>
          <w:szCs w:val="18"/>
        </w:rPr>
        <w:t xml:space="preserve">: unsaturated fatty acid synthesis pathway. </w:t>
      </w:r>
      <w:r>
        <w:rPr>
          <w:rFonts w:hint="eastAsia"/>
          <w:b/>
          <w:sz w:val="18"/>
          <w:szCs w:val="18"/>
        </w:rPr>
        <w:t>b</w:t>
      </w:r>
      <w:r>
        <w:rPr>
          <w:sz w:val="18"/>
          <w:szCs w:val="18"/>
        </w:rPr>
        <w:t xml:space="preserve">: PPAR signal pathway. </w:t>
      </w:r>
      <w:r>
        <w:rPr>
          <w:rFonts w:hint="eastAsia"/>
          <w:b/>
          <w:sz w:val="18"/>
          <w:szCs w:val="18"/>
        </w:rPr>
        <w:t>c</w:t>
      </w:r>
      <w:r>
        <w:rPr>
          <w:sz w:val="18"/>
          <w:szCs w:val="18"/>
        </w:rPr>
        <w:t>: cell cycle signaling pathway.</w:t>
      </w:r>
    </w:p>
    <w:p/>
    <w:p/>
    <w:p/>
    <w:p/>
    <w:p/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Original gel image for west blot:</w:t>
      </w:r>
    </w:p>
    <w:p>
      <w:pPr>
        <w:rPr>
          <w:rFonts w:hint="eastAsia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MTP</w:t>
      </w:r>
    </w:p>
    <w:p>
      <w:pPr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drawing>
          <wp:inline distT="0" distB="0" distL="114300" distR="114300">
            <wp:extent cx="5273040" cy="3468370"/>
            <wp:effectExtent l="0" t="0" r="3810" b="17780"/>
            <wp:docPr id="2" name="图片 2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t>α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-tubulin</w:t>
      </w:r>
    </w:p>
    <w:p>
      <w:pPr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drawing>
          <wp:inline distT="0" distB="0" distL="114300" distR="114300">
            <wp:extent cx="5273040" cy="3468370"/>
            <wp:effectExtent l="0" t="0" r="3810" b="17780"/>
            <wp:docPr id="3" name="图片 3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t>α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-tubulin</w:t>
      </w: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drawing>
          <wp:inline distT="0" distB="0" distL="114300" distR="114300">
            <wp:extent cx="5273040" cy="3468370"/>
            <wp:effectExtent l="0" t="0" r="3810" b="17780"/>
            <wp:docPr id="5" name="图片 5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SREBP1</w:t>
      </w:r>
    </w:p>
    <w:p>
      <w:pPr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drawing>
          <wp:inline distT="0" distB="0" distL="114300" distR="114300">
            <wp:extent cx="3420110" cy="2549525"/>
            <wp:effectExtent l="0" t="0" r="8890" b="3175"/>
            <wp:docPr id="7" name="图片 7" descr="dell 2018-12-21 12 时 40 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ell 2018-12-21 12 时 40 分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20110" cy="254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CPT1</w:t>
      </w: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drawing>
          <wp:inline distT="0" distB="0" distL="114300" distR="114300">
            <wp:extent cx="3420110" cy="2549525"/>
            <wp:effectExtent l="0" t="0" r="8890" b="3175"/>
            <wp:docPr id="8" name="图片 8" descr="dell 2018-12-29 12 时 41 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ell 2018-12-29 12 时 41 分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20110" cy="254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t>α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-tubulin</w:t>
      </w: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drawing>
          <wp:inline distT="0" distB="0" distL="114300" distR="114300">
            <wp:extent cx="5273040" cy="3468370"/>
            <wp:effectExtent l="0" t="0" r="3810" b="17780"/>
            <wp:docPr id="9" name="图片 9" descr="dell 2019-01-16 17 时 57 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ell 2019-01-16 17 时 57 分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omputerModern-Regular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6F19D0"/>
    <w:multiLevelType w:val="singleLevel"/>
    <w:tmpl w:val="A96F19D0"/>
    <w:lvl w:ilvl="0" w:tentative="0">
      <w:start w:val="19"/>
      <w:numFmt w:val="upperLetter"/>
      <w:suff w:val="nothing"/>
      <w:lvlText w:val="%1-"/>
      <w:lvlJc w:val="left"/>
    </w:lvl>
  </w:abstractNum>
  <w:abstractNum w:abstractNumId="1">
    <w:nsid w:val="747260A0"/>
    <w:multiLevelType w:val="singleLevel"/>
    <w:tmpl w:val="747260A0"/>
    <w:lvl w:ilvl="0" w:tentative="0">
      <w:start w:val="19"/>
      <w:numFmt w:val="upperLetter"/>
      <w:suff w:val="nothing"/>
      <w:lvlText w:val="%1-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505"/>
    <w:rsid w:val="000B50FC"/>
    <w:rsid w:val="00177F10"/>
    <w:rsid w:val="001A51C3"/>
    <w:rsid w:val="00456DB9"/>
    <w:rsid w:val="005C3F65"/>
    <w:rsid w:val="005F2E2D"/>
    <w:rsid w:val="00787C06"/>
    <w:rsid w:val="008F5505"/>
    <w:rsid w:val="00AD7E80"/>
    <w:rsid w:val="00BC04AF"/>
    <w:rsid w:val="00C74046"/>
    <w:rsid w:val="00CD20C8"/>
    <w:rsid w:val="00D924F3"/>
    <w:rsid w:val="00DC322D"/>
    <w:rsid w:val="00FB313B"/>
    <w:rsid w:val="06EF6ADB"/>
    <w:rsid w:val="4D273450"/>
    <w:rsid w:val="58614528"/>
    <w:rsid w:val="58E54322"/>
    <w:rsid w:val="5F7F6344"/>
    <w:rsid w:val="68144E1A"/>
    <w:rsid w:val="6B855EE0"/>
    <w:rsid w:val="6E0E3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customStyle="1" w:styleId="5">
    <w:name w:val="表标题"/>
    <w:basedOn w:val="1"/>
    <w:qFormat/>
    <w:uiPriority w:val="0"/>
    <w:pPr>
      <w:jc w:val="center"/>
    </w:pPr>
    <w:rPr>
      <w:rFonts w:cs="Times New Roman"/>
      <w:szCs w:val="21"/>
    </w:rPr>
  </w:style>
  <w:style w:type="paragraph" w:customStyle="1" w:styleId="6">
    <w:name w:val="注"/>
    <w:basedOn w:val="1"/>
    <w:qFormat/>
    <w:uiPriority w:val="0"/>
    <w:rPr>
      <w:rFonts w:cs="Times New Roman"/>
      <w:szCs w:val="21"/>
    </w:rPr>
  </w:style>
  <w:style w:type="character" w:customStyle="1" w:styleId="7">
    <w:name w:val="批注框文本 Char"/>
    <w:basedOn w:val="4"/>
    <w:link w:val="2"/>
    <w:semiHidden/>
    <w:qFormat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tiff"/><Relationship Id="rId8" Type="http://schemas.openxmlformats.org/officeDocument/2006/relationships/image" Target="media/image4.tiff"/><Relationship Id="rId7" Type="http://schemas.openxmlformats.org/officeDocument/2006/relationships/image" Target="media/image3.tiff"/><Relationship Id="rId6" Type="http://schemas.openxmlformats.org/officeDocument/2006/relationships/image" Target="media/image1.png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8.tiff"/><Relationship Id="rId11" Type="http://schemas.openxmlformats.org/officeDocument/2006/relationships/image" Target="media/image7.tiff"/><Relationship Id="rId10" Type="http://schemas.openxmlformats.org/officeDocument/2006/relationships/image" Target="media/image6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1234</Words>
  <Characters>7040</Characters>
  <Lines>58</Lines>
  <Paragraphs>16</Paragraphs>
  <TotalTime>1</TotalTime>
  <ScaleCrop>false</ScaleCrop>
  <LinksUpToDate>false</LinksUpToDate>
  <CharactersWithSpaces>8258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2020-10-20T01:49:00Z</dcterms:created>
  <dc:creator>lenovo</dc:creator>
  <cp:lastModifiedBy>lenovo</cp:lastModifiedBy>
  <dcterms:modified xsi:type="dcterms:W3CDTF">2021-01-31T12:01:20Z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