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1C2" w:rsidRPr="005C35A6" w:rsidRDefault="005247D1">
      <w:pPr>
        <w:spacing w:line="360" w:lineRule="auto"/>
        <w:rPr>
          <w:b/>
          <w:szCs w:val="21"/>
        </w:rPr>
      </w:pPr>
      <w:r w:rsidRPr="005C35A6">
        <w:rPr>
          <w:rFonts w:ascii="Times New Roman" w:hAnsi="Times New Roman" w:cs="Times New Roman"/>
          <w:b/>
          <w:kern w:val="0"/>
          <w:sz w:val="24"/>
          <w:szCs w:val="24"/>
        </w:rPr>
        <w:t>Linc01060 suppresses ferroptosis by downregulating SPOP-mediated c-Myc degradation in glioma</w:t>
      </w:r>
    </w:p>
    <w:p w:rsidR="004621C2" w:rsidRDefault="005247D1">
      <w:pPr>
        <w:spacing w:line="360" w:lineRule="auto"/>
        <w:rPr>
          <w:rFonts w:ascii="Times New Roman" w:hAnsi="Times New Roman" w:cs="Times New Roman"/>
          <w:sz w:val="24"/>
          <w:szCs w:val="24"/>
        </w:rPr>
      </w:pPr>
      <w:r>
        <w:rPr>
          <w:rFonts w:ascii="Times New Roman" w:hAnsi="Times New Roman" w:cs="Times New Roman"/>
          <w:kern w:val="0"/>
          <w:sz w:val="24"/>
          <w:szCs w:val="24"/>
        </w:rPr>
        <w:t>Junjun Li</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Qiangping Wang</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Cheng Jiang</w:t>
      </w:r>
      <w:r w:rsidR="00D91978">
        <w:rPr>
          <w:rFonts w:ascii="Times New Roman" w:hAnsi="Times New Roman" w:cs="Times New Roman"/>
          <w:kern w:val="0"/>
          <w:sz w:val="24"/>
          <w:szCs w:val="24"/>
          <w:vertAlign w:val="superscript"/>
        </w:rPr>
        <w:t>1</w:t>
      </w:r>
      <w:bookmarkStart w:id="0" w:name="_GoBack"/>
      <w:bookmarkEnd w:id="0"/>
      <w:r>
        <w:rPr>
          <w:rFonts w:ascii="Times New Roman" w:hAnsi="Times New Roman" w:cs="Times New Roman"/>
          <w:kern w:val="0"/>
          <w:sz w:val="24"/>
          <w:szCs w:val="24"/>
        </w:rPr>
        <w:t>, Minjie Wang</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Nan Tang</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Zijie Zhou</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Kai Zhu</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Yu Cao</w:t>
      </w:r>
      <w:r>
        <w:rPr>
          <w:rFonts w:ascii="Times New Roman" w:hAnsi="Times New Roman" w:cs="Times New Roman"/>
          <w:kern w:val="0"/>
          <w:sz w:val="24"/>
          <w:szCs w:val="24"/>
          <w:vertAlign w:val="superscript"/>
        </w:rPr>
        <w:t>2</w:t>
      </w:r>
      <w:r>
        <w:rPr>
          <w:rFonts w:ascii="Times New Roman" w:hAnsi="Times New Roman" w:cs="Times New Roman"/>
          <w:kern w:val="0"/>
          <w:sz w:val="24"/>
          <w:szCs w:val="24"/>
        </w:rPr>
        <w:t>, Guangfu Hu</w:t>
      </w:r>
      <w:r>
        <w:rPr>
          <w:rFonts w:ascii="Times New Roman" w:hAnsi="Times New Roman" w:cs="Times New Roman"/>
          <w:kern w:val="0"/>
          <w:sz w:val="24"/>
          <w:szCs w:val="24"/>
          <w:vertAlign w:val="superscript"/>
        </w:rPr>
        <w:t>3</w:t>
      </w:r>
      <w:r>
        <w:rPr>
          <w:rFonts w:ascii="Times New Roman" w:hAnsi="Times New Roman" w:cs="Times New Roman"/>
          <w:kern w:val="0"/>
          <w:sz w:val="24"/>
          <w:szCs w:val="24"/>
        </w:rPr>
        <w:t>, Siqi Wang</w:t>
      </w:r>
      <w:r>
        <w:rPr>
          <w:rFonts w:ascii="Times New Roman" w:hAnsi="Times New Roman" w:cs="Times New Roman"/>
          <w:kern w:val="0"/>
          <w:sz w:val="24"/>
          <w:szCs w:val="24"/>
          <w:vertAlign w:val="superscript"/>
        </w:rPr>
        <w:t>4</w:t>
      </w:r>
      <w:r>
        <w:rPr>
          <w:rFonts w:ascii="Times New Roman" w:hAnsi="Times New Roman" w:cs="Times New Roman"/>
          <w:kern w:val="0"/>
          <w:sz w:val="24"/>
          <w:szCs w:val="24"/>
        </w:rPr>
        <w:t>, Pengwei Shu</w:t>
      </w:r>
      <w:r>
        <w:rPr>
          <w:rFonts w:ascii="Times New Roman" w:hAnsi="Times New Roman" w:cs="Times New Roman"/>
          <w:kern w:val="0"/>
          <w:sz w:val="24"/>
          <w:szCs w:val="24"/>
          <w:vertAlign w:val="superscript"/>
        </w:rPr>
        <w:t>4</w:t>
      </w:r>
      <w:r>
        <w:rPr>
          <w:rFonts w:ascii="Times New Roman" w:hAnsi="Times New Roman" w:cs="Times New Roman"/>
          <w:kern w:val="0"/>
          <w:sz w:val="24"/>
          <w:szCs w:val="24"/>
        </w:rPr>
        <w:t>, Hongliang Yuan</w:t>
      </w:r>
      <w:r>
        <w:rPr>
          <w:rFonts w:ascii="Times New Roman" w:hAnsi="Times New Roman" w:cs="Times New Roman"/>
          <w:kern w:val="0"/>
          <w:sz w:val="24"/>
          <w:szCs w:val="24"/>
          <w:vertAlign w:val="superscript"/>
        </w:rPr>
        <w:t>5</w:t>
      </w:r>
      <w:r>
        <w:rPr>
          <w:rFonts w:ascii="Times New Roman" w:hAnsi="Times New Roman" w:cs="Times New Roman"/>
          <w:kern w:val="0"/>
          <w:sz w:val="24"/>
          <w:szCs w:val="24"/>
        </w:rPr>
        <w:t>, Zhiyong Xiong</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Jinsong Li</w:t>
      </w:r>
      <w:r>
        <w:rPr>
          <w:rFonts w:ascii="Times New Roman" w:hAnsi="Times New Roman" w:cs="Times New Roman"/>
          <w:kern w:val="0"/>
          <w:sz w:val="24"/>
          <w:szCs w:val="24"/>
          <w:vertAlign w:val="superscript"/>
        </w:rPr>
        <w:t>6</w:t>
      </w:r>
      <w:r>
        <w:rPr>
          <w:rFonts w:ascii="Times New Roman" w:hAnsi="Times New Roman" w:cs="Times New Roman"/>
          <w:kern w:val="0"/>
          <w:sz w:val="24"/>
          <w:szCs w:val="24"/>
        </w:rPr>
        <w:t xml:space="preserve">, </w:t>
      </w:r>
      <w:r>
        <w:rPr>
          <w:rFonts w:ascii="Times New Roman" w:hAnsi="Times New Roman" w:cs="Times New Roman"/>
          <w:color w:val="000000"/>
          <w:sz w:val="24"/>
          <w:szCs w:val="24"/>
        </w:rPr>
        <w:t>Taohui Ouyang</w:t>
      </w:r>
      <w:r>
        <w:rPr>
          <w:rFonts w:ascii="Times New Roman" w:hAnsi="Times New Roman" w:cs="Times New Roman"/>
          <w:color w:val="000000"/>
          <w:sz w:val="24"/>
          <w:szCs w:val="24"/>
          <w:vertAlign w:val="superscript"/>
        </w:rPr>
        <w:t>7</w:t>
      </w:r>
      <w:r>
        <w:rPr>
          <w:rFonts w:ascii="Times New Roman" w:hAnsi="Times New Roman" w:cs="Times New Roman"/>
          <w:sz w:val="24"/>
          <w:szCs w:val="24"/>
        </w:rPr>
        <w:t xml:space="preserve">, </w:t>
      </w:r>
      <w:r>
        <w:rPr>
          <w:rFonts w:ascii="Times New Roman" w:hAnsi="Times New Roman" w:cs="Times New Roman"/>
          <w:color w:val="000000"/>
          <w:sz w:val="24"/>
          <w:szCs w:val="24"/>
        </w:rPr>
        <w:t>Hongya Liu</w:t>
      </w:r>
      <w:r>
        <w:rPr>
          <w:rFonts w:ascii="Times New Roman" w:hAnsi="Times New Roman" w:cs="Times New Roman"/>
          <w:color w:val="000000"/>
          <w:sz w:val="24"/>
          <w:szCs w:val="24"/>
          <w:vertAlign w:val="superscript"/>
        </w:rPr>
        <w:t>8</w:t>
      </w:r>
      <w:r>
        <w:rPr>
          <w:rFonts w:ascii="Times New Roman" w:hAnsi="Times New Roman" w:cs="Times New Roman" w:hint="eastAsia"/>
          <w:sz w:val="24"/>
          <w:szCs w:val="24"/>
        </w:rPr>
        <w:t>,</w:t>
      </w:r>
      <w:r>
        <w:rPr>
          <w:rFonts w:ascii="Times New Roman" w:hAnsi="Times New Roman" w:cs="Times New Roman"/>
          <w:sz w:val="24"/>
          <w:szCs w:val="24"/>
        </w:rPr>
        <w:t xml:space="preserve"> Liewang Qiu</w:t>
      </w:r>
      <w:r>
        <w:rPr>
          <w:rFonts w:ascii="Times New Roman" w:hAnsi="Times New Roman" w:cs="Times New Roman"/>
          <w:color w:val="000000"/>
          <w:sz w:val="24"/>
          <w:szCs w:val="24"/>
          <w:vertAlign w:val="superscript"/>
        </w:rPr>
        <w:t>9</w:t>
      </w:r>
      <w:r>
        <w:rPr>
          <w:rFonts w:ascii="Times New Roman" w:hAnsi="Times New Roman" w:cs="Times New Roman" w:hint="eastAsia"/>
          <w:sz w:val="24"/>
          <w:szCs w:val="24"/>
        </w:rPr>
        <w:t>,</w:t>
      </w:r>
      <w:r>
        <w:rPr>
          <w:rFonts w:ascii="Times New Roman" w:hAnsi="Times New Roman" w:cs="Times New Roman"/>
          <w:sz w:val="24"/>
          <w:szCs w:val="24"/>
        </w:rPr>
        <w:t xml:space="preserve"> </w:t>
      </w:r>
      <w:r>
        <w:rPr>
          <w:rFonts w:ascii="Times New Roman" w:hAnsi="Times New Roman" w:cs="Times New Roman"/>
          <w:kern w:val="0"/>
          <w:sz w:val="24"/>
          <w:szCs w:val="24"/>
        </w:rPr>
        <w:t>Xuan Wang</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Lin Li</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Xuebin Hu</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Fangcheng Zhang</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Yingchun Zhou</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Hongyang Zhao</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Jing Rao</w:t>
      </w:r>
      <w:r>
        <w:rPr>
          <w:rFonts w:ascii="Times New Roman" w:hAnsi="Times New Roman" w:cs="Times New Roman"/>
          <w:kern w:val="0"/>
          <w:sz w:val="24"/>
          <w:szCs w:val="24"/>
          <w:vertAlign w:val="superscript"/>
        </w:rPr>
        <w:t>1#</w:t>
      </w:r>
      <w:r>
        <w:rPr>
          <w:rFonts w:ascii="Times New Roman" w:hAnsi="Times New Roman" w:cs="Times New Roman"/>
          <w:kern w:val="0"/>
          <w:sz w:val="24"/>
          <w:szCs w:val="24"/>
        </w:rPr>
        <w:t>, Xiaobing Jiang</w:t>
      </w:r>
      <w:r>
        <w:rPr>
          <w:rFonts w:ascii="Times New Roman" w:hAnsi="Times New Roman" w:cs="Times New Roman"/>
          <w:kern w:val="0"/>
          <w:sz w:val="24"/>
          <w:szCs w:val="24"/>
          <w:vertAlign w:val="superscript"/>
        </w:rPr>
        <w:t>1#</w:t>
      </w:r>
    </w:p>
    <w:p w:rsidR="004621C2" w:rsidRDefault="004621C2">
      <w:pPr>
        <w:spacing w:line="360" w:lineRule="auto"/>
        <w:rPr>
          <w:rFonts w:ascii="Times New Roman" w:hAnsi="Times New Roman" w:cs="Times New Roman"/>
          <w:b/>
          <w:bCs/>
          <w:sz w:val="24"/>
          <w:szCs w:val="24"/>
        </w:rPr>
      </w:pPr>
    </w:p>
    <w:p w:rsidR="00F9640F" w:rsidRDefault="00F9640F" w:rsidP="00F9640F">
      <w:pPr>
        <w:spacing w:line="360" w:lineRule="auto"/>
        <w:rPr>
          <w:rFonts w:ascii="Times New Roman" w:hAnsi="Times New Roman"/>
          <w:b/>
          <w:bCs/>
          <w:sz w:val="24"/>
          <w:szCs w:val="24"/>
        </w:rPr>
      </w:pPr>
      <w:r>
        <w:rPr>
          <w:rFonts w:ascii="Times New Roman" w:hAnsi="Times New Roman" w:cs="Times New Roman"/>
          <w:b/>
          <w:bCs/>
          <w:sz w:val="24"/>
          <w:szCs w:val="24"/>
        </w:rPr>
        <w:t xml:space="preserve">Supplementary </w:t>
      </w:r>
      <w:r>
        <w:rPr>
          <w:rFonts w:ascii="Times New Roman" w:hAnsi="Times New Roman"/>
          <w:b/>
          <w:bCs/>
          <w:sz w:val="24"/>
          <w:szCs w:val="24"/>
        </w:rPr>
        <w:t>Methods</w:t>
      </w:r>
    </w:p>
    <w:p w:rsidR="00F7722D" w:rsidRDefault="00F7722D" w:rsidP="00F7722D">
      <w:pPr>
        <w:spacing w:line="360" w:lineRule="auto"/>
        <w:rPr>
          <w:rFonts w:ascii="Times New Roman" w:hAnsi="Times New Roman"/>
          <w:b/>
          <w:bCs/>
          <w:sz w:val="24"/>
          <w:szCs w:val="24"/>
        </w:rPr>
      </w:pPr>
      <w:bookmarkStart w:id="1" w:name="OLE_LINK2"/>
      <w:bookmarkStart w:id="2" w:name="OLE_LINK1"/>
      <w:r>
        <w:rPr>
          <w:rFonts w:ascii="Times New Roman" w:hAnsi="Times New Roman" w:hint="eastAsia"/>
          <w:b/>
          <w:bCs/>
          <w:sz w:val="24"/>
          <w:szCs w:val="24"/>
        </w:rPr>
        <w:t>Clinical</w:t>
      </w:r>
      <w:r>
        <w:rPr>
          <w:rFonts w:ascii="Times New Roman" w:hAnsi="Times New Roman"/>
          <w:b/>
          <w:bCs/>
          <w:sz w:val="24"/>
          <w:szCs w:val="24"/>
        </w:rPr>
        <w:t xml:space="preserve"> </w:t>
      </w:r>
      <w:r>
        <w:rPr>
          <w:rFonts w:ascii="Times New Roman" w:hAnsi="Times New Roman" w:hint="eastAsia"/>
          <w:b/>
          <w:bCs/>
          <w:sz w:val="24"/>
          <w:szCs w:val="24"/>
        </w:rPr>
        <w:t>sam</w:t>
      </w:r>
      <w:r>
        <w:rPr>
          <w:rFonts w:ascii="Times New Roman" w:hAnsi="Times New Roman"/>
          <w:b/>
          <w:bCs/>
          <w:sz w:val="24"/>
          <w:szCs w:val="24"/>
        </w:rPr>
        <w:t xml:space="preserve">ples </w:t>
      </w:r>
    </w:p>
    <w:p w:rsidR="00F7722D" w:rsidRPr="008775A8" w:rsidRDefault="00F7722D" w:rsidP="00E813EB">
      <w:pPr>
        <w:spacing w:line="360" w:lineRule="auto"/>
        <w:rPr>
          <w:rFonts w:ascii="Times New Roman" w:hAnsi="Times New Roman"/>
          <w:sz w:val="24"/>
          <w:szCs w:val="24"/>
        </w:rPr>
      </w:pPr>
      <w:r>
        <w:rPr>
          <w:rFonts w:ascii="Times New Roman" w:hAnsi="Times New Roman" w:hint="eastAsia"/>
          <w:sz w:val="24"/>
          <w:szCs w:val="24"/>
        </w:rPr>
        <w:t xml:space="preserve">Normal brain tissues were obtained from automobile accident patients without glioma. </w:t>
      </w:r>
      <w:r>
        <w:rPr>
          <w:rFonts w:ascii="Times New Roman" w:eastAsia="宋体" w:hAnsi="Times New Roman"/>
          <w:color w:val="131413"/>
          <w:kern w:val="0"/>
          <w:sz w:val="24"/>
          <w:szCs w:val="24"/>
        </w:rPr>
        <w:t>Informed consent was provided by all patients, and the Ethics Committee of Tongji Medical College</w:t>
      </w:r>
      <w:r>
        <w:rPr>
          <w:rFonts w:ascii="Times New Roman" w:eastAsia="宋体" w:hAnsi="Times New Roman" w:hint="eastAsia"/>
          <w:color w:val="131413"/>
          <w:kern w:val="0"/>
          <w:sz w:val="24"/>
          <w:szCs w:val="24"/>
        </w:rPr>
        <w:t xml:space="preserve"> </w:t>
      </w:r>
      <w:r>
        <w:rPr>
          <w:rFonts w:ascii="Times New Roman" w:eastAsia="宋体" w:hAnsi="Times New Roman"/>
          <w:color w:val="131413"/>
          <w:kern w:val="0"/>
          <w:sz w:val="24"/>
          <w:szCs w:val="24"/>
        </w:rPr>
        <w:t>of Huazhong University of Science and Technology</w:t>
      </w:r>
      <w:r>
        <w:rPr>
          <w:rFonts w:ascii="Times New Roman" w:eastAsia="宋体" w:hAnsi="Times New Roman" w:hint="eastAsia"/>
          <w:color w:val="131413"/>
          <w:kern w:val="0"/>
          <w:sz w:val="24"/>
          <w:szCs w:val="24"/>
        </w:rPr>
        <w:t xml:space="preserve"> </w:t>
      </w:r>
      <w:r>
        <w:rPr>
          <w:rFonts w:ascii="Times New Roman" w:eastAsia="宋体" w:hAnsi="Times New Roman"/>
          <w:color w:val="131413"/>
          <w:kern w:val="0"/>
          <w:sz w:val="24"/>
          <w:szCs w:val="24"/>
        </w:rPr>
        <w:t>(S156) approved all aspects of this study.</w:t>
      </w:r>
      <w:r>
        <w:rPr>
          <w:rFonts w:ascii="Times New Roman" w:hAnsi="Times New Roman" w:hint="eastAsia"/>
          <w:sz w:val="24"/>
          <w:szCs w:val="24"/>
        </w:rPr>
        <w:t xml:space="preserve"> Each specimen was divided into three samples for: (i) formalin fixation and paraffin embedding, (ii) protein and RNA extraction, and (iii) primary glioma cell culture. </w:t>
      </w:r>
    </w:p>
    <w:p w:rsidR="00E813EB" w:rsidRDefault="00E813EB" w:rsidP="00E813EB">
      <w:pPr>
        <w:spacing w:line="360" w:lineRule="auto"/>
        <w:rPr>
          <w:rFonts w:ascii="Times New Roman" w:hAnsi="Times New Roman"/>
          <w:b/>
          <w:bCs/>
          <w:sz w:val="24"/>
          <w:szCs w:val="24"/>
        </w:rPr>
      </w:pPr>
      <w:r>
        <w:rPr>
          <w:rFonts w:ascii="Times New Roman" w:hAnsi="Times New Roman" w:hint="eastAsia"/>
          <w:b/>
          <w:bCs/>
          <w:sz w:val="24"/>
          <w:szCs w:val="24"/>
        </w:rPr>
        <w:t>C</w:t>
      </w:r>
      <w:r>
        <w:rPr>
          <w:rFonts w:ascii="Times New Roman" w:hAnsi="Times New Roman"/>
          <w:b/>
          <w:bCs/>
          <w:sz w:val="24"/>
          <w:szCs w:val="24"/>
        </w:rPr>
        <w:t xml:space="preserve">ell culture and treatment </w:t>
      </w:r>
    </w:p>
    <w:p w:rsidR="00E813EB" w:rsidRDefault="00E813EB" w:rsidP="00E813EB">
      <w:pPr>
        <w:spacing w:line="360" w:lineRule="auto"/>
        <w:rPr>
          <w:rFonts w:ascii="Times New Roman" w:hAnsi="Times New Roman"/>
          <w:sz w:val="24"/>
          <w:szCs w:val="24"/>
        </w:rPr>
      </w:pPr>
      <w:r>
        <w:rPr>
          <w:rFonts w:ascii="Times New Roman" w:hAnsi="Times New Roman"/>
          <w:sz w:val="24"/>
          <w:szCs w:val="24"/>
        </w:rPr>
        <w:t>The glioma cell lines U-87MG (HTB-14) were obtained from the American Type Culture Collection (Manassas, VA, USA), U251 (</w:t>
      </w:r>
      <w:hyperlink r:id="rId6" w:history="1">
        <w:r>
          <w:rPr>
            <w:rFonts w:ascii="Times New Roman" w:hAnsi="Times New Roman"/>
            <w:sz w:val="24"/>
            <w:szCs w:val="24"/>
          </w:rPr>
          <w:t>TCHu 58</w:t>
        </w:r>
      </w:hyperlink>
      <w:r>
        <w:rPr>
          <w:rFonts w:ascii="Times New Roman" w:hAnsi="Times New Roman"/>
          <w:sz w:val="24"/>
          <w:szCs w:val="24"/>
        </w:rPr>
        <w:t>) were obtained from the Cell Bank of the Chinese Academy of Sciences (Shanghai, China), and cultured in Dulbecco’s modified Eagle’s medium (Gibco, Waltham, MA, USA) supplemented with 10% fetal bovine serum (Gibco), glutamine (Gibco), and 1% penicillin-streptomycin (Gibco) in 5% CO2 at 37 °C. Two primary glioma cell cultures (P1 and P2) were established as described previously [</w:t>
      </w:r>
      <w:r w:rsidR="00446609">
        <w:rPr>
          <w:rFonts w:ascii="Times New Roman" w:hAnsi="Times New Roman"/>
          <w:sz w:val="24"/>
          <w:szCs w:val="24"/>
        </w:rPr>
        <w:t>1-2</w:t>
      </w:r>
      <w:r>
        <w:rPr>
          <w:rFonts w:ascii="Times New Roman" w:hAnsi="Times New Roman"/>
          <w:sz w:val="24"/>
          <w:szCs w:val="24"/>
        </w:rPr>
        <w:t>]. Briefly, tumor tissue was retrieved intraoperatively, suspended as single cells, which were cultured in Iscove’s modified Dulbecco’s medium supplemented with 20% fetal bovine serum (Gibco, Waltham, MA, USA), 1% penicillin-streptomycin (Gibco), and 1% sodium pyruvate in Iscove’s modified Dulbecco’s medium. Short tandem repeat (STR) analysis was done on all cells and they were regularly tested for mycoplasma contamination. For erastin treatment, cells were treated with 10 μM erastin for 24 h [</w:t>
      </w:r>
      <w:r w:rsidR="00A34D43">
        <w:rPr>
          <w:rFonts w:ascii="Times New Roman" w:hAnsi="Times New Roman"/>
          <w:sz w:val="24"/>
          <w:szCs w:val="24"/>
        </w:rPr>
        <w:t>3</w:t>
      </w:r>
      <w:r>
        <w:rPr>
          <w:rFonts w:ascii="Times New Roman" w:hAnsi="Times New Roman"/>
          <w:sz w:val="24"/>
          <w:szCs w:val="24"/>
        </w:rPr>
        <w:t>].</w:t>
      </w:r>
    </w:p>
    <w:p w:rsidR="00695AC9" w:rsidRDefault="00695AC9" w:rsidP="00695AC9">
      <w:pPr>
        <w:spacing w:line="360" w:lineRule="auto"/>
        <w:rPr>
          <w:rFonts w:ascii="Times New Roman" w:hAnsi="Times New Roman"/>
          <w:b/>
          <w:bCs/>
          <w:sz w:val="24"/>
          <w:szCs w:val="24"/>
        </w:rPr>
      </w:pPr>
      <w:r>
        <w:rPr>
          <w:rFonts w:ascii="Times New Roman" w:hAnsi="Times New Roman" w:hint="eastAsia"/>
          <w:b/>
          <w:bCs/>
          <w:sz w:val="24"/>
          <w:szCs w:val="24"/>
        </w:rPr>
        <w:lastRenderedPageBreak/>
        <w:t>Plasmids, small interfering RNA (siRNA), and transfection</w:t>
      </w:r>
    </w:p>
    <w:p w:rsidR="00695AC9" w:rsidRDefault="00695AC9" w:rsidP="00695AC9">
      <w:pPr>
        <w:spacing w:line="360" w:lineRule="auto"/>
        <w:rPr>
          <w:rFonts w:ascii="Times New Roman" w:hAnsi="Times New Roman"/>
          <w:sz w:val="24"/>
          <w:szCs w:val="24"/>
        </w:rPr>
      </w:pPr>
      <w:r>
        <w:rPr>
          <w:rFonts w:ascii="Times New Roman" w:hAnsi="Times New Roman" w:hint="eastAsia"/>
          <w:sz w:val="24"/>
          <w:szCs w:val="24"/>
        </w:rPr>
        <w:t>Glioma cells were transfected with siRNAs targeting hypoxia-inducible factor 1-alpha (</w:t>
      </w:r>
      <w:r>
        <w:rPr>
          <w:rFonts w:ascii="Times New Roman" w:hAnsi="Times New Roman"/>
          <w:i/>
          <w:iCs/>
          <w:sz w:val="24"/>
          <w:szCs w:val="24"/>
        </w:rPr>
        <w:t>HIF-1α</w:t>
      </w:r>
      <w:r>
        <w:rPr>
          <w:rFonts w:ascii="Times New Roman" w:hAnsi="Times New Roman" w:hint="eastAsia"/>
          <w:sz w:val="24"/>
          <w:szCs w:val="24"/>
        </w:rPr>
        <w:t xml:space="preserve">), Linc01060, and </w:t>
      </w:r>
      <w:r>
        <w:rPr>
          <w:rFonts w:ascii="Times New Roman" w:hAnsi="Times New Roman" w:hint="eastAsia"/>
          <w:i/>
          <w:iCs/>
          <w:sz w:val="24"/>
          <w:szCs w:val="24"/>
        </w:rPr>
        <w:t>c-Myc</w:t>
      </w:r>
      <w:r>
        <w:rPr>
          <w:rFonts w:ascii="Times New Roman" w:hAnsi="Times New Roman" w:hint="eastAsia"/>
          <w:sz w:val="24"/>
          <w:szCs w:val="24"/>
        </w:rPr>
        <w:t xml:space="preserve"> using Lipofectamine 3000 (Invitrogen, Waltham, MA, USA)</w:t>
      </w:r>
      <w:r>
        <w:rPr>
          <w:rFonts w:ascii="Times New Roman" w:hAnsi="Times New Roman"/>
          <w:sz w:val="24"/>
          <w:szCs w:val="24"/>
        </w:rPr>
        <w:t xml:space="preserve"> as per the manufacturer’s instructions</w:t>
      </w:r>
      <w:r>
        <w:rPr>
          <w:rFonts w:ascii="Times New Roman" w:hAnsi="Times New Roman" w:hint="eastAsia"/>
          <w:sz w:val="24"/>
          <w:szCs w:val="24"/>
        </w:rPr>
        <w:t xml:space="preserve">. The full-length cDNA of </w:t>
      </w:r>
      <w:r>
        <w:rPr>
          <w:rFonts w:ascii="Times New Roman" w:hAnsi="Times New Roman"/>
          <w:sz w:val="24"/>
          <w:szCs w:val="24"/>
        </w:rPr>
        <w:t>HIF-1α</w:t>
      </w:r>
      <w:r>
        <w:rPr>
          <w:rFonts w:ascii="Times New Roman" w:hAnsi="Times New Roman" w:hint="eastAsia"/>
          <w:sz w:val="24"/>
          <w:szCs w:val="24"/>
        </w:rPr>
        <w:t xml:space="preserve">, Linc01060, SPOP, and c-Myc were cloned from </w:t>
      </w:r>
      <w:r>
        <w:rPr>
          <w:rFonts w:ascii="Times New Roman" w:hAnsi="Times New Roman"/>
          <w:sz w:val="24"/>
          <w:szCs w:val="24"/>
        </w:rPr>
        <w:t>template-strand</w:t>
      </w:r>
      <w:r>
        <w:rPr>
          <w:rFonts w:ascii="Times New Roman" w:hAnsi="Times New Roman" w:hint="eastAsia"/>
          <w:sz w:val="24"/>
          <w:szCs w:val="24"/>
        </w:rPr>
        <w:t xml:space="preserve"> cDNA by PCR. </w:t>
      </w:r>
      <w:r>
        <w:rPr>
          <w:rFonts w:ascii="Times New Roman" w:hAnsi="Times New Roman"/>
          <w:sz w:val="24"/>
          <w:szCs w:val="24"/>
        </w:rPr>
        <w:t>HIF-1α</w:t>
      </w:r>
      <w:r>
        <w:rPr>
          <w:rFonts w:ascii="Times New Roman" w:hAnsi="Times New Roman" w:hint="eastAsia"/>
          <w:sz w:val="24"/>
          <w:szCs w:val="24"/>
        </w:rPr>
        <w:t>, Linc01060, SPOP, c-Myc, mutant Linc01060, and mutant SPOP expression vectors were constructed by cloning full-length or mutant cDNA into pcDNA3.1 vectors</w:t>
      </w:r>
      <w:r>
        <w:rPr>
          <w:rFonts w:ascii="Times New Roman" w:hAnsi="Times New Roman"/>
          <w:sz w:val="24"/>
          <w:szCs w:val="24"/>
        </w:rPr>
        <w:t xml:space="preserve"> (Sigma-Aldrich, St Louis, MO, USA)</w:t>
      </w:r>
      <w:r w:rsidR="00195DA8">
        <w:rPr>
          <w:rFonts w:ascii="Times New Roman" w:hAnsi="Times New Roman" w:hint="eastAsia"/>
          <w:sz w:val="24"/>
          <w:szCs w:val="24"/>
        </w:rPr>
        <w:t>.</w:t>
      </w:r>
    </w:p>
    <w:p w:rsidR="00A945CF" w:rsidRDefault="00A945CF" w:rsidP="00A945CF">
      <w:pPr>
        <w:spacing w:line="360" w:lineRule="auto"/>
        <w:rPr>
          <w:rFonts w:ascii="Times New Roman" w:hAnsi="Times New Roman"/>
          <w:b/>
          <w:bCs/>
          <w:sz w:val="24"/>
          <w:szCs w:val="24"/>
        </w:rPr>
      </w:pPr>
      <w:r>
        <w:rPr>
          <w:rFonts w:ascii="Times New Roman" w:hAnsi="Times New Roman"/>
          <w:b/>
          <w:bCs/>
          <w:sz w:val="24"/>
          <w:szCs w:val="24"/>
        </w:rPr>
        <w:t>Real-time quantitative RT-PCR (qRT-PCR)</w:t>
      </w:r>
    </w:p>
    <w:p w:rsidR="00A945CF" w:rsidRDefault="00A945CF" w:rsidP="00A945CF">
      <w:pPr>
        <w:spacing w:line="480" w:lineRule="auto"/>
        <w:rPr>
          <w:rFonts w:ascii="Times New Roman" w:hAnsi="Times New Roman"/>
          <w:sz w:val="24"/>
          <w:szCs w:val="24"/>
        </w:rPr>
      </w:pPr>
      <w:r>
        <w:rPr>
          <w:rFonts w:ascii="Times New Roman" w:hAnsi="Times New Roman" w:hint="eastAsia"/>
          <w:sz w:val="24"/>
          <w:szCs w:val="24"/>
        </w:rPr>
        <w:t xml:space="preserve">Total RNA was extracted from tissue samples using TRIzol (Invitrogen). </w:t>
      </w:r>
      <w:r>
        <w:rPr>
          <w:rFonts w:ascii="Times New Roman" w:hAnsi="Times New Roman"/>
          <w:sz w:val="24"/>
          <w:szCs w:val="24"/>
        </w:rPr>
        <w:t>cDNA was synthesized using the HiScript III 1st Strand cDNA Synthesis Kit (R312-01; Vazyme, Nanjing, China) according to the manufacturer’s instructions.</w:t>
      </w:r>
      <w:r>
        <w:rPr>
          <w:rFonts w:ascii="Times New Roman" w:hAnsi="Times New Roman" w:hint="eastAsia"/>
          <w:sz w:val="24"/>
          <w:szCs w:val="24"/>
        </w:rPr>
        <w:t xml:space="preserve"> RT-qPCR analysis was performed on a 7500 Fast Real-Time PCR system (Applied Biosystems, Foster City, CA, USA) using the AceQ qPCR SYBR Green Master Mix (Q111-C1; Vazyme). The primers used in the present study were chemically synthesized by GeneCreate (Wuhan, China).</w:t>
      </w:r>
    </w:p>
    <w:p w:rsidR="000D6B92" w:rsidRDefault="000D6B92" w:rsidP="000D6B92">
      <w:pPr>
        <w:spacing w:line="360" w:lineRule="auto"/>
        <w:rPr>
          <w:rFonts w:ascii="Times New Roman" w:hAnsi="Times New Roman"/>
          <w:b/>
          <w:bCs/>
          <w:sz w:val="24"/>
          <w:szCs w:val="24"/>
        </w:rPr>
      </w:pPr>
      <w:r>
        <w:rPr>
          <w:rFonts w:ascii="Times New Roman" w:hAnsi="Times New Roman"/>
          <w:b/>
          <w:bCs/>
          <w:sz w:val="24"/>
          <w:szCs w:val="24"/>
        </w:rPr>
        <w:t>Bioinformatic analysis</w:t>
      </w:r>
    </w:p>
    <w:p w:rsidR="00E813EB" w:rsidRPr="00522E7F" w:rsidRDefault="000D6B92" w:rsidP="000D4510">
      <w:pPr>
        <w:spacing w:line="360" w:lineRule="auto"/>
        <w:rPr>
          <w:rFonts w:ascii="Times New Roman" w:hAnsi="Times New Roman"/>
          <w:sz w:val="24"/>
          <w:szCs w:val="24"/>
        </w:rPr>
      </w:pPr>
      <w:r>
        <w:rPr>
          <w:rFonts w:ascii="Times New Roman" w:hAnsi="Times New Roman"/>
          <w:sz w:val="24"/>
          <w:szCs w:val="24"/>
        </w:rPr>
        <w:t>The fragments per kilobase of transcript per million mapped reads (FPKM) transcriptome RNA-sequencing data and clinical features of patients with glioma were extracted from The Cancer Genome Atlas (TCGA) (https://cancergenome.nih.gov/). FPKM transcriptome RNA-sequencing data of normal brain tissue were downloaded from the Genotype Tissue Expression (GTEx) database [</w:t>
      </w:r>
      <w:r w:rsidR="00E11862">
        <w:rPr>
          <w:rFonts w:ascii="Times New Roman" w:hAnsi="Times New Roman"/>
          <w:sz w:val="24"/>
          <w:szCs w:val="24"/>
        </w:rPr>
        <w:t>4</w:t>
      </w:r>
      <w:r>
        <w:rPr>
          <w:rFonts w:ascii="Times New Roman" w:hAnsi="Times New Roman"/>
          <w:sz w:val="24"/>
          <w:szCs w:val="24"/>
        </w:rPr>
        <w:t xml:space="preserve">]. Survival curves were constructed using the Kaplan–Meier method and differences between groups were compared using the log-rank test. The results of the independent sample </w:t>
      </w:r>
      <w:r>
        <w:rPr>
          <w:rFonts w:ascii="Times New Roman" w:hAnsi="Times New Roman"/>
          <w:i/>
          <w:sz w:val="24"/>
          <w:szCs w:val="24"/>
        </w:rPr>
        <w:t>t</w:t>
      </w:r>
      <w:r>
        <w:rPr>
          <w:rFonts w:ascii="Times New Roman" w:hAnsi="Times New Roman"/>
          <w:sz w:val="24"/>
          <w:szCs w:val="24"/>
        </w:rPr>
        <w:t xml:space="preserve">-tests comparing the two groups were expressed as </w:t>
      </w:r>
      <w:r>
        <w:rPr>
          <w:rFonts w:ascii="Times New Roman" w:hAnsi="Times New Roman"/>
          <w:i/>
          <w:sz w:val="24"/>
          <w:szCs w:val="24"/>
        </w:rPr>
        <w:t>t</w:t>
      </w:r>
      <w:r>
        <w:rPr>
          <w:rFonts w:ascii="Times New Roman" w:hAnsi="Times New Roman"/>
          <w:sz w:val="24"/>
          <w:szCs w:val="24"/>
        </w:rPr>
        <w:t>-test values. P value &lt; 0.05 was considered significant (ns: p 0.05, *: p ≤ 0.05, **: p ≤ 0.01, ***: p ≤ 0.001).</w:t>
      </w:r>
      <w:r>
        <w:rPr>
          <w:rFonts w:ascii="Times New Roman" w:hAnsi="Times New Roman" w:hint="eastAsia"/>
          <w:sz w:val="24"/>
          <w:szCs w:val="24"/>
        </w:rPr>
        <w:t xml:space="preserve"> </w:t>
      </w:r>
      <w:r>
        <w:rPr>
          <w:rFonts w:ascii="Times New Roman" w:hAnsi="Times New Roman"/>
          <w:sz w:val="24"/>
          <w:szCs w:val="24"/>
        </w:rPr>
        <w:t xml:space="preserve">Correlation analyses were performed using Pearson correlation. </w:t>
      </w:r>
    </w:p>
    <w:p w:rsidR="000D4510" w:rsidRDefault="000D4510" w:rsidP="000D4510">
      <w:pPr>
        <w:spacing w:line="360" w:lineRule="auto"/>
        <w:rPr>
          <w:rFonts w:ascii="Times New Roman" w:hAnsi="Times New Roman"/>
          <w:b/>
          <w:bCs/>
          <w:sz w:val="24"/>
          <w:szCs w:val="24"/>
        </w:rPr>
      </w:pPr>
      <w:r>
        <w:rPr>
          <w:rFonts w:ascii="Times New Roman" w:hAnsi="Times New Roman"/>
          <w:b/>
          <w:bCs/>
          <w:sz w:val="24"/>
          <w:szCs w:val="24"/>
        </w:rPr>
        <w:lastRenderedPageBreak/>
        <w:t>Iron detection assay</w:t>
      </w:r>
    </w:p>
    <w:bookmarkEnd w:id="1"/>
    <w:bookmarkEnd w:id="2"/>
    <w:p w:rsidR="00F9640F" w:rsidRDefault="000D4510" w:rsidP="000D4510">
      <w:pPr>
        <w:spacing w:line="360" w:lineRule="auto"/>
        <w:rPr>
          <w:rFonts w:ascii="Times New Roman" w:hAnsi="Times New Roman"/>
          <w:sz w:val="24"/>
          <w:szCs w:val="24"/>
        </w:rPr>
      </w:pPr>
      <w:r>
        <w:rPr>
          <w:rFonts w:ascii="Times New Roman" w:hAnsi="Times New Roman"/>
          <w:sz w:val="24"/>
          <w:szCs w:val="24"/>
        </w:rPr>
        <w:t>An iron assay kit (ab83366, Abcam, Cambridge, UK) was used to detect intracellular ferrous iron (Fe</w:t>
      </w:r>
      <w:r>
        <w:rPr>
          <w:rFonts w:ascii="Times New Roman" w:hAnsi="Times New Roman"/>
          <w:sz w:val="24"/>
          <w:szCs w:val="24"/>
          <w:vertAlign w:val="superscript"/>
        </w:rPr>
        <w:t>2+</w:t>
      </w:r>
      <w:r>
        <w:rPr>
          <w:rFonts w:ascii="Times New Roman" w:hAnsi="Times New Roman"/>
          <w:sz w:val="24"/>
          <w:szCs w:val="24"/>
        </w:rPr>
        <w:t>) levels. Cells were seeded at a density of 3 × 10</w:t>
      </w:r>
      <w:r>
        <w:rPr>
          <w:rFonts w:ascii="Times New Roman" w:hAnsi="Times New Roman"/>
          <w:sz w:val="24"/>
          <w:szCs w:val="24"/>
          <w:vertAlign w:val="superscript"/>
        </w:rPr>
        <w:t>5</w:t>
      </w:r>
      <w:r>
        <w:rPr>
          <w:rFonts w:ascii="Times New Roman" w:hAnsi="Times New Roman"/>
          <w:sz w:val="24"/>
          <w:szCs w:val="24"/>
        </w:rPr>
        <w:t>/well in 96-well plates, and cultured for 24 h. Cells were then collected,</w:t>
      </w:r>
      <w:r>
        <w:rPr>
          <w:rFonts w:ascii="Times New Roman" w:hAnsi="Times New Roman" w:hint="eastAsia"/>
          <w:sz w:val="24"/>
          <w:szCs w:val="24"/>
        </w:rPr>
        <w:t xml:space="preserve"> </w:t>
      </w:r>
      <w:r>
        <w:rPr>
          <w:rFonts w:ascii="Times New Roman" w:hAnsi="Times New Roman"/>
          <w:sz w:val="24"/>
          <w:szCs w:val="24"/>
        </w:rPr>
        <w:t>washed thrice with PBS, and homogenized in iron assay buffer on ice for 10 min, and centrifuged at 12,000 ×</w:t>
      </w:r>
      <w:r>
        <w:rPr>
          <w:rFonts w:ascii="Times New Roman" w:hAnsi="Times New Roman"/>
          <w:i/>
          <w:sz w:val="24"/>
          <w:szCs w:val="24"/>
        </w:rPr>
        <w:t>g</w:t>
      </w:r>
      <w:r>
        <w:rPr>
          <w:rFonts w:ascii="Times New Roman" w:hAnsi="Times New Roman"/>
          <w:sz w:val="24"/>
          <w:szCs w:val="24"/>
        </w:rPr>
        <w:t xml:space="preserve"> for 15 min at 4 °C. The supernatant was collected, iron reducer was added, the solution was mixed, and incubated at 27 °C for 30 min. Finally, iron probe was added and the solution was incubated for 1 h at 25 °C in the dark.</w:t>
      </w:r>
    </w:p>
    <w:p w:rsidR="00522E7F" w:rsidRPr="00664D72" w:rsidRDefault="00664D72" w:rsidP="000D4510">
      <w:pPr>
        <w:spacing w:line="360" w:lineRule="auto"/>
        <w:rPr>
          <w:rFonts w:ascii="Times New Roman" w:hAnsi="Times New Roman"/>
          <w:b/>
          <w:bCs/>
          <w:sz w:val="24"/>
          <w:szCs w:val="24"/>
        </w:rPr>
      </w:pPr>
      <w:r w:rsidRPr="00664D72">
        <w:rPr>
          <w:rFonts w:ascii="Times New Roman" w:hAnsi="Times New Roman"/>
          <w:b/>
          <w:bCs/>
          <w:sz w:val="24"/>
          <w:szCs w:val="24"/>
        </w:rPr>
        <w:t>Lipid peroxidation</w:t>
      </w:r>
    </w:p>
    <w:p w:rsidR="004F158D" w:rsidRDefault="0012215C" w:rsidP="00CD5F6A">
      <w:pPr>
        <w:spacing w:line="360" w:lineRule="auto"/>
        <w:rPr>
          <w:rFonts w:ascii="Times New Roman" w:hAnsi="Times New Roman"/>
          <w:sz w:val="24"/>
          <w:szCs w:val="24"/>
        </w:rPr>
      </w:pPr>
      <w:r w:rsidRPr="0012215C">
        <w:rPr>
          <w:rFonts w:ascii="Times New Roman" w:hAnsi="Times New Roman"/>
          <w:sz w:val="24"/>
          <w:szCs w:val="24"/>
        </w:rPr>
        <w:t xml:space="preserve">A fluorescent dye, </w:t>
      </w:r>
      <w:r w:rsidRPr="00404756">
        <w:rPr>
          <w:rFonts w:ascii="Times New Roman" w:hAnsi="Times New Roman"/>
          <w:sz w:val="24"/>
          <w:szCs w:val="24"/>
        </w:rPr>
        <w:t>BODIPY 581/ 591 C11</w:t>
      </w:r>
      <w:r>
        <w:rPr>
          <w:rFonts w:ascii="Times New Roman" w:hAnsi="Times New Roman"/>
          <w:sz w:val="24"/>
          <w:szCs w:val="24"/>
        </w:rPr>
        <w:t xml:space="preserve"> (</w:t>
      </w:r>
      <w:r w:rsidR="00E5005E" w:rsidRPr="00E5005E">
        <w:rPr>
          <w:rFonts w:ascii="Times New Roman" w:hAnsi="Times New Roman"/>
          <w:sz w:val="24"/>
          <w:szCs w:val="24"/>
        </w:rPr>
        <w:t>lipid peroxidation sensor</w:t>
      </w:r>
      <w:r w:rsidR="00E5005E">
        <w:rPr>
          <w:rFonts w:ascii="Times New Roman" w:hAnsi="Times New Roman"/>
          <w:sz w:val="24"/>
          <w:szCs w:val="24"/>
        </w:rPr>
        <w:t xml:space="preserve">, </w:t>
      </w:r>
      <w:r w:rsidR="00236DA3" w:rsidRPr="00F727B2">
        <w:rPr>
          <w:rFonts w:ascii="Times New Roman" w:hAnsi="Times New Roman" w:hint="eastAsia"/>
          <w:sz w:val="24"/>
          <w:szCs w:val="24"/>
        </w:rPr>
        <w:t>Thermo Fisher</w:t>
      </w:r>
      <w:r>
        <w:rPr>
          <w:rFonts w:ascii="Times New Roman" w:hAnsi="Times New Roman"/>
          <w:sz w:val="24"/>
          <w:szCs w:val="24"/>
        </w:rPr>
        <w:t>)</w:t>
      </w:r>
      <w:r w:rsidRPr="0012215C">
        <w:rPr>
          <w:rFonts w:ascii="Times New Roman" w:hAnsi="Times New Roman"/>
          <w:sz w:val="24"/>
          <w:szCs w:val="24"/>
        </w:rPr>
        <w:t>, was added to cells. This dye allowed the assessment of oxidized versus non-oxidized lipids by fluorescing green in the presence of oxidized lipids.</w:t>
      </w:r>
      <w:r w:rsidR="00A92B7E">
        <w:rPr>
          <w:rFonts w:ascii="Times New Roman" w:hAnsi="Times New Roman"/>
          <w:sz w:val="24"/>
          <w:szCs w:val="24"/>
        </w:rPr>
        <w:t xml:space="preserve"> </w:t>
      </w:r>
      <w:r w:rsidR="00C32B88" w:rsidRPr="00C32B88">
        <w:rPr>
          <w:rFonts w:ascii="Times New Roman" w:hAnsi="Times New Roman"/>
          <w:sz w:val="24"/>
          <w:szCs w:val="24"/>
        </w:rPr>
        <w:t xml:space="preserve">Prior to </w:t>
      </w:r>
      <w:r w:rsidR="00C32B88">
        <w:rPr>
          <w:rFonts w:ascii="Times New Roman" w:hAnsi="Times New Roman"/>
          <w:sz w:val="24"/>
          <w:szCs w:val="24"/>
        </w:rPr>
        <w:t>different</w:t>
      </w:r>
      <w:r w:rsidR="00C32B88" w:rsidRPr="00C32B88">
        <w:rPr>
          <w:rFonts w:ascii="Times New Roman" w:hAnsi="Times New Roman"/>
          <w:sz w:val="24"/>
          <w:szCs w:val="24"/>
        </w:rPr>
        <w:t xml:space="preserve"> treatment, cells were stained for 30 minutes with a 10 m solution of BODIPY-C11.</w:t>
      </w:r>
      <w:r w:rsidR="004F158D">
        <w:rPr>
          <w:rFonts w:ascii="Times New Roman" w:hAnsi="Times New Roman" w:hint="eastAsia"/>
          <w:sz w:val="24"/>
          <w:szCs w:val="24"/>
        </w:rPr>
        <w:t xml:space="preserve"> </w:t>
      </w:r>
      <w:r w:rsidR="003A43E2" w:rsidRPr="003A43E2">
        <w:rPr>
          <w:rFonts w:ascii="Times New Roman" w:hAnsi="Times New Roman"/>
          <w:sz w:val="24"/>
          <w:szCs w:val="24"/>
        </w:rPr>
        <w:t>Using the manufacturer's instructions, we extracted lipids.</w:t>
      </w:r>
      <w:r w:rsidR="004F158D">
        <w:rPr>
          <w:rFonts w:ascii="Times New Roman" w:hAnsi="Times New Roman" w:hint="eastAsia"/>
          <w:sz w:val="24"/>
          <w:szCs w:val="24"/>
        </w:rPr>
        <w:t xml:space="preserve"> </w:t>
      </w:r>
      <w:r w:rsidR="0018639A" w:rsidRPr="0018639A">
        <w:rPr>
          <w:rFonts w:ascii="Times New Roman" w:hAnsi="Times New Roman"/>
          <w:sz w:val="24"/>
          <w:szCs w:val="24"/>
        </w:rPr>
        <w:t>Extractions were followed by the addition of 0.9% NaCl solution and the collection of chloroform-containing phase.</w:t>
      </w:r>
      <w:r w:rsidR="004F158D">
        <w:rPr>
          <w:rFonts w:ascii="Times New Roman" w:hAnsi="Times New Roman" w:hint="eastAsia"/>
          <w:sz w:val="24"/>
          <w:szCs w:val="24"/>
        </w:rPr>
        <w:t xml:space="preserve"> </w:t>
      </w:r>
      <w:r w:rsidR="0018639A" w:rsidRPr="0018639A">
        <w:rPr>
          <w:rFonts w:ascii="Times New Roman" w:hAnsi="Times New Roman"/>
          <w:sz w:val="24"/>
          <w:szCs w:val="24"/>
        </w:rPr>
        <w:t xml:space="preserve">The spectrafluorometric measurements were conducted using SpectraMax Gemini XS microplate spectrofluorometer </w:t>
      </w:r>
      <w:r w:rsidR="0018639A" w:rsidRPr="00CD5F6A">
        <w:rPr>
          <w:rFonts w:ascii="Times New Roman" w:hAnsi="Times New Roman"/>
          <w:sz w:val="24"/>
          <w:szCs w:val="24"/>
        </w:rPr>
        <w:t>(Molecular Devices Cor</w:t>
      </w:r>
      <w:r w:rsidR="0018639A">
        <w:rPr>
          <w:rFonts w:ascii="Times New Roman" w:hAnsi="Times New Roman"/>
          <w:sz w:val="24"/>
          <w:szCs w:val="24"/>
        </w:rPr>
        <w:t xml:space="preserve">poration, USA) </w:t>
      </w:r>
      <w:r w:rsidR="0018639A" w:rsidRPr="0018639A">
        <w:rPr>
          <w:rFonts w:ascii="Times New Roman" w:hAnsi="Times New Roman"/>
          <w:sz w:val="24"/>
          <w:szCs w:val="24"/>
        </w:rPr>
        <w:t>as soon as the chloroform and lipids were evaporated and the lipids dissolved in isopropanol, respectively.</w:t>
      </w:r>
      <w:r w:rsidR="004F158D">
        <w:rPr>
          <w:rFonts w:ascii="Times New Roman" w:hAnsi="Times New Roman" w:hint="eastAsia"/>
          <w:sz w:val="24"/>
          <w:szCs w:val="24"/>
        </w:rPr>
        <w:t xml:space="preserve"> </w:t>
      </w:r>
      <w:r w:rsidR="004F158D">
        <w:rPr>
          <w:rFonts w:ascii="Times New Roman" w:hAnsi="Times New Roman"/>
          <w:sz w:val="24"/>
          <w:szCs w:val="24"/>
        </w:rPr>
        <w:t>D</w:t>
      </w:r>
      <w:r w:rsidR="004F158D" w:rsidRPr="004F158D">
        <w:rPr>
          <w:rFonts w:ascii="Times New Roman" w:hAnsi="Times New Roman"/>
          <w:sz w:val="24"/>
          <w:szCs w:val="24"/>
        </w:rPr>
        <w:t>ata were analyzed with SPSS software (version 22, IBM, SPSS, Chicago, IL).</w:t>
      </w:r>
      <w:r w:rsidR="004F158D">
        <w:rPr>
          <w:rFonts w:ascii="Times New Roman" w:hAnsi="Times New Roman" w:hint="eastAsia"/>
          <w:sz w:val="24"/>
          <w:szCs w:val="24"/>
        </w:rPr>
        <w:t xml:space="preserve"> </w:t>
      </w:r>
      <w:r w:rsidR="004F158D" w:rsidRPr="004F158D">
        <w:rPr>
          <w:rFonts w:ascii="Times New Roman" w:hAnsi="Times New Roman"/>
          <w:sz w:val="24"/>
          <w:szCs w:val="24"/>
        </w:rPr>
        <w:t>The values are expressed as means ± SEM relative to the respective serum-free control (taken as 100%).</w:t>
      </w:r>
    </w:p>
    <w:p w:rsidR="00B1515B" w:rsidRDefault="00B1515B" w:rsidP="00B1515B">
      <w:pPr>
        <w:spacing w:line="360" w:lineRule="auto"/>
        <w:rPr>
          <w:rFonts w:ascii="Times New Roman" w:hAnsi="Times New Roman"/>
          <w:b/>
          <w:bCs/>
          <w:sz w:val="24"/>
          <w:szCs w:val="24"/>
        </w:rPr>
      </w:pPr>
      <w:r>
        <w:rPr>
          <w:rFonts w:ascii="Times New Roman" w:hAnsi="Times New Roman"/>
          <w:b/>
          <w:bCs/>
          <w:sz w:val="24"/>
          <w:szCs w:val="24"/>
        </w:rPr>
        <w:t>Coimmunoprecipitation (Co-IP)</w:t>
      </w:r>
    </w:p>
    <w:p w:rsidR="00B1515B" w:rsidRDefault="00B1515B" w:rsidP="00B1515B">
      <w:pPr>
        <w:spacing w:line="360" w:lineRule="auto"/>
        <w:rPr>
          <w:rFonts w:ascii="Times New Roman" w:hAnsi="Times New Roman"/>
          <w:sz w:val="24"/>
          <w:szCs w:val="24"/>
        </w:rPr>
      </w:pPr>
      <w:r>
        <w:rPr>
          <w:rFonts w:ascii="Times New Roman" w:hAnsi="Times New Roman"/>
          <w:sz w:val="24"/>
          <w:szCs w:val="24"/>
        </w:rPr>
        <w:t>Briefly, proteins were first immunoprecipitated with targeted antibodies for 2 h at 4 °C and then incubated with protein A/G-agarose beads overnight at 4 °C. Protein A/G-agarose-antigen-antibody complexes were pelleted by centrifugation at 8,000 rpm for 5 min at 4 °C. The samples were resuspended in SDS loading buffer and denatured at 95–100 °C for 5</w:t>
      </w:r>
      <w:r>
        <w:rPr>
          <w:rFonts w:ascii="Times New Roman" w:eastAsia="MS Gothic" w:hAnsi="Times New Roman"/>
          <w:sz w:val="24"/>
          <w:szCs w:val="24"/>
        </w:rPr>
        <w:t> </w:t>
      </w:r>
      <w:r>
        <w:rPr>
          <w:rFonts w:ascii="Times New Roman" w:hAnsi="Times New Roman"/>
          <w:sz w:val="24"/>
          <w:szCs w:val="24"/>
        </w:rPr>
        <w:t>min before western blot analysis.</w:t>
      </w:r>
    </w:p>
    <w:p w:rsidR="00A77BEE" w:rsidRDefault="00A77BEE" w:rsidP="00A77BEE">
      <w:pPr>
        <w:spacing w:line="360" w:lineRule="auto"/>
        <w:rPr>
          <w:rFonts w:ascii="Times New Roman" w:hAnsi="Times New Roman"/>
          <w:b/>
          <w:bCs/>
          <w:sz w:val="24"/>
          <w:szCs w:val="24"/>
        </w:rPr>
      </w:pPr>
      <w:r>
        <w:rPr>
          <w:rFonts w:ascii="Times New Roman" w:hAnsi="Times New Roman"/>
          <w:b/>
          <w:bCs/>
          <w:sz w:val="24"/>
          <w:szCs w:val="24"/>
        </w:rPr>
        <w:t>RNA immunoprecipitation (RIP)</w:t>
      </w:r>
    </w:p>
    <w:p w:rsidR="00A77BEE" w:rsidRDefault="00A77BEE" w:rsidP="00A77BEE">
      <w:pPr>
        <w:spacing w:line="360" w:lineRule="auto"/>
        <w:rPr>
          <w:rFonts w:ascii="Times New Roman" w:hAnsi="Times New Roman"/>
          <w:sz w:val="24"/>
          <w:szCs w:val="24"/>
        </w:rPr>
      </w:pPr>
      <w:r>
        <w:rPr>
          <w:rFonts w:ascii="Times New Roman" w:hAnsi="Times New Roman"/>
          <w:sz w:val="24"/>
          <w:szCs w:val="24"/>
        </w:rPr>
        <w:t>Briefly, cells were seeded at a density of 8 × 10</w:t>
      </w:r>
      <w:r>
        <w:rPr>
          <w:rFonts w:ascii="Times New Roman" w:hAnsi="Times New Roman"/>
          <w:sz w:val="24"/>
          <w:szCs w:val="24"/>
          <w:vertAlign w:val="superscript"/>
        </w:rPr>
        <w:t>6</w:t>
      </w:r>
      <w:r>
        <w:rPr>
          <w:rFonts w:ascii="Times New Roman" w:hAnsi="Times New Roman"/>
          <w:sz w:val="24"/>
          <w:szCs w:val="24"/>
        </w:rPr>
        <w:t xml:space="preserve">/well in 6-well plates, and cultured for 48 h. Cells were then collected, lysed, sonicated, and centrifuged at 12,000 × g at 4 °C </w:t>
      </w:r>
      <w:r>
        <w:rPr>
          <w:rFonts w:ascii="Times New Roman" w:hAnsi="Times New Roman"/>
          <w:sz w:val="24"/>
          <w:szCs w:val="24"/>
        </w:rPr>
        <w:lastRenderedPageBreak/>
        <w:t xml:space="preserve">for 1 min. The supernatants were incubated with RIP buffer containing magnetic beads conjugated with human anti-SPOP </w:t>
      </w:r>
      <w:r>
        <w:rPr>
          <w:rFonts w:ascii="Times New Roman" w:hAnsi="Times New Roman" w:hint="eastAsia"/>
          <w:sz w:val="24"/>
          <w:szCs w:val="24"/>
        </w:rPr>
        <w:t>(</w:t>
      </w:r>
      <w:r>
        <w:rPr>
          <w:rFonts w:ascii="Times New Roman" w:hAnsi="Times New Roman"/>
          <w:sz w:val="24"/>
          <w:szCs w:val="24"/>
        </w:rPr>
        <w:t>Ab168619, Abcam</w:t>
      </w:r>
      <w:r>
        <w:rPr>
          <w:rFonts w:ascii="Times New Roman" w:hAnsi="Times New Roman" w:hint="eastAsia"/>
          <w:sz w:val="24"/>
          <w:szCs w:val="24"/>
        </w:rPr>
        <w:t xml:space="preserve">, </w:t>
      </w:r>
      <w:r>
        <w:rPr>
          <w:rFonts w:ascii="Times New Roman" w:hAnsi="Times New Roman"/>
          <w:sz w:val="24"/>
          <w:szCs w:val="24"/>
        </w:rPr>
        <w:t>Cambridge, USA</w:t>
      </w:r>
      <w:r>
        <w:rPr>
          <w:rFonts w:ascii="Times New Roman" w:hAnsi="Times New Roman" w:hint="eastAsia"/>
          <w:sz w:val="24"/>
          <w:szCs w:val="24"/>
        </w:rPr>
        <w:t xml:space="preserve">) </w:t>
      </w:r>
      <w:r>
        <w:rPr>
          <w:rFonts w:ascii="Times New Roman" w:hAnsi="Times New Roman"/>
          <w:sz w:val="24"/>
          <w:szCs w:val="24"/>
        </w:rPr>
        <w:t>or IgG (ab172730, Abcam</w:t>
      </w:r>
      <w:r>
        <w:rPr>
          <w:rFonts w:ascii="Times New Roman" w:hAnsi="Times New Roman" w:hint="eastAsia"/>
          <w:sz w:val="24"/>
          <w:szCs w:val="24"/>
        </w:rPr>
        <w:t xml:space="preserve">, </w:t>
      </w:r>
      <w:r>
        <w:rPr>
          <w:rFonts w:ascii="Times New Roman" w:hAnsi="Times New Roman"/>
          <w:sz w:val="24"/>
          <w:szCs w:val="24"/>
        </w:rPr>
        <w:t>Cambridge, USA</w:t>
      </w:r>
      <w:r>
        <w:rPr>
          <w:rFonts w:ascii="Times New Roman" w:hAnsi="Times New Roman" w:hint="eastAsia"/>
          <w:sz w:val="24"/>
          <w:szCs w:val="24"/>
        </w:rPr>
        <w:t xml:space="preserve">) </w:t>
      </w:r>
      <w:r>
        <w:rPr>
          <w:rFonts w:ascii="Times New Roman" w:hAnsi="Times New Roman"/>
          <w:sz w:val="24"/>
          <w:szCs w:val="24"/>
        </w:rPr>
        <w:t>antibodies. To quantify RNA, the immunocomplexes was extracted with TRIzol and measured using qRT-PCR after washing with proteinase K.</w:t>
      </w:r>
    </w:p>
    <w:p w:rsidR="003860C8" w:rsidRDefault="003860C8" w:rsidP="003860C8">
      <w:pPr>
        <w:spacing w:line="360" w:lineRule="auto"/>
        <w:rPr>
          <w:rFonts w:ascii="Times New Roman" w:hAnsi="Times New Roman"/>
          <w:b/>
          <w:bCs/>
          <w:sz w:val="24"/>
          <w:szCs w:val="24"/>
        </w:rPr>
      </w:pPr>
      <w:r>
        <w:rPr>
          <w:rFonts w:ascii="Times New Roman" w:hAnsi="Times New Roman"/>
          <w:b/>
          <w:bCs/>
          <w:sz w:val="24"/>
          <w:szCs w:val="24"/>
        </w:rPr>
        <w:t>Fluorescence in situ hybridization (FISH), immunofluorescence (IF) and immunohistochemistry (IHC)</w:t>
      </w:r>
    </w:p>
    <w:p w:rsidR="003860C8" w:rsidRDefault="003860C8" w:rsidP="003860C8">
      <w:pPr>
        <w:spacing w:line="360" w:lineRule="auto"/>
        <w:rPr>
          <w:rFonts w:ascii="Times New Roman" w:hAnsi="Times New Roman"/>
          <w:sz w:val="24"/>
          <w:szCs w:val="24"/>
        </w:rPr>
      </w:pPr>
      <w:r>
        <w:rPr>
          <w:rFonts w:ascii="Times New Roman" w:hAnsi="Times New Roman"/>
          <w:sz w:val="24"/>
          <w:szCs w:val="24"/>
        </w:rPr>
        <w:t>For IF, cells (2 × 10</w:t>
      </w:r>
      <w:r>
        <w:rPr>
          <w:rFonts w:ascii="Times New Roman" w:hAnsi="Times New Roman"/>
          <w:sz w:val="24"/>
          <w:szCs w:val="24"/>
          <w:vertAlign w:val="superscript"/>
        </w:rPr>
        <w:t>4</w:t>
      </w:r>
      <w:r>
        <w:rPr>
          <w:rFonts w:ascii="Times New Roman" w:hAnsi="Times New Roman"/>
          <w:sz w:val="24"/>
          <w:szCs w:val="24"/>
        </w:rPr>
        <w:t>) were cultured on coverslips for 24 h and then fixed with 4% paraformaldehyde</w:t>
      </w:r>
      <w:r>
        <w:rPr>
          <w:rFonts w:ascii="Times New Roman" w:hAnsi="Times New Roman" w:hint="eastAsia"/>
          <w:sz w:val="24"/>
          <w:szCs w:val="24"/>
        </w:rPr>
        <w:t>.</w:t>
      </w:r>
      <w:r>
        <w:rPr>
          <w:rFonts w:ascii="Times New Roman" w:hAnsi="Times New Roman"/>
          <w:sz w:val="24"/>
          <w:szCs w:val="24"/>
        </w:rPr>
        <w:t xml:space="preserve"> Cells were permeabilized with 95% cold methanol and blocked overnight at 4 °C in 15% goat serum. After blocking, the cover slips were incubated with the primary antibody at room temperature for 2 h, washed thrice with PBS for 5 min, and incubated with the fluorescent secondary antibody for 1 h. Cells were then washed thrice with PBS for 5 min and mounted onto glass slides using a mounting medium with DAPI. </w:t>
      </w:r>
    </w:p>
    <w:p w:rsidR="00B776CE" w:rsidRDefault="00B776CE" w:rsidP="00B776CE">
      <w:pPr>
        <w:spacing w:line="360" w:lineRule="auto"/>
        <w:rPr>
          <w:rFonts w:ascii="Times New Roman" w:hAnsi="Times New Roman"/>
          <w:b/>
          <w:bCs/>
          <w:sz w:val="24"/>
          <w:szCs w:val="24"/>
        </w:rPr>
      </w:pPr>
      <w:r>
        <w:rPr>
          <w:rFonts w:ascii="Times New Roman" w:hAnsi="Times New Roman"/>
          <w:b/>
          <w:bCs/>
          <w:sz w:val="24"/>
          <w:szCs w:val="24"/>
        </w:rPr>
        <w:t>Statistical analysis</w:t>
      </w:r>
    </w:p>
    <w:p w:rsidR="00B776CE" w:rsidRDefault="00B776CE" w:rsidP="00B776CE">
      <w:pPr>
        <w:widowControl/>
        <w:spacing w:line="360" w:lineRule="auto"/>
        <w:rPr>
          <w:rFonts w:ascii="Times New Roman" w:hAnsi="Times New Roman"/>
          <w:sz w:val="24"/>
          <w:szCs w:val="24"/>
        </w:rPr>
      </w:pPr>
      <w:r>
        <w:rPr>
          <w:rFonts w:ascii="Times New Roman" w:hAnsi="Times New Roman"/>
          <w:sz w:val="24"/>
          <w:szCs w:val="24"/>
        </w:rPr>
        <w:t xml:space="preserve">Data are presented as the mean ± standard deviation from multiple independent experiments, which were performed in triplicate. Student’s </w:t>
      </w:r>
      <w:r>
        <w:rPr>
          <w:rFonts w:ascii="Times New Roman" w:hAnsi="Times New Roman"/>
          <w:i/>
          <w:sz w:val="24"/>
          <w:szCs w:val="24"/>
        </w:rPr>
        <w:t>t</w:t>
      </w:r>
      <w:r>
        <w:rPr>
          <w:rFonts w:ascii="Times New Roman" w:hAnsi="Times New Roman"/>
          <w:sz w:val="24"/>
          <w:szCs w:val="24"/>
        </w:rPr>
        <w:t xml:space="preserve">-test was used to compare statistically significant differences between several pairs of subgroups based on clinical characteristics. </w:t>
      </w:r>
      <w:r>
        <w:rPr>
          <w:rFonts w:ascii="Times New Roman" w:hAnsi="Times New Roman"/>
          <w:i/>
          <w:iCs/>
          <w:sz w:val="24"/>
          <w:szCs w:val="24"/>
        </w:rPr>
        <w:t>P</w:t>
      </w:r>
      <w:r>
        <w:rPr>
          <w:rFonts w:ascii="Times New Roman" w:hAnsi="Times New Roman"/>
          <w:sz w:val="24"/>
          <w:szCs w:val="24"/>
        </w:rPr>
        <w:t>-value &lt; 0.05 was considered statistically significant.</w:t>
      </w:r>
    </w:p>
    <w:p w:rsidR="00F9640F" w:rsidRPr="003860C8" w:rsidRDefault="00F9640F">
      <w:pPr>
        <w:spacing w:line="360" w:lineRule="auto"/>
        <w:rPr>
          <w:rFonts w:ascii="Times New Roman" w:hAnsi="Times New Roman" w:cs="Times New Roman"/>
          <w:b/>
          <w:bCs/>
          <w:sz w:val="24"/>
          <w:szCs w:val="24"/>
        </w:rPr>
      </w:pPr>
    </w:p>
    <w:p w:rsidR="001C263E" w:rsidRPr="001C263E" w:rsidRDefault="001C263E" w:rsidP="001C263E">
      <w:pPr>
        <w:spacing w:line="360" w:lineRule="auto"/>
        <w:rPr>
          <w:rFonts w:ascii="Times New Roman" w:hAnsi="Times New Roman" w:cs="Times New Roman"/>
          <w:sz w:val="24"/>
          <w:szCs w:val="24"/>
        </w:rPr>
      </w:pPr>
      <w:r w:rsidRPr="001C263E">
        <w:rPr>
          <w:rFonts w:ascii="Times New Roman" w:hAnsi="Times New Roman" w:cs="Times New Roman"/>
          <w:b/>
          <w:bCs/>
          <w:sz w:val="24"/>
          <w:szCs w:val="24"/>
        </w:rPr>
        <w:t xml:space="preserve">Supplementary Tables 1: </w:t>
      </w:r>
      <w:r w:rsidRPr="001C263E">
        <w:rPr>
          <w:rFonts w:ascii="Times New Roman" w:hAnsi="Times New Roman" w:cs="Times New Roman"/>
          <w:sz w:val="24"/>
          <w:szCs w:val="24"/>
        </w:rPr>
        <w:t>Correlation of the expression levels of Linc01060 in glioma tissues with clinicopathologic features.</w:t>
      </w:r>
    </w:p>
    <w:tbl>
      <w:tblPr>
        <w:tblStyle w:val="a7"/>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1634"/>
        <w:gridCol w:w="972"/>
        <w:gridCol w:w="1140"/>
        <w:gridCol w:w="1252"/>
      </w:tblGrid>
      <w:tr w:rsidR="001C263E" w:rsidRPr="001C263E" w:rsidTr="00E83D01">
        <w:tc>
          <w:tcPr>
            <w:tcW w:w="3402" w:type="dxa"/>
            <w:vMerge w:val="restart"/>
          </w:tcPr>
          <w:p w:rsidR="001C263E" w:rsidRPr="001C263E" w:rsidRDefault="001C263E" w:rsidP="00E83D01">
            <w:pPr>
              <w:spacing w:beforeLines="65" w:before="202"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Characteristics</w:t>
            </w:r>
          </w:p>
        </w:tc>
        <w:tc>
          <w:tcPr>
            <w:tcW w:w="1673" w:type="dxa"/>
            <w:vMerge w:val="restart"/>
          </w:tcPr>
          <w:p w:rsidR="001C263E" w:rsidRPr="001C263E" w:rsidRDefault="001C263E" w:rsidP="00E83D01">
            <w:pPr>
              <w:spacing w:beforeLines="65" w:before="202"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No. of cases (%)</w:t>
            </w:r>
          </w:p>
        </w:tc>
        <w:tc>
          <w:tcPr>
            <w:tcW w:w="2155" w:type="dxa"/>
            <w:gridSpan w:val="2"/>
            <w:tcBorders>
              <w:top w:val="single" w:sz="18" w:space="0" w:color="auto"/>
              <w:bottom w:val="single" w:sz="18" w:space="0" w:color="auto"/>
            </w:tcBorders>
          </w:tcPr>
          <w:p w:rsidR="001C263E" w:rsidRPr="001C263E" w:rsidRDefault="001C263E" w:rsidP="00E83D01">
            <w:pPr>
              <w:spacing w:line="360" w:lineRule="auto"/>
              <w:jc w:val="center"/>
              <w:rPr>
                <w:rFonts w:ascii="Times New Roman" w:hAnsi="Times New Roman" w:cs="Times New Roman"/>
                <w:b/>
                <w:bCs/>
                <w:sz w:val="24"/>
                <w:szCs w:val="24"/>
              </w:rPr>
            </w:pPr>
            <w:r w:rsidRPr="001C263E">
              <w:rPr>
                <w:rFonts w:ascii="Times New Roman" w:hAnsi="Times New Roman" w:cs="Times New Roman"/>
                <w:b/>
                <w:bCs/>
                <w:sz w:val="24"/>
                <w:szCs w:val="24"/>
              </w:rPr>
              <w:t>Linc01060</w:t>
            </w:r>
          </w:p>
        </w:tc>
        <w:tc>
          <w:tcPr>
            <w:tcW w:w="1076" w:type="dxa"/>
            <w:vMerge w:val="restart"/>
            <w:tcBorders>
              <w:top w:val="single" w:sz="18" w:space="0" w:color="auto"/>
              <w:bottom w:val="single" w:sz="18" w:space="0" w:color="auto"/>
            </w:tcBorders>
          </w:tcPr>
          <w:p w:rsidR="001C263E" w:rsidRPr="001C263E" w:rsidRDefault="001C263E" w:rsidP="00E83D01">
            <w:pPr>
              <w:spacing w:beforeLines="65" w:before="202" w:line="360" w:lineRule="auto"/>
              <w:rPr>
                <w:rFonts w:ascii="Times New Roman" w:hAnsi="Times New Roman" w:cs="Times New Roman"/>
                <w:b/>
                <w:bCs/>
                <w:sz w:val="24"/>
                <w:szCs w:val="24"/>
              </w:rPr>
            </w:pPr>
            <w:r w:rsidRPr="001C263E">
              <w:rPr>
                <w:rFonts w:ascii="Times New Roman" w:hAnsi="Times New Roman" w:cs="Times New Roman"/>
                <w:b/>
                <w:bCs/>
                <w:sz w:val="24"/>
                <w:szCs w:val="24"/>
              </w:rPr>
              <w:t>P-value</w:t>
            </w:r>
          </w:p>
        </w:tc>
      </w:tr>
      <w:tr w:rsidR="001C263E" w:rsidRPr="001C263E" w:rsidTr="00E83D01">
        <w:tc>
          <w:tcPr>
            <w:tcW w:w="3402" w:type="dxa"/>
            <w:vMerge/>
            <w:tcBorders>
              <w:bottom w:val="single" w:sz="18" w:space="0" w:color="auto"/>
            </w:tcBorders>
          </w:tcPr>
          <w:p w:rsidR="001C263E" w:rsidRPr="001C263E" w:rsidRDefault="001C263E" w:rsidP="00E83D01">
            <w:pPr>
              <w:spacing w:line="360" w:lineRule="auto"/>
              <w:rPr>
                <w:rFonts w:ascii="Times New Roman" w:hAnsi="Times New Roman" w:cs="Times New Roman"/>
                <w:b/>
                <w:bCs/>
                <w:sz w:val="24"/>
                <w:szCs w:val="24"/>
              </w:rPr>
            </w:pPr>
          </w:p>
        </w:tc>
        <w:tc>
          <w:tcPr>
            <w:tcW w:w="1673" w:type="dxa"/>
            <w:vMerge/>
            <w:tcBorders>
              <w:bottom w:val="single" w:sz="18" w:space="0" w:color="auto"/>
            </w:tcBorders>
          </w:tcPr>
          <w:p w:rsidR="001C263E" w:rsidRPr="001C263E" w:rsidRDefault="001C263E" w:rsidP="00E83D01">
            <w:pPr>
              <w:spacing w:line="360" w:lineRule="auto"/>
              <w:jc w:val="left"/>
              <w:rPr>
                <w:rFonts w:ascii="Times New Roman" w:hAnsi="Times New Roman" w:cs="Times New Roman"/>
                <w:b/>
                <w:bCs/>
                <w:sz w:val="24"/>
                <w:szCs w:val="24"/>
              </w:rPr>
            </w:pPr>
          </w:p>
        </w:tc>
        <w:tc>
          <w:tcPr>
            <w:tcW w:w="990" w:type="dxa"/>
            <w:tcBorders>
              <w:top w:val="single" w:sz="18" w:space="0" w:color="auto"/>
              <w:bottom w:val="single" w:sz="18" w:space="0" w:color="auto"/>
            </w:tcBorders>
          </w:tcPr>
          <w:p w:rsidR="001C263E" w:rsidRPr="001C263E" w:rsidRDefault="001C263E" w:rsidP="00E83D01">
            <w:pPr>
              <w:spacing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Low</w:t>
            </w:r>
          </w:p>
        </w:tc>
        <w:tc>
          <w:tcPr>
            <w:tcW w:w="1165" w:type="dxa"/>
            <w:tcBorders>
              <w:top w:val="single" w:sz="18" w:space="0" w:color="auto"/>
              <w:bottom w:val="single" w:sz="18" w:space="0" w:color="auto"/>
            </w:tcBorders>
          </w:tcPr>
          <w:p w:rsidR="001C263E" w:rsidRPr="001C263E" w:rsidRDefault="001C263E" w:rsidP="00E83D01">
            <w:pPr>
              <w:spacing w:line="360" w:lineRule="auto"/>
              <w:rPr>
                <w:rFonts w:ascii="Times New Roman" w:hAnsi="Times New Roman" w:cs="Times New Roman"/>
                <w:b/>
                <w:bCs/>
                <w:sz w:val="24"/>
                <w:szCs w:val="24"/>
              </w:rPr>
            </w:pPr>
            <w:r w:rsidRPr="001C263E">
              <w:rPr>
                <w:rFonts w:ascii="Times New Roman" w:hAnsi="Times New Roman" w:cs="Times New Roman"/>
                <w:b/>
                <w:bCs/>
                <w:sz w:val="24"/>
                <w:szCs w:val="24"/>
              </w:rPr>
              <w:t>High</w:t>
            </w:r>
          </w:p>
        </w:tc>
        <w:tc>
          <w:tcPr>
            <w:tcW w:w="1076" w:type="dxa"/>
            <w:vMerge/>
            <w:tcBorders>
              <w:top w:val="single" w:sz="18" w:space="0" w:color="auto"/>
              <w:bottom w:val="single" w:sz="18" w:space="0" w:color="auto"/>
            </w:tcBorders>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Borders>
              <w:top w:val="single" w:sz="18" w:space="0" w:color="auto"/>
              <w:bottom w:val="nil"/>
            </w:tcBorders>
          </w:tcPr>
          <w:p w:rsidR="001C263E" w:rsidRPr="001C263E" w:rsidRDefault="001C263E" w:rsidP="00E83D01">
            <w:pPr>
              <w:spacing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Age (y)</w:t>
            </w:r>
          </w:p>
        </w:tc>
        <w:tc>
          <w:tcPr>
            <w:tcW w:w="1673" w:type="dxa"/>
            <w:tcBorders>
              <w:top w:val="single" w:sz="18" w:space="0" w:color="auto"/>
              <w:bottom w:val="nil"/>
            </w:tcBorders>
          </w:tcPr>
          <w:p w:rsidR="001C263E" w:rsidRPr="001C263E" w:rsidRDefault="001C263E" w:rsidP="00E83D01">
            <w:pPr>
              <w:spacing w:line="360" w:lineRule="auto"/>
              <w:jc w:val="left"/>
              <w:rPr>
                <w:rFonts w:ascii="Times New Roman" w:hAnsi="Times New Roman" w:cs="Times New Roman"/>
                <w:b/>
                <w:bCs/>
                <w:sz w:val="24"/>
                <w:szCs w:val="24"/>
              </w:rPr>
            </w:pPr>
          </w:p>
        </w:tc>
        <w:tc>
          <w:tcPr>
            <w:tcW w:w="990" w:type="dxa"/>
            <w:tcBorders>
              <w:top w:val="single" w:sz="18" w:space="0" w:color="auto"/>
              <w:bottom w:val="nil"/>
            </w:tcBorders>
          </w:tcPr>
          <w:p w:rsidR="001C263E" w:rsidRPr="001C263E" w:rsidRDefault="001C263E" w:rsidP="00E83D01">
            <w:pPr>
              <w:spacing w:line="360" w:lineRule="auto"/>
              <w:jc w:val="left"/>
              <w:rPr>
                <w:rFonts w:ascii="Times New Roman" w:hAnsi="Times New Roman" w:cs="Times New Roman"/>
                <w:b/>
                <w:bCs/>
                <w:sz w:val="24"/>
                <w:szCs w:val="24"/>
              </w:rPr>
            </w:pPr>
          </w:p>
        </w:tc>
        <w:tc>
          <w:tcPr>
            <w:tcW w:w="1165" w:type="dxa"/>
            <w:tcBorders>
              <w:top w:val="single" w:sz="18" w:space="0" w:color="auto"/>
              <w:bottom w:val="nil"/>
            </w:tcBorders>
          </w:tcPr>
          <w:p w:rsidR="001C263E" w:rsidRPr="001C263E" w:rsidRDefault="001C263E" w:rsidP="00E83D01">
            <w:pPr>
              <w:spacing w:line="360" w:lineRule="auto"/>
              <w:rPr>
                <w:rFonts w:ascii="Times New Roman" w:hAnsi="Times New Roman" w:cs="Times New Roman"/>
                <w:b/>
                <w:bCs/>
                <w:sz w:val="24"/>
                <w:szCs w:val="24"/>
              </w:rPr>
            </w:pPr>
          </w:p>
        </w:tc>
        <w:tc>
          <w:tcPr>
            <w:tcW w:w="1076" w:type="dxa"/>
            <w:tcBorders>
              <w:top w:val="single" w:sz="18" w:space="0" w:color="auto"/>
              <w:bottom w:val="nil"/>
            </w:tcBorders>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Borders>
              <w:top w:val="nil"/>
            </w:tcBorders>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w:t>
            </w:r>
            <w:r w:rsidRPr="001C263E">
              <w:rPr>
                <w:rFonts w:ascii="Times New Roman" w:hAnsi="Times New Roman" w:cs="Times New Roman"/>
                <w:sz w:val="24"/>
                <w:szCs w:val="24"/>
              </w:rPr>
              <w:t>50</w:t>
            </w:r>
          </w:p>
        </w:tc>
        <w:tc>
          <w:tcPr>
            <w:tcW w:w="1673" w:type="dxa"/>
            <w:tcBorders>
              <w:top w:val="nil"/>
            </w:tcBorders>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27 (38.6%)</w:t>
            </w:r>
          </w:p>
        </w:tc>
        <w:tc>
          <w:tcPr>
            <w:tcW w:w="990" w:type="dxa"/>
            <w:tcBorders>
              <w:top w:val="nil"/>
            </w:tcBorders>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15</w:t>
            </w:r>
          </w:p>
        </w:tc>
        <w:tc>
          <w:tcPr>
            <w:tcW w:w="1165" w:type="dxa"/>
            <w:tcBorders>
              <w:top w:val="nil"/>
            </w:tcBorders>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12</w:t>
            </w:r>
          </w:p>
        </w:tc>
        <w:tc>
          <w:tcPr>
            <w:tcW w:w="1076" w:type="dxa"/>
            <w:vMerge w:val="restart"/>
            <w:tcBorders>
              <w:top w:val="nil"/>
            </w:tcBorders>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0.258</w:t>
            </w: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≥50</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43 (61.4%)</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18</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25</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Gender</w:t>
            </w:r>
          </w:p>
        </w:tc>
        <w:tc>
          <w:tcPr>
            <w:tcW w:w="1673"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990"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1165" w:type="dxa"/>
          </w:tcPr>
          <w:p w:rsidR="001C263E" w:rsidRPr="001C263E" w:rsidRDefault="001C263E" w:rsidP="00E83D01">
            <w:pPr>
              <w:spacing w:line="360" w:lineRule="auto"/>
              <w:rPr>
                <w:rFonts w:ascii="Times New Roman" w:hAnsi="Times New Roman" w:cs="Times New Roman"/>
                <w:b/>
                <w:bCs/>
                <w:sz w:val="24"/>
                <w:szCs w:val="24"/>
              </w:rPr>
            </w:pPr>
          </w:p>
        </w:tc>
        <w:tc>
          <w:tcPr>
            <w:tcW w:w="1076" w:type="dxa"/>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lastRenderedPageBreak/>
              <w:t>Male</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38 (54.3%)</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20</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18</w:t>
            </w:r>
          </w:p>
        </w:tc>
        <w:tc>
          <w:tcPr>
            <w:tcW w:w="1076" w:type="dxa"/>
            <w:vMerge w:val="restart"/>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0.313</w:t>
            </w: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Female</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32 (45.7%)</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13</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19</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Tumor size (cm)</w:t>
            </w:r>
          </w:p>
        </w:tc>
        <w:tc>
          <w:tcPr>
            <w:tcW w:w="1673"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990"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1165" w:type="dxa"/>
          </w:tcPr>
          <w:p w:rsidR="001C263E" w:rsidRPr="001C263E" w:rsidRDefault="001C263E" w:rsidP="00E83D01">
            <w:pPr>
              <w:spacing w:line="360" w:lineRule="auto"/>
              <w:rPr>
                <w:rFonts w:ascii="Times New Roman" w:hAnsi="Times New Roman" w:cs="Times New Roman"/>
                <w:b/>
                <w:bCs/>
                <w:sz w:val="24"/>
                <w:szCs w:val="24"/>
              </w:rPr>
            </w:pPr>
          </w:p>
        </w:tc>
        <w:tc>
          <w:tcPr>
            <w:tcW w:w="1076" w:type="dxa"/>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w:t>
            </w:r>
            <w:r w:rsidRPr="001C263E">
              <w:rPr>
                <w:rFonts w:ascii="Times New Roman" w:hAnsi="Times New Roman" w:cs="Times New Roman"/>
                <w:sz w:val="24"/>
                <w:szCs w:val="24"/>
              </w:rPr>
              <w:t>2</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40 (57.1%)</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25</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15</w:t>
            </w:r>
          </w:p>
        </w:tc>
        <w:tc>
          <w:tcPr>
            <w:tcW w:w="1076" w:type="dxa"/>
            <w:vMerge w:val="restart"/>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0.003**</w:t>
            </w: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30 (42.9%)</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8</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22</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Tumor location</w:t>
            </w:r>
          </w:p>
        </w:tc>
        <w:tc>
          <w:tcPr>
            <w:tcW w:w="1673"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990"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1165" w:type="dxa"/>
          </w:tcPr>
          <w:p w:rsidR="001C263E" w:rsidRPr="001C263E" w:rsidRDefault="001C263E" w:rsidP="00E83D01">
            <w:pPr>
              <w:spacing w:line="360" w:lineRule="auto"/>
              <w:rPr>
                <w:rFonts w:ascii="Times New Roman" w:hAnsi="Times New Roman" w:cs="Times New Roman"/>
                <w:b/>
                <w:bCs/>
                <w:sz w:val="24"/>
                <w:szCs w:val="24"/>
              </w:rPr>
            </w:pPr>
          </w:p>
        </w:tc>
        <w:tc>
          <w:tcPr>
            <w:tcW w:w="1076" w:type="dxa"/>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Supratentorial</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45 (64.3%)</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20</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25</w:t>
            </w:r>
          </w:p>
        </w:tc>
        <w:tc>
          <w:tcPr>
            <w:tcW w:w="1076" w:type="dxa"/>
            <w:vMerge w:val="restart"/>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0.549</w:t>
            </w: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Subtentorial</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25 (35.7%)</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13</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12</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Karnofsky performance scale</w:t>
            </w:r>
          </w:p>
        </w:tc>
        <w:tc>
          <w:tcPr>
            <w:tcW w:w="1673"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990"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1165" w:type="dxa"/>
          </w:tcPr>
          <w:p w:rsidR="001C263E" w:rsidRPr="001C263E" w:rsidRDefault="001C263E" w:rsidP="00E83D01">
            <w:pPr>
              <w:spacing w:line="360" w:lineRule="auto"/>
              <w:rPr>
                <w:rFonts w:ascii="Times New Roman" w:hAnsi="Times New Roman" w:cs="Times New Roman"/>
                <w:b/>
                <w:bCs/>
                <w:sz w:val="24"/>
                <w:szCs w:val="24"/>
              </w:rPr>
            </w:pPr>
          </w:p>
        </w:tc>
        <w:tc>
          <w:tcPr>
            <w:tcW w:w="1076" w:type="dxa"/>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w:t>
            </w:r>
            <w:r w:rsidRPr="001C263E">
              <w:rPr>
                <w:rFonts w:ascii="Times New Roman" w:hAnsi="Times New Roman" w:cs="Times New Roman"/>
                <w:sz w:val="24"/>
                <w:szCs w:val="24"/>
              </w:rPr>
              <w:t>90</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30</w:t>
            </w:r>
            <w:r w:rsidRPr="001C263E">
              <w:rPr>
                <w:rFonts w:ascii="Times New Roman" w:hAnsi="Times New Roman" w:cs="Times New Roman"/>
                <w:sz w:val="24"/>
                <w:szCs w:val="24"/>
                <w:vertAlign w:val="superscript"/>
              </w:rPr>
              <w:t>#</w:t>
            </w:r>
            <w:r w:rsidRPr="001C263E">
              <w:rPr>
                <w:rFonts w:ascii="Times New Roman" w:hAnsi="Times New Roman" w:cs="Times New Roman"/>
                <w:sz w:val="24"/>
                <w:szCs w:val="24"/>
              </w:rPr>
              <w:t xml:space="preserve"> (44.1%)</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9</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21</w:t>
            </w:r>
            <w:r w:rsidRPr="001C263E">
              <w:rPr>
                <w:rFonts w:ascii="Times New Roman" w:hAnsi="Times New Roman" w:cs="Times New Roman"/>
                <w:sz w:val="24"/>
                <w:szCs w:val="24"/>
                <w:vertAlign w:val="superscript"/>
              </w:rPr>
              <w:t>#</w:t>
            </w:r>
          </w:p>
        </w:tc>
        <w:tc>
          <w:tcPr>
            <w:tcW w:w="1076" w:type="dxa"/>
            <w:vMerge w:val="restart"/>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0.006**</w:t>
            </w:r>
          </w:p>
        </w:tc>
      </w:tr>
      <w:tr w:rsidR="001C263E" w:rsidRPr="001C263E" w:rsidTr="00E83D01">
        <w:tc>
          <w:tcPr>
            <w:tcW w:w="3402" w:type="dxa"/>
          </w:tcPr>
          <w:p w:rsidR="001C263E" w:rsidRPr="001C263E" w:rsidRDefault="001C263E" w:rsidP="00E83D01">
            <w:pPr>
              <w:tabs>
                <w:tab w:val="left" w:pos="840"/>
              </w:tabs>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≥90</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38 (55.9%)</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24</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14</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WHO grade</w:t>
            </w:r>
          </w:p>
        </w:tc>
        <w:tc>
          <w:tcPr>
            <w:tcW w:w="1673"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990"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1165" w:type="dxa"/>
          </w:tcPr>
          <w:p w:rsidR="001C263E" w:rsidRPr="001C263E" w:rsidRDefault="001C263E" w:rsidP="00E83D01">
            <w:pPr>
              <w:spacing w:line="360" w:lineRule="auto"/>
              <w:rPr>
                <w:rFonts w:ascii="Times New Roman" w:hAnsi="Times New Roman" w:cs="Times New Roman"/>
                <w:b/>
                <w:bCs/>
                <w:sz w:val="24"/>
                <w:szCs w:val="24"/>
              </w:rPr>
            </w:pPr>
          </w:p>
        </w:tc>
        <w:tc>
          <w:tcPr>
            <w:tcW w:w="1076" w:type="dxa"/>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I</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6 (8.6%)</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5</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w:t>
            </w:r>
          </w:p>
        </w:tc>
        <w:tc>
          <w:tcPr>
            <w:tcW w:w="1076" w:type="dxa"/>
            <w:vMerge w:val="restart"/>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0.017*</w:t>
            </w: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II</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27 (38.6%)</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6</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21</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III</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18 (25.7%)</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10</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8</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IV</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19 (27.1%)</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17</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b/>
                <w:bCs/>
                <w:sz w:val="24"/>
                <w:szCs w:val="24"/>
              </w:rPr>
            </w:pPr>
            <w:r w:rsidRPr="001C263E">
              <w:rPr>
                <w:rFonts w:ascii="Times New Roman" w:hAnsi="Times New Roman" w:cs="Times New Roman"/>
                <w:b/>
                <w:bCs/>
                <w:sz w:val="24"/>
                <w:szCs w:val="24"/>
              </w:rPr>
              <w:t>Tumor recurrence</w:t>
            </w:r>
          </w:p>
        </w:tc>
        <w:tc>
          <w:tcPr>
            <w:tcW w:w="1673"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990" w:type="dxa"/>
          </w:tcPr>
          <w:p w:rsidR="001C263E" w:rsidRPr="001C263E" w:rsidRDefault="001C263E" w:rsidP="00E83D01">
            <w:pPr>
              <w:spacing w:line="360" w:lineRule="auto"/>
              <w:jc w:val="left"/>
              <w:rPr>
                <w:rFonts w:ascii="Times New Roman" w:hAnsi="Times New Roman" w:cs="Times New Roman"/>
                <w:b/>
                <w:bCs/>
                <w:sz w:val="24"/>
                <w:szCs w:val="24"/>
              </w:rPr>
            </w:pPr>
          </w:p>
        </w:tc>
        <w:tc>
          <w:tcPr>
            <w:tcW w:w="1165" w:type="dxa"/>
          </w:tcPr>
          <w:p w:rsidR="001C263E" w:rsidRPr="001C263E" w:rsidRDefault="001C263E" w:rsidP="00E83D01">
            <w:pPr>
              <w:spacing w:line="360" w:lineRule="auto"/>
              <w:rPr>
                <w:rFonts w:ascii="Times New Roman" w:hAnsi="Times New Roman" w:cs="Times New Roman"/>
                <w:b/>
                <w:bCs/>
                <w:sz w:val="24"/>
                <w:szCs w:val="24"/>
              </w:rPr>
            </w:pPr>
          </w:p>
        </w:tc>
        <w:tc>
          <w:tcPr>
            <w:tcW w:w="1076" w:type="dxa"/>
          </w:tcPr>
          <w:p w:rsidR="001C263E" w:rsidRPr="001C263E" w:rsidRDefault="001C263E" w:rsidP="00E83D01">
            <w:pPr>
              <w:spacing w:line="360" w:lineRule="auto"/>
              <w:rPr>
                <w:rFonts w:ascii="Times New Roman" w:hAnsi="Times New Roman" w:cs="Times New Roman"/>
                <w:b/>
                <w:bCs/>
                <w:sz w:val="24"/>
                <w:szCs w:val="24"/>
              </w:rPr>
            </w:pP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No</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42 (60.0%)</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28</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14</w:t>
            </w:r>
          </w:p>
        </w:tc>
        <w:tc>
          <w:tcPr>
            <w:tcW w:w="1076" w:type="dxa"/>
            <w:vMerge w:val="restart"/>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&lt;0.001***</w:t>
            </w:r>
          </w:p>
        </w:tc>
      </w:tr>
      <w:tr w:rsidR="001C263E" w:rsidRPr="001C263E" w:rsidTr="00E83D01">
        <w:tc>
          <w:tcPr>
            <w:tcW w:w="3402"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Yes</w:t>
            </w:r>
          </w:p>
        </w:tc>
        <w:tc>
          <w:tcPr>
            <w:tcW w:w="1673"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28 (40.0%)</w:t>
            </w:r>
          </w:p>
        </w:tc>
        <w:tc>
          <w:tcPr>
            <w:tcW w:w="990" w:type="dxa"/>
          </w:tcPr>
          <w:p w:rsidR="001C263E" w:rsidRPr="001C263E" w:rsidRDefault="001C263E" w:rsidP="00E83D01">
            <w:pPr>
              <w:spacing w:line="360" w:lineRule="auto"/>
              <w:jc w:val="left"/>
              <w:rPr>
                <w:rFonts w:ascii="Times New Roman" w:hAnsi="Times New Roman" w:cs="Times New Roman"/>
                <w:sz w:val="24"/>
                <w:szCs w:val="24"/>
              </w:rPr>
            </w:pPr>
            <w:r w:rsidRPr="001C263E">
              <w:rPr>
                <w:rFonts w:ascii="Times New Roman" w:hAnsi="Times New Roman" w:cs="Times New Roman"/>
                <w:sz w:val="24"/>
                <w:szCs w:val="24"/>
              </w:rPr>
              <w:t>5</w:t>
            </w:r>
          </w:p>
        </w:tc>
        <w:tc>
          <w:tcPr>
            <w:tcW w:w="1165" w:type="dxa"/>
          </w:tcPr>
          <w:p w:rsidR="001C263E" w:rsidRPr="001C263E" w:rsidRDefault="001C263E" w:rsidP="00E83D01">
            <w:pPr>
              <w:spacing w:line="360" w:lineRule="auto"/>
              <w:rPr>
                <w:rFonts w:ascii="Times New Roman" w:hAnsi="Times New Roman" w:cs="Times New Roman"/>
                <w:sz w:val="24"/>
                <w:szCs w:val="24"/>
              </w:rPr>
            </w:pPr>
            <w:r w:rsidRPr="001C263E">
              <w:rPr>
                <w:rFonts w:ascii="Times New Roman" w:hAnsi="Times New Roman" w:cs="Times New Roman"/>
                <w:sz w:val="24"/>
                <w:szCs w:val="24"/>
              </w:rPr>
              <w:t>23</w:t>
            </w:r>
          </w:p>
        </w:tc>
        <w:tc>
          <w:tcPr>
            <w:tcW w:w="1076" w:type="dxa"/>
            <w:vMerge/>
          </w:tcPr>
          <w:p w:rsidR="001C263E" w:rsidRPr="001C263E" w:rsidRDefault="001C263E" w:rsidP="00E83D01">
            <w:pPr>
              <w:spacing w:line="360" w:lineRule="auto"/>
              <w:rPr>
                <w:rFonts w:ascii="Times New Roman" w:hAnsi="Times New Roman" w:cs="Times New Roman"/>
                <w:b/>
                <w:bCs/>
                <w:sz w:val="24"/>
                <w:szCs w:val="24"/>
              </w:rPr>
            </w:pPr>
          </w:p>
        </w:tc>
      </w:tr>
    </w:tbl>
    <w:p w:rsidR="001C263E" w:rsidRPr="001C263E" w:rsidRDefault="001C263E" w:rsidP="001C263E">
      <w:pPr>
        <w:autoSpaceDE w:val="0"/>
        <w:autoSpaceDN w:val="0"/>
        <w:adjustRightInd w:val="0"/>
        <w:spacing w:line="360" w:lineRule="auto"/>
        <w:jc w:val="left"/>
        <w:rPr>
          <w:rFonts w:ascii="Times New Roman" w:eastAsia="MinionPro-Regular" w:hAnsi="Times New Roman" w:cs="Times New Roman"/>
          <w:kern w:val="0"/>
          <w:sz w:val="24"/>
          <w:szCs w:val="24"/>
        </w:rPr>
      </w:pPr>
      <w:r w:rsidRPr="001C263E">
        <w:rPr>
          <w:rFonts w:ascii="Times New Roman" w:hAnsi="Times New Roman" w:cs="Times New Roman"/>
          <w:b/>
          <w:bCs/>
          <w:sz w:val="24"/>
          <w:szCs w:val="24"/>
        </w:rPr>
        <w:t>#</w:t>
      </w:r>
      <w:r w:rsidRPr="001C263E">
        <w:rPr>
          <w:rFonts w:ascii="Times New Roman" w:eastAsia="MinionPro-Regular" w:hAnsi="Times New Roman" w:cs="Times New Roman"/>
          <w:kern w:val="0"/>
          <w:sz w:val="24"/>
          <w:szCs w:val="24"/>
        </w:rPr>
        <w:t xml:space="preserve"> Partial data not available; statistics based on available data. *&lt;0.05, **&lt;0.01 and ***&lt;0.001. Linc01060 high expression: score 8-16; low expression: score 0-7.</w:t>
      </w:r>
    </w:p>
    <w:p w:rsidR="00A17AB8" w:rsidRDefault="00A17AB8" w:rsidP="004267DA">
      <w:pPr>
        <w:spacing w:line="360" w:lineRule="auto"/>
        <w:rPr>
          <w:rFonts w:ascii="Times New Roman" w:hAnsi="Times New Roman" w:cs="Times New Roman"/>
          <w:b/>
          <w:bCs/>
          <w:sz w:val="24"/>
          <w:szCs w:val="24"/>
        </w:rPr>
      </w:pPr>
    </w:p>
    <w:p w:rsidR="004267DA" w:rsidRPr="004267DA" w:rsidRDefault="004267DA" w:rsidP="004267DA">
      <w:pPr>
        <w:spacing w:line="360" w:lineRule="auto"/>
        <w:rPr>
          <w:rFonts w:ascii="Times New Roman" w:hAnsi="Times New Roman" w:cs="Times New Roman"/>
          <w:sz w:val="24"/>
          <w:szCs w:val="24"/>
        </w:rPr>
      </w:pPr>
      <w:r w:rsidRPr="004267DA">
        <w:rPr>
          <w:rFonts w:ascii="Times New Roman" w:hAnsi="Times New Roman" w:cs="Times New Roman"/>
          <w:b/>
          <w:bCs/>
          <w:sz w:val="24"/>
          <w:szCs w:val="24"/>
        </w:rPr>
        <w:t xml:space="preserve">Supplementary Tables 2: </w:t>
      </w:r>
      <w:r w:rsidRPr="004267DA">
        <w:rPr>
          <w:rFonts w:ascii="Times New Roman" w:hAnsi="Times New Roman" w:cs="Times New Roman"/>
          <w:sz w:val="24"/>
          <w:szCs w:val="24"/>
        </w:rPr>
        <w:t>Univariate and multivariate for clinicopathological features associated with various prognostic parameters of 70 glioma patients by Cox-regression analysis.</w:t>
      </w:r>
    </w:p>
    <w:tbl>
      <w:tblPr>
        <w:tblStyle w:val="a7"/>
        <w:tblW w:w="0" w:type="auto"/>
        <w:tblLook w:val="04A0" w:firstRow="1" w:lastRow="0" w:firstColumn="1" w:lastColumn="0" w:noHBand="0" w:noVBand="1"/>
      </w:tblPr>
      <w:tblGrid>
        <w:gridCol w:w="2828"/>
        <w:gridCol w:w="1842"/>
        <w:gridCol w:w="996"/>
        <w:gridCol w:w="1559"/>
        <w:gridCol w:w="1071"/>
      </w:tblGrid>
      <w:tr w:rsidR="004267DA" w:rsidRPr="004267DA" w:rsidTr="00151867">
        <w:tc>
          <w:tcPr>
            <w:tcW w:w="2828" w:type="dxa"/>
            <w:vMerge w:val="restart"/>
          </w:tcPr>
          <w:p w:rsidR="004267DA" w:rsidRPr="004267DA" w:rsidRDefault="004267DA" w:rsidP="00E83D01">
            <w:pPr>
              <w:pStyle w:val="Default"/>
              <w:spacing w:beforeLines="65" w:before="202"/>
              <w:jc w:val="center"/>
            </w:pPr>
            <w:r w:rsidRPr="004267DA">
              <w:t>Variables</w:t>
            </w:r>
          </w:p>
        </w:tc>
        <w:tc>
          <w:tcPr>
            <w:tcW w:w="2838" w:type="dxa"/>
            <w:gridSpan w:val="2"/>
          </w:tcPr>
          <w:p w:rsidR="004267DA" w:rsidRPr="004267DA" w:rsidRDefault="004267DA" w:rsidP="00E83D01">
            <w:pPr>
              <w:spacing w:line="360" w:lineRule="auto"/>
              <w:jc w:val="center"/>
              <w:rPr>
                <w:rFonts w:ascii="Times New Roman" w:hAnsi="Times New Roman" w:cs="Times New Roman"/>
                <w:sz w:val="24"/>
                <w:szCs w:val="24"/>
              </w:rPr>
            </w:pPr>
            <w:r w:rsidRPr="004267DA">
              <w:rPr>
                <w:rFonts w:ascii="Times New Roman" w:hAnsi="Times New Roman" w:cs="Times New Roman"/>
                <w:sz w:val="24"/>
                <w:szCs w:val="24"/>
              </w:rPr>
              <w:t>Univariate analysis</w:t>
            </w:r>
          </w:p>
        </w:tc>
        <w:tc>
          <w:tcPr>
            <w:tcW w:w="2630" w:type="dxa"/>
            <w:gridSpan w:val="2"/>
          </w:tcPr>
          <w:p w:rsidR="004267DA" w:rsidRPr="004267DA" w:rsidRDefault="004267DA" w:rsidP="00E83D01">
            <w:pPr>
              <w:spacing w:line="360" w:lineRule="auto"/>
              <w:jc w:val="center"/>
              <w:rPr>
                <w:rFonts w:ascii="Times New Roman" w:hAnsi="Times New Roman" w:cs="Times New Roman"/>
                <w:sz w:val="24"/>
                <w:szCs w:val="24"/>
              </w:rPr>
            </w:pPr>
            <w:r w:rsidRPr="004267DA">
              <w:rPr>
                <w:rFonts w:ascii="Times New Roman" w:hAnsi="Times New Roman" w:cs="Times New Roman"/>
                <w:sz w:val="24"/>
                <w:szCs w:val="24"/>
              </w:rPr>
              <w:t xml:space="preserve">Multivariate analysis </w:t>
            </w:r>
          </w:p>
        </w:tc>
      </w:tr>
      <w:tr w:rsidR="004267DA" w:rsidRPr="004267DA" w:rsidTr="00151867">
        <w:tc>
          <w:tcPr>
            <w:tcW w:w="2828" w:type="dxa"/>
            <w:vMerge/>
          </w:tcPr>
          <w:p w:rsidR="004267DA" w:rsidRPr="004267DA" w:rsidRDefault="004267DA" w:rsidP="00E83D01">
            <w:pPr>
              <w:pStyle w:val="Default"/>
              <w:jc w:val="both"/>
            </w:pPr>
          </w:p>
        </w:tc>
        <w:tc>
          <w:tcPr>
            <w:tcW w:w="1842" w:type="dxa"/>
          </w:tcPr>
          <w:p w:rsidR="004267DA" w:rsidRPr="004267DA" w:rsidRDefault="004267DA" w:rsidP="00E83D01">
            <w:pPr>
              <w:spacing w:line="360" w:lineRule="auto"/>
              <w:jc w:val="center"/>
              <w:rPr>
                <w:rFonts w:ascii="Times New Roman" w:hAnsi="Times New Roman" w:cs="Times New Roman"/>
                <w:sz w:val="24"/>
                <w:szCs w:val="24"/>
              </w:rPr>
            </w:pPr>
            <w:r w:rsidRPr="004267DA">
              <w:rPr>
                <w:rFonts w:ascii="Times New Roman" w:hAnsi="Times New Roman" w:cs="Times New Roman"/>
                <w:sz w:val="24"/>
                <w:szCs w:val="24"/>
              </w:rPr>
              <w:t xml:space="preserve">HR (95%CI) </w:t>
            </w:r>
          </w:p>
        </w:tc>
        <w:tc>
          <w:tcPr>
            <w:tcW w:w="996" w:type="dxa"/>
          </w:tcPr>
          <w:p w:rsidR="004267DA" w:rsidRPr="004267DA" w:rsidRDefault="004267DA" w:rsidP="00E83D01">
            <w:pPr>
              <w:spacing w:line="360" w:lineRule="auto"/>
              <w:jc w:val="center"/>
              <w:rPr>
                <w:rFonts w:ascii="Times New Roman" w:hAnsi="Times New Roman" w:cs="Times New Roman"/>
                <w:sz w:val="24"/>
                <w:szCs w:val="24"/>
              </w:rPr>
            </w:pPr>
            <w:r w:rsidRPr="004267DA">
              <w:rPr>
                <w:rFonts w:ascii="Times New Roman" w:hAnsi="Times New Roman" w:cs="Times New Roman"/>
                <w:sz w:val="24"/>
                <w:szCs w:val="24"/>
              </w:rPr>
              <w:t>P-value</w:t>
            </w:r>
          </w:p>
        </w:tc>
        <w:tc>
          <w:tcPr>
            <w:tcW w:w="1559" w:type="dxa"/>
          </w:tcPr>
          <w:p w:rsidR="004267DA" w:rsidRPr="004267DA" w:rsidRDefault="004267DA" w:rsidP="00E83D01">
            <w:pPr>
              <w:spacing w:line="360" w:lineRule="auto"/>
              <w:jc w:val="center"/>
              <w:rPr>
                <w:rFonts w:ascii="Times New Roman" w:hAnsi="Times New Roman" w:cs="Times New Roman"/>
                <w:sz w:val="24"/>
                <w:szCs w:val="24"/>
              </w:rPr>
            </w:pPr>
            <w:r w:rsidRPr="004267DA">
              <w:rPr>
                <w:rFonts w:ascii="Times New Roman" w:hAnsi="Times New Roman" w:cs="Times New Roman"/>
                <w:sz w:val="24"/>
                <w:szCs w:val="24"/>
              </w:rPr>
              <w:t>HR (95%CI)</w:t>
            </w:r>
          </w:p>
        </w:tc>
        <w:tc>
          <w:tcPr>
            <w:tcW w:w="1071" w:type="dxa"/>
          </w:tcPr>
          <w:p w:rsidR="004267DA" w:rsidRPr="004267DA" w:rsidRDefault="004267DA" w:rsidP="00E83D01">
            <w:pPr>
              <w:spacing w:line="360" w:lineRule="auto"/>
              <w:jc w:val="center"/>
              <w:rPr>
                <w:rFonts w:ascii="Times New Roman" w:hAnsi="Times New Roman" w:cs="Times New Roman"/>
                <w:sz w:val="24"/>
                <w:szCs w:val="24"/>
              </w:rPr>
            </w:pPr>
            <w:r w:rsidRPr="004267DA">
              <w:rPr>
                <w:rFonts w:ascii="Times New Roman" w:hAnsi="Times New Roman" w:cs="Times New Roman"/>
                <w:sz w:val="24"/>
                <w:szCs w:val="24"/>
              </w:rPr>
              <w:t>P-value</w:t>
            </w:r>
          </w:p>
        </w:tc>
      </w:tr>
      <w:tr w:rsidR="004267DA" w:rsidRPr="004267DA" w:rsidTr="00151867">
        <w:tc>
          <w:tcPr>
            <w:tcW w:w="2828" w:type="dxa"/>
          </w:tcPr>
          <w:p w:rsidR="004267DA" w:rsidRPr="004267DA" w:rsidRDefault="004267DA" w:rsidP="00E83D01">
            <w:pPr>
              <w:pStyle w:val="Default"/>
              <w:jc w:val="both"/>
            </w:pPr>
            <w:r w:rsidRPr="004267DA">
              <w:t xml:space="preserve">Age (≥50 vs </w:t>
            </w:r>
            <w:r w:rsidRPr="004267DA">
              <w:t>＜</w:t>
            </w:r>
            <w:r w:rsidRPr="004267DA">
              <w:t xml:space="preserve">50) </w:t>
            </w:r>
          </w:p>
        </w:tc>
        <w:tc>
          <w:tcPr>
            <w:tcW w:w="1842"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1.359 (0.957-</w:t>
            </w:r>
            <w:r w:rsidRPr="004267DA">
              <w:rPr>
                <w:rFonts w:ascii="Times New Roman" w:hAnsi="Times New Roman" w:cs="Times New Roman"/>
                <w:sz w:val="24"/>
                <w:szCs w:val="24"/>
              </w:rPr>
              <w:lastRenderedPageBreak/>
              <w:t>2.276)</w:t>
            </w:r>
          </w:p>
        </w:tc>
        <w:tc>
          <w:tcPr>
            <w:tcW w:w="996"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lastRenderedPageBreak/>
              <w:t>0.526</w:t>
            </w:r>
          </w:p>
        </w:tc>
        <w:tc>
          <w:tcPr>
            <w:tcW w:w="1559"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1.682 (1.125-</w:t>
            </w:r>
            <w:r w:rsidRPr="004267DA">
              <w:rPr>
                <w:rFonts w:ascii="Times New Roman" w:hAnsi="Times New Roman" w:cs="Times New Roman"/>
                <w:sz w:val="24"/>
                <w:szCs w:val="24"/>
              </w:rPr>
              <w:lastRenderedPageBreak/>
              <w:t>3.416)</w:t>
            </w:r>
          </w:p>
        </w:tc>
        <w:tc>
          <w:tcPr>
            <w:tcW w:w="1071"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lastRenderedPageBreak/>
              <w:t>0.354</w:t>
            </w:r>
          </w:p>
        </w:tc>
      </w:tr>
      <w:tr w:rsidR="004267DA" w:rsidRPr="004267DA" w:rsidTr="00151867">
        <w:tc>
          <w:tcPr>
            <w:tcW w:w="2828" w:type="dxa"/>
          </w:tcPr>
          <w:p w:rsidR="004267DA" w:rsidRPr="004267DA" w:rsidRDefault="004267DA" w:rsidP="00E83D01">
            <w:pPr>
              <w:pStyle w:val="Default"/>
              <w:jc w:val="both"/>
            </w:pPr>
            <w:r w:rsidRPr="004267DA">
              <w:lastRenderedPageBreak/>
              <w:t xml:space="preserve">Gender ( Male vs Female) </w:t>
            </w:r>
          </w:p>
        </w:tc>
        <w:tc>
          <w:tcPr>
            <w:tcW w:w="1842"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1.637 (0.865-2.573)</w:t>
            </w:r>
          </w:p>
        </w:tc>
        <w:tc>
          <w:tcPr>
            <w:tcW w:w="996"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0.273</w:t>
            </w:r>
          </w:p>
        </w:tc>
        <w:tc>
          <w:tcPr>
            <w:tcW w:w="1559"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1.395 (0.759-2.658)</w:t>
            </w:r>
          </w:p>
        </w:tc>
        <w:tc>
          <w:tcPr>
            <w:tcW w:w="1071"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0.320</w:t>
            </w:r>
          </w:p>
        </w:tc>
      </w:tr>
      <w:tr w:rsidR="004267DA" w:rsidRPr="004267DA" w:rsidTr="00151867">
        <w:tc>
          <w:tcPr>
            <w:tcW w:w="2828"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 xml:space="preserve">Tumor size (≥2 vs </w:t>
            </w:r>
            <w:r w:rsidRPr="004267DA">
              <w:rPr>
                <w:rFonts w:ascii="Times New Roman" w:hAnsi="Times New Roman" w:cs="Times New Roman"/>
                <w:sz w:val="24"/>
                <w:szCs w:val="24"/>
              </w:rPr>
              <w:t>＜</w:t>
            </w:r>
            <w:r w:rsidRPr="004267DA">
              <w:rPr>
                <w:rFonts w:ascii="Times New Roman" w:hAnsi="Times New Roman" w:cs="Times New Roman"/>
                <w:sz w:val="24"/>
                <w:szCs w:val="24"/>
              </w:rPr>
              <w:t>2)</w:t>
            </w:r>
          </w:p>
        </w:tc>
        <w:tc>
          <w:tcPr>
            <w:tcW w:w="1842"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1.862 (1.076-3.153)</w:t>
            </w:r>
          </w:p>
        </w:tc>
        <w:tc>
          <w:tcPr>
            <w:tcW w:w="996"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0.026*</w:t>
            </w:r>
          </w:p>
        </w:tc>
        <w:tc>
          <w:tcPr>
            <w:tcW w:w="1559"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1.218 (0.962-2.865)</w:t>
            </w:r>
          </w:p>
        </w:tc>
        <w:tc>
          <w:tcPr>
            <w:tcW w:w="1071"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0.137</w:t>
            </w:r>
          </w:p>
        </w:tc>
      </w:tr>
      <w:tr w:rsidR="004267DA" w:rsidRPr="004267DA" w:rsidTr="00151867">
        <w:tc>
          <w:tcPr>
            <w:tcW w:w="2828"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Tumor location (Sup vs Sub)</w:t>
            </w:r>
          </w:p>
        </w:tc>
        <w:tc>
          <w:tcPr>
            <w:tcW w:w="1842"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1.472 (1.185-3.416)</w:t>
            </w:r>
          </w:p>
        </w:tc>
        <w:tc>
          <w:tcPr>
            <w:tcW w:w="996"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0.628</w:t>
            </w:r>
          </w:p>
        </w:tc>
        <w:tc>
          <w:tcPr>
            <w:tcW w:w="1559"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1.251 (0.958-2.853)</w:t>
            </w:r>
          </w:p>
        </w:tc>
        <w:tc>
          <w:tcPr>
            <w:tcW w:w="1071"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0.765</w:t>
            </w:r>
          </w:p>
        </w:tc>
      </w:tr>
      <w:tr w:rsidR="004267DA" w:rsidRPr="004267DA" w:rsidTr="00151867">
        <w:tc>
          <w:tcPr>
            <w:tcW w:w="2828"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 xml:space="preserve">KPS (≥90 vs </w:t>
            </w:r>
            <w:r w:rsidRPr="004267DA">
              <w:rPr>
                <w:rFonts w:ascii="Times New Roman" w:hAnsi="Times New Roman" w:cs="Times New Roman"/>
                <w:sz w:val="24"/>
                <w:szCs w:val="24"/>
              </w:rPr>
              <w:t>＜</w:t>
            </w:r>
            <w:r w:rsidRPr="004267DA">
              <w:rPr>
                <w:rFonts w:ascii="Times New Roman" w:hAnsi="Times New Roman" w:cs="Times New Roman"/>
                <w:sz w:val="24"/>
                <w:szCs w:val="24"/>
              </w:rPr>
              <w:t>90)</w:t>
            </w:r>
          </w:p>
        </w:tc>
        <w:tc>
          <w:tcPr>
            <w:tcW w:w="1842"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2.637 (1.846-4.537)</w:t>
            </w:r>
          </w:p>
        </w:tc>
        <w:tc>
          <w:tcPr>
            <w:tcW w:w="996"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0.008**</w:t>
            </w:r>
          </w:p>
        </w:tc>
        <w:tc>
          <w:tcPr>
            <w:tcW w:w="1559"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1.975 (1.265-3.627)</w:t>
            </w:r>
          </w:p>
        </w:tc>
        <w:tc>
          <w:tcPr>
            <w:tcW w:w="1071"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0.036*</w:t>
            </w:r>
          </w:p>
        </w:tc>
      </w:tr>
      <w:tr w:rsidR="004267DA" w:rsidRPr="004267DA" w:rsidTr="00151867">
        <w:tc>
          <w:tcPr>
            <w:tcW w:w="2828"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WHO grade (HGG vs LGG)</w:t>
            </w:r>
          </w:p>
        </w:tc>
        <w:tc>
          <w:tcPr>
            <w:tcW w:w="1842"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3.183 (1.658-5.738)</w:t>
            </w:r>
          </w:p>
        </w:tc>
        <w:tc>
          <w:tcPr>
            <w:tcW w:w="996"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0.020*</w:t>
            </w:r>
          </w:p>
        </w:tc>
        <w:tc>
          <w:tcPr>
            <w:tcW w:w="1559"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3.528 (1.524-6.386)</w:t>
            </w:r>
          </w:p>
        </w:tc>
        <w:tc>
          <w:tcPr>
            <w:tcW w:w="1071"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0.031*</w:t>
            </w:r>
          </w:p>
        </w:tc>
      </w:tr>
      <w:tr w:rsidR="004267DA" w:rsidRPr="004267DA" w:rsidTr="00151867">
        <w:tc>
          <w:tcPr>
            <w:tcW w:w="2828"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Tumor recurrence (Yes vs No)</w:t>
            </w:r>
          </w:p>
        </w:tc>
        <w:tc>
          <w:tcPr>
            <w:tcW w:w="1842"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0.693 (0.217-1.526)</w:t>
            </w:r>
          </w:p>
        </w:tc>
        <w:tc>
          <w:tcPr>
            <w:tcW w:w="996"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0.004**</w:t>
            </w:r>
          </w:p>
        </w:tc>
        <w:tc>
          <w:tcPr>
            <w:tcW w:w="1559"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0.863 (0.376-2.372)</w:t>
            </w:r>
          </w:p>
        </w:tc>
        <w:tc>
          <w:tcPr>
            <w:tcW w:w="1071"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0.012*</w:t>
            </w:r>
          </w:p>
        </w:tc>
      </w:tr>
      <w:tr w:rsidR="004267DA" w:rsidRPr="004267DA" w:rsidTr="00151867">
        <w:tc>
          <w:tcPr>
            <w:tcW w:w="2828"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Linc01060 (Low vs High)</w:t>
            </w:r>
          </w:p>
        </w:tc>
        <w:tc>
          <w:tcPr>
            <w:tcW w:w="1842"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2.375 (1.492-4.638)</w:t>
            </w:r>
          </w:p>
        </w:tc>
        <w:tc>
          <w:tcPr>
            <w:tcW w:w="996"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0.009**</w:t>
            </w:r>
          </w:p>
        </w:tc>
        <w:tc>
          <w:tcPr>
            <w:tcW w:w="1559"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2.536 (1.264-4.372)</w:t>
            </w:r>
          </w:p>
        </w:tc>
        <w:tc>
          <w:tcPr>
            <w:tcW w:w="1071" w:type="dxa"/>
          </w:tcPr>
          <w:p w:rsidR="004267DA" w:rsidRPr="004267DA" w:rsidRDefault="004267DA" w:rsidP="00E83D01">
            <w:pPr>
              <w:spacing w:line="360" w:lineRule="auto"/>
              <w:rPr>
                <w:rFonts w:ascii="Times New Roman" w:hAnsi="Times New Roman" w:cs="Times New Roman"/>
                <w:sz w:val="24"/>
                <w:szCs w:val="24"/>
              </w:rPr>
            </w:pPr>
            <w:r w:rsidRPr="004267DA">
              <w:rPr>
                <w:rFonts w:ascii="Times New Roman" w:hAnsi="Times New Roman" w:cs="Times New Roman"/>
                <w:sz w:val="24"/>
                <w:szCs w:val="24"/>
              </w:rPr>
              <w:t>0.018*</w:t>
            </w:r>
          </w:p>
        </w:tc>
      </w:tr>
    </w:tbl>
    <w:p w:rsidR="00A17AB8" w:rsidRDefault="00A17AB8" w:rsidP="00151867">
      <w:pPr>
        <w:spacing w:line="360" w:lineRule="auto"/>
        <w:rPr>
          <w:rFonts w:ascii="Times New Roman" w:hAnsi="Times New Roman" w:cs="Times New Roman"/>
          <w:b/>
          <w:bCs/>
          <w:sz w:val="24"/>
          <w:szCs w:val="24"/>
        </w:rPr>
      </w:pPr>
    </w:p>
    <w:p w:rsidR="00151867" w:rsidRDefault="00151867" w:rsidP="00151867">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Tables 3:</w:t>
      </w:r>
    </w:p>
    <w:tbl>
      <w:tblPr>
        <w:tblStyle w:val="a7"/>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1417"/>
        <w:gridCol w:w="5324"/>
      </w:tblGrid>
      <w:tr w:rsidR="00151867" w:rsidTr="00E83D01">
        <w:tc>
          <w:tcPr>
            <w:tcW w:w="1555" w:type="dxa"/>
            <w:tcBorders>
              <w:top w:val="single" w:sz="18" w:space="0" w:color="auto"/>
              <w:bottom w:val="single" w:sz="18" w:space="0" w:color="auto"/>
            </w:tcBorders>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b/>
                <w:bCs/>
                <w:sz w:val="24"/>
                <w:szCs w:val="24"/>
              </w:rPr>
              <w:t>Gene</w:t>
            </w:r>
          </w:p>
        </w:tc>
        <w:tc>
          <w:tcPr>
            <w:tcW w:w="1417" w:type="dxa"/>
            <w:tcBorders>
              <w:top w:val="single" w:sz="18" w:space="0" w:color="auto"/>
              <w:bottom w:val="single" w:sz="18" w:space="0" w:color="auto"/>
            </w:tcBorders>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b/>
                <w:bCs/>
                <w:sz w:val="24"/>
                <w:szCs w:val="24"/>
              </w:rPr>
              <w:t>Primer</w:t>
            </w:r>
          </w:p>
        </w:tc>
        <w:tc>
          <w:tcPr>
            <w:tcW w:w="5324" w:type="dxa"/>
            <w:tcBorders>
              <w:top w:val="single" w:sz="18" w:space="0" w:color="auto"/>
              <w:bottom w:val="single" w:sz="18" w:space="0" w:color="auto"/>
            </w:tcBorders>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b/>
                <w:bCs/>
                <w:sz w:val="24"/>
                <w:szCs w:val="24"/>
              </w:rPr>
              <w:t>Sequence(5′-3′)</w:t>
            </w:r>
          </w:p>
        </w:tc>
      </w:tr>
      <w:tr w:rsidR="00151867" w:rsidTr="00E83D01">
        <w:tc>
          <w:tcPr>
            <w:tcW w:w="1555" w:type="dxa"/>
            <w:tcBorders>
              <w:top w:val="single" w:sz="18" w:space="0" w:color="auto"/>
            </w:tcBorders>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si-1060#1</w:t>
            </w:r>
          </w:p>
        </w:tc>
        <w:tc>
          <w:tcPr>
            <w:tcW w:w="1417" w:type="dxa"/>
            <w:tcBorders>
              <w:top w:val="single" w:sz="18" w:space="0" w:color="auto"/>
            </w:tcBorders>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forward</w:t>
            </w:r>
          </w:p>
        </w:tc>
        <w:tc>
          <w:tcPr>
            <w:tcW w:w="5324" w:type="dxa"/>
            <w:tcBorders>
              <w:top w:val="single" w:sz="18" w:space="0" w:color="auto"/>
            </w:tcBorders>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color w:val="000000"/>
                <w:sz w:val="24"/>
                <w:szCs w:val="24"/>
              </w:rPr>
              <w:t>GTGCATUGTGAAGCAGCACACTCAGUGG</w:t>
            </w:r>
          </w:p>
        </w:tc>
      </w:tr>
      <w:tr w:rsidR="00151867" w:rsidTr="00E83D01">
        <w:tc>
          <w:tcPr>
            <w:tcW w:w="1555" w:type="dxa"/>
          </w:tcPr>
          <w:p w:rsidR="00151867" w:rsidRDefault="00151867" w:rsidP="00E83D01">
            <w:pPr>
              <w:spacing w:line="360" w:lineRule="auto"/>
              <w:rPr>
                <w:rFonts w:ascii="Times New Roman" w:hAnsi="Times New Roman" w:cs="Times New Roman"/>
                <w:sz w:val="24"/>
                <w:szCs w:val="24"/>
              </w:rPr>
            </w:pPr>
          </w:p>
        </w:tc>
        <w:tc>
          <w:tcPr>
            <w:tcW w:w="1417" w:type="dxa"/>
          </w:tcPr>
          <w:p w:rsidR="00151867" w:rsidRDefault="00151867" w:rsidP="00E83D01">
            <w:pPr>
              <w:spacing w:line="360" w:lineRule="auto"/>
              <w:rPr>
                <w:rFonts w:ascii="Times New Roman" w:hAnsi="Times New Roman" w:cs="Times New Roman"/>
                <w:sz w:val="24"/>
                <w:szCs w:val="24"/>
              </w:rPr>
            </w:pPr>
            <w:r>
              <w:rPr>
                <w:rFonts w:ascii="Times New Roman" w:hAnsi="Times New Roman" w:cs="Times New Roman"/>
                <w:sz w:val="24"/>
                <w:szCs w:val="24"/>
              </w:rPr>
              <w:t>reverse</w:t>
            </w:r>
          </w:p>
        </w:tc>
        <w:tc>
          <w:tcPr>
            <w:tcW w:w="5324" w:type="dxa"/>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hint="eastAsia"/>
                <w:sz w:val="24"/>
                <w:szCs w:val="24"/>
              </w:rPr>
              <w:t>C</w:t>
            </w:r>
            <w:r>
              <w:rPr>
                <w:rFonts w:ascii="Times New Roman" w:hAnsi="Times New Roman" w:cs="Times New Roman"/>
                <w:sz w:val="24"/>
                <w:szCs w:val="24"/>
              </w:rPr>
              <w:t>ACGTAACACUTCGTCGTGTGAGTCUUC</w:t>
            </w:r>
          </w:p>
        </w:tc>
      </w:tr>
      <w:tr w:rsidR="00151867" w:rsidTr="00E83D01">
        <w:tc>
          <w:tcPr>
            <w:tcW w:w="1555"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si-1060#2</w:t>
            </w: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forward</w:t>
            </w:r>
          </w:p>
        </w:tc>
        <w:tc>
          <w:tcPr>
            <w:tcW w:w="5324" w:type="dxa"/>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color w:val="000000"/>
                <w:sz w:val="24"/>
                <w:szCs w:val="24"/>
              </w:rPr>
              <w:t>AATGTTCAACGTCCTCCTGGGATACGGA</w:t>
            </w:r>
          </w:p>
        </w:tc>
      </w:tr>
      <w:tr w:rsidR="00151867" w:rsidTr="00E83D01">
        <w:tc>
          <w:tcPr>
            <w:tcW w:w="1555" w:type="dxa"/>
          </w:tcPr>
          <w:p w:rsidR="00151867" w:rsidRDefault="00151867" w:rsidP="00E83D01">
            <w:pPr>
              <w:spacing w:line="360" w:lineRule="auto"/>
              <w:rPr>
                <w:rFonts w:ascii="Times New Roman" w:hAnsi="Times New Roman" w:cs="Times New Roman"/>
                <w:sz w:val="24"/>
                <w:szCs w:val="24"/>
              </w:rPr>
            </w:pP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reverse</w:t>
            </w:r>
          </w:p>
        </w:tc>
        <w:tc>
          <w:tcPr>
            <w:tcW w:w="5324"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hint="eastAsia"/>
                <w:sz w:val="24"/>
                <w:szCs w:val="24"/>
              </w:rPr>
              <w:t>T</w:t>
            </w:r>
            <w:r>
              <w:rPr>
                <w:rFonts w:ascii="Times New Roman" w:hAnsi="Times New Roman" w:cs="Times New Roman"/>
                <w:sz w:val="24"/>
                <w:szCs w:val="24"/>
              </w:rPr>
              <w:t>TACAAGUTGCAGGAGGACUCTATGCCT</w:t>
            </w:r>
          </w:p>
        </w:tc>
      </w:tr>
      <w:tr w:rsidR="00151867" w:rsidTr="00E83D01">
        <w:tc>
          <w:tcPr>
            <w:tcW w:w="1555"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si-c-Myc#1</w:t>
            </w: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forward</w:t>
            </w:r>
          </w:p>
        </w:tc>
        <w:tc>
          <w:tcPr>
            <w:tcW w:w="5324"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kern w:val="0"/>
                <w:sz w:val="24"/>
                <w:szCs w:val="24"/>
              </w:rPr>
              <w:t>CTTCTACCAGCAGCAGCA</w:t>
            </w:r>
          </w:p>
        </w:tc>
      </w:tr>
      <w:tr w:rsidR="00151867" w:rsidTr="00E83D01">
        <w:tc>
          <w:tcPr>
            <w:tcW w:w="1555" w:type="dxa"/>
          </w:tcPr>
          <w:p w:rsidR="00151867" w:rsidRDefault="00151867" w:rsidP="00E83D01">
            <w:pPr>
              <w:spacing w:line="360" w:lineRule="auto"/>
              <w:rPr>
                <w:rFonts w:ascii="Times New Roman" w:hAnsi="Times New Roman" w:cs="Times New Roman"/>
                <w:sz w:val="24"/>
                <w:szCs w:val="24"/>
              </w:rPr>
            </w:pP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reverse</w:t>
            </w:r>
          </w:p>
        </w:tc>
        <w:tc>
          <w:tcPr>
            <w:tcW w:w="5324"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GAAGATGGTCGTCGTCGT</w:t>
            </w:r>
          </w:p>
        </w:tc>
      </w:tr>
      <w:tr w:rsidR="00151867" w:rsidTr="00E83D01">
        <w:tc>
          <w:tcPr>
            <w:tcW w:w="1555"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si-c-Myc#2</w:t>
            </w: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forward</w:t>
            </w:r>
          </w:p>
        </w:tc>
        <w:tc>
          <w:tcPr>
            <w:tcW w:w="5324"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kern w:val="0"/>
                <w:sz w:val="24"/>
                <w:szCs w:val="24"/>
              </w:rPr>
              <w:t>GGTCAGAGTCTGGATCAC</w:t>
            </w:r>
          </w:p>
        </w:tc>
      </w:tr>
      <w:tr w:rsidR="00151867" w:rsidTr="00E83D01">
        <w:tc>
          <w:tcPr>
            <w:tcW w:w="1555" w:type="dxa"/>
          </w:tcPr>
          <w:p w:rsidR="00151867" w:rsidRDefault="00151867" w:rsidP="00E83D01">
            <w:pPr>
              <w:spacing w:line="360" w:lineRule="auto"/>
              <w:rPr>
                <w:rFonts w:ascii="Times New Roman" w:hAnsi="Times New Roman" w:cs="Times New Roman"/>
                <w:b/>
                <w:bCs/>
                <w:sz w:val="24"/>
                <w:szCs w:val="24"/>
              </w:rPr>
            </w:pP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reverse</w:t>
            </w:r>
          </w:p>
        </w:tc>
        <w:tc>
          <w:tcPr>
            <w:tcW w:w="5324" w:type="dxa"/>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color w:val="000000"/>
                <w:sz w:val="24"/>
                <w:szCs w:val="24"/>
                <w:shd w:val="clear" w:color="auto" w:fill="FFFFFF"/>
              </w:rPr>
              <w:t>CCAGTCTCAGACCTAGTG</w:t>
            </w:r>
          </w:p>
        </w:tc>
      </w:tr>
      <w:tr w:rsidR="00151867" w:rsidTr="00E83D01">
        <w:tc>
          <w:tcPr>
            <w:tcW w:w="1555"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si-HIF-1A#1</w:t>
            </w: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forward</w:t>
            </w:r>
          </w:p>
        </w:tc>
        <w:tc>
          <w:tcPr>
            <w:tcW w:w="5324"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CCUAUAUCCCAAUGGAUGAUGTT</w:t>
            </w:r>
          </w:p>
        </w:tc>
      </w:tr>
      <w:tr w:rsidR="00151867" w:rsidTr="00E83D01">
        <w:tc>
          <w:tcPr>
            <w:tcW w:w="1555" w:type="dxa"/>
          </w:tcPr>
          <w:p w:rsidR="00151867" w:rsidRDefault="00151867" w:rsidP="00E83D01">
            <w:pPr>
              <w:spacing w:line="360" w:lineRule="auto"/>
              <w:rPr>
                <w:rFonts w:ascii="Times New Roman" w:hAnsi="Times New Roman" w:cs="Times New Roman"/>
                <w:b/>
                <w:bCs/>
                <w:sz w:val="24"/>
                <w:szCs w:val="24"/>
              </w:rPr>
            </w:pP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reverse</w:t>
            </w:r>
          </w:p>
        </w:tc>
        <w:tc>
          <w:tcPr>
            <w:tcW w:w="5324" w:type="dxa"/>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CAUCAUCCAUUGGGAUAUAGGTT</w:t>
            </w:r>
          </w:p>
        </w:tc>
      </w:tr>
      <w:tr w:rsidR="00151867" w:rsidTr="00E83D01">
        <w:tc>
          <w:tcPr>
            <w:tcW w:w="1555"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si-HIF-1A#2</w:t>
            </w:r>
          </w:p>
        </w:tc>
        <w:tc>
          <w:tcPr>
            <w:tcW w:w="1417"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forward</w:t>
            </w:r>
          </w:p>
        </w:tc>
        <w:tc>
          <w:tcPr>
            <w:tcW w:w="5324" w:type="dxa"/>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GUGAUGAAAGAAUUACCGAAUTT</w:t>
            </w:r>
          </w:p>
        </w:tc>
      </w:tr>
      <w:tr w:rsidR="00151867" w:rsidTr="00E83D01">
        <w:tc>
          <w:tcPr>
            <w:tcW w:w="1555" w:type="dxa"/>
          </w:tcPr>
          <w:p w:rsidR="00151867" w:rsidRDefault="00151867" w:rsidP="00E83D01">
            <w:pPr>
              <w:spacing w:line="360" w:lineRule="auto"/>
              <w:rPr>
                <w:rFonts w:ascii="Times New Roman" w:hAnsi="Times New Roman" w:cs="Times New Roman"/>
                <w:sz w:val="24"/>
                <w:szCs w:val="24"/>
              </w:rPr>
            </w:pPr>
          </w:p>
        </w:tc>
        <w:tc>
          <w:tcPr>
            <w:tcW w:w="1417" w:type="dxa"/>
          </w:tcPr>
          <w:p w:rsidR="00151867" w:rsidRDefault="00151867" w:rsidP="00E83D01">
            <w:pPr>
              <w:spacing w:line="360" w:lineRule="auto"/>
              <w:rPr>
                <w:rFonts w:ascii="Times New Roman" w:hAnsi="Times New Roman" w:cs="Times New Roman"/>
                <w:sz w:val="24"/>
                <w:szCs w:val="24"/>
              </w:rPr>
            </w:pPr>
            <w:r>
              <w:rPr>
                <w:rFonts w:ascii="Times New Roman" w:hAnsi="Times New Roman" w:cs="Times New Roman"/>
                <w:sz w:val="24"/>
                <w:szCs w:val="24"/>
              </w:rPr>
              <w:t>reverse</w:t>
            </w:r>
          </w:p>
        </w:tc>
        <w:tc>
          <w:tcPr>
            <w:tcW w:w="5324" w:type="dxa"/>
            <w:vAlign w:val="center"/>
          </w:tcPr>
          <w:p w:rsidR="00151867" w:rsidRDefault="00151867" w:rsidP="00E83D01">
            <w:pPr>
              <w:spacing w:line="360" w:lineRule="auto"/>
              <w:rPr>
                <w:rFonts w:ascii="Times New Roman" w:hAnsi="Times New Roman" w:cs="Times New Roman"/>
                <w:b/>
                <w:bCs/>
                <w:sz w:val="24"/>
                <w:szCs w:val="24"/>
              </w:rPr>
            </w:pPr>
            <w:r>
              <w:rPr>
                <w:rFonts w:ascii="Times New Roman" w:hAnsi="Times New Roman" w:cs="Times New Roman"/>
                <w:sz w:val="24"/>
                <w:szCs w:val="24"/>
              </w:rPr>
              <w:t>AUUCGGUAAUUCUUUCAUCACTT</w:t>
            </w:r>
          </w:p>
        </w:tc>
      </w:tr>
    </w:tbl>
    <w:p w:rsidR="00151867" w:rsidRDefault="00151867" w:rsidP="00151867"/>
    <w:p w:rsidR="00A17AB8" w:rsidRDefault="00A17AB8" w:rsidP="00A17AB8">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Tables 4:</w:t>
      </w:r>
    </w:p>
    <w:tbl>
      <w:tblPr>
        <w:tblStyle w:val="a7"/>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5607"/>
      </w:tblGrid>
      <w:tr w:rsidR="00A17AB8" w:rsidTr="00E83D01">
        <w:trPr>
          <w:trHeight w:val="570"/>
        </w:trPr>
        <w:tc>
          <w:tcPr>
            <w:tcW w:w="2689" w:type="dxa"/>
            <w:tcBorders>
              <w:top w:val="single" w:sz="18" w:space="0" w:color="auto"/>
              <w:bottom w:val="single" w:sz="18" w:space="0" w:color="auto"/>
            </w:tcBorders>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hint="eastAsia"/>
                <w:sz w:val="24"/>
                <w:szCs w:val="24"/>
              </w:rPr>
              <w:t>Name</w:t>
            </w:r>
          </w:p>
        </w:tc>
        <w:tc>
          <w:tcPr>
            <w:tcW w:w="5607" w:type="dxa"/>
            <w:tcBorders>
              <w:top w:val="single" w:sz="18" w:space="0" w:color="auto"/>
              <w:bottom w:val="single" w:sz="18" w:space="0" w:color="auto"/>
            </w:tcBorders>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hint="eastAsia"/>
                <w:sz w:val="24"/>
                <w:szCs w:val="24"/>
              </w:rPr>
              <w:t>Description</w:t>
            </w:r>
          </w:p>
        </w:tc>
      </w:tr>
      <w:tr w:rsidR="00A17AB8" w:rsidTr="00E83D01">
        <w:trPr>
          <w:trHeight w:val="567"/>
        </w:trPr>
        <w:tc>
          <w:tcPr>
            <w:tcW w:w="2689" w:type="dxa"/>
            <w:tcBorders>
              <w:top w:val="single" w:sz="18" w:space="0" w:color="auto"/>
            </w:tcBorders>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Anti-SPOP antibody</w:t>
            </w:r>
          </w:p>
        </w:tc>
        <w:tc>
          <w:tcPr>
            <w:tcW w:w="5607" w:type="dxa"/>
            <w:tcBorders>
              <w:top w:val="single" w:sz="18" w:space="0" w:color="auto"/>
            </w:tcBorders>
          </w:tcPr>
          <w:p w:rsidR="00A17AB8" w:rsidRDefault="00A17AB8" w:rsidP="00E83D01">
            <w:pPr>
              <w:spacing w:line="360" w:lineRule="auto"/>
              <w:rPr>
                <w:rFonts w:ascii="Times New Roman" w:hAnsi="Times New Roman" w:cs="Times New Roman"/>
                <w:sz w:val="24"/>
                <w:szCs w:val="24"/>
              </w:rPr>
            </w:pPr>
            <w:r>
              <w:rPr>
                <w:rFonts w:ascii="Times New Roman" w:hAnsi="Times New Roman"/>
                <w:sz w:val="24"/>
                <w:szCs w:val="24"/>
              </w:rPr>
              <w:t>Ab168619</w:t>
            </w:r>
            <w:r>
              <w:rPr>
                <w:rFonts w:ascii="Times New Roman" w:hAnsi="Times New Roman" w:hint="eastAsia"/>
                <w:sz w:val="24"/>
                <w:szCs w:val="24"/>
              </w:rPr>
              <w:t xml:space="preserve"> (</w:t>
            </w:r>
            <w:r>
              <w:rPr>
                <w:rFonts w:ascii="Times New Roman" w:hAnsi="Times New Roman"/>
                <w:sz w:val="24"/>
                <w:szCs w:val="24"/>
              </w:rPr>
              <w:t>Abcam</w:t>
            </w:r>
            <w:r>
              <w:rPr>
                <w:rFonts w:ascii="Times New Roman" w:hAnsi="Times New Roman" w:hint="eastAsia"/>
                <w:sz w:val="24"/>
                <w:szCs w:val="24"/>
              </w:rPr>
              <w:t xml:space="preserve">, </w:t>
            </w:r>
            <w:r>
              <w:rPr>
                <w:rFonts w:ascii="Times New Roman" w:hAnsi="Times New Roman" w:cs="Times New Roman"/>
                <w:sz w:val="24"/>
                <w:szCs w:val="24"/>
              </w:rPr>
              <w:t>Cambridge, USA</w:t>
            </w:r>
            <w:r>
              <w:rPr>
                <w:rFonts w:ascii="Times New Roman" w:hAnsi="Times New Roman" w:hint="eastAsia"/>
                <w:sz w:val="24"/>
                <w:szCs w:val="24"/>
              </w:rPr>
              <w:t>)</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w:t>
            </w:r>
            <w:r>
              <w:rPr>
                <w:rFonts w:ascii="Times New Roman" w:hAnsi="Times New Roman" w:cs="Times New Roman" w:hint="eastAsia"/>
                <w:sz w:val="24"/>
                <w:szCs w:val="24"/>
              </w:rPr>
              <w:t>c</w:t>
            </w:r>
            <w:r>
              <w:rPr>
                <w:rFonts w:ascii="Times New Roman" w:hAnsi="Times New Roman" w:cs="Times New Roman"/>
                <w:sz w:val="24"/>
                <w:szCs w:val="24"/>
              </w:rPr>
              <w:t>-Myc antibody</w:t>
            </w:r>
          </w:p>
        </w:tc>
        <w:tc>
          <w:tcPr>
            <w:tcW w:w="5607" w:type="dxa"/>
          </w:tcPr>
          <w:p w:rsidR="00A17AB8" w:rsidRDefault="00A17AB8" w:rsidP="00E83D01">
            <w:pPr>
              <w:spacing w:line="360" w:lineRule="auto"/>
              <w:rPr>
                <w:rFonts w:ascii="Times New Roman" w:hAnsi="Times New Roman" w:cs="Times New Roman"/>
                <w:sz w:val="24"/>
                <w:szCs w:val="24"/>
              </w:rPr>
            </w:pPr>
            <w:r>
              <w:rPr>
                <w:rFonts w:ascii="Times New Roman" w:hAnsi="Times New Roman"/>
                <w:sz w:val="24"/>
                <w:szCs w:val="24"/>
              </w:rPr>
              <w:t>ab32072</w:t>
            </w:r>
            <w:r>
              <w:rPr>
                <w:rFonts w:ascii="Times New Roman" w:hAnsi="Times New Roman" w:hint="eastAsia"/>
                <w:sz w:val="24"/>
                <w:szCs w:val="24"/>
              </w:rPr>
              <w:t xml:space="preserve"> (</w:t>
            </w:r>
            <w:r>
              <w:rPr>
                <w:rFonts w:ascii="Times New Roman" w:hAnsi="Times New Roman"/>
                <w:sz w:val="24"/>
                <w:szCs w:val="24"/>
              </w:rPr>
              <w:t>Abcam</w:t>
            </w:r>
            <w:r>
              <w:rPr>
                <w:rFonts w:ascii="Times New Roman" w:hAnsi="Times New Roman" w:hint="eastAsia"/>
                <w:sz w:val="24"/>
                <w:szCs w:val="24"/>
              </w:rPr>
              <w:t xml:space="preserve">, </w:t>
            </w:r>
            <w:r>
              <w:rPr>
                <w:rFonts w:ascii="Times New Roman" w:hAnsi="Times New Roman" w:cs="Times New Roman"/>
                <w:sz w:val="24"/>
                <w:szCs w:val="24"/>
              </w:rPr>
              <w:t>Cambridge, USA</w:t>
            </w:r>
            <w:r>
              <w:rPr>
                <w:rFonts w:ascii="Times New Roman" w:hAnsi="Times New Roman" w:hint="eastAsia"/>
                <w:sz w:val="24"/>
                <w:szCs w:val="24"/>
              </w:rPr>
              <w:t>)</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w:t>
            </w:r>
            <w:r>
              <w:rPr>
                <w:rFonts w:ascii="Times New Roman" w:hAnsi="Times New Roman" w:cs="Times New Roman" w:hint="eastAsia"/>
                <w:sz w:val="24"/>
                <w:szCs w:val="24"/>
              </w:rPr>
              <w:t>H</w:t>
            </w:r>
            <w:r>
              <w:rPr>
                <w:rFonts w:ascii="Times New Roman" w:hAnsi="Times New Roman" w:cs="Times New Roman"/>
                <w:sz w:val="24"/>
                <w:szCs w:val="24"/>
              </w:rPr>
              <w:t>IF-1A antibody</w:t>
            </w:r>
          </w:p>
        </w:tc>
        <w:tc>
          <w:tcPr>
            <w:tcW w:w="5607" w:type="dxa"/>
          </w:tcPr>
          <w:p w:rsidR="00A17AB8" w:rsidRDefault="00A17AB8" w:rsidP="00E83D01">
            <w:pPr>
              <w:spacing w:line="360" w:lineRule="auto"/>
              <w:rPr>
                <w:rFonts w:ascii="Times New Roman" w:hAnsi="Times New Roman" w:cs="Times New Roman"/>
                <w:sz w:val="24"/>
                <w:szCs w:val="24"/>
              </w:rPr>
            </w:pPr>
            <w:r>
              <w:rPr>
                <w:rFonts w:ascii="Times New Roman" w:hAnsi="Times New Roman"/>
                <w:sz w:val="24"/>
                <w:szCs w:val="24"/>
              </w:rPr>
              <w:t>ab243860</w:t>
            </w:r>
            <w:r>
              <w:rPr>
                <w:rFonts w:ascii="Times New Roman" w:hAnsi="Times New Roman" w:hint="eastAsia"/>
                <w:sz w:val="24"/>
                <w:szCs w:val="24"/>
              </w:rPr>
              <w:t xml:space="preserve"> (</w:t>
            </w:r>
            <w:r>
              <w:rPr>
                <w:rFonts w:ascii="Times New Roman" w:hAnsi="Times New Roman"/>
                <w:sz w:val="24"/>
                <w:szCs w:val="24"/>
              </w:rPr>
              <w:t>Abcam</w:t>
            </w:r>
            <w:r>
              <w:rPr>
                <w:rFonts w:ascii="Times New Roman" w:hAnsi="Times New Roman" w:hint="eastAsia"/>
                <w:sz w:val="24"/>
                <w:szCs w:val="24"/>
              </w:rPr>
              <w:t xml:space="preserve">, </w:t>
            </w:r>
            <w:r>
              <w:rPr>
                <w:rFonts w:ascii="Times New Roman" w:hAnsi="Times New Roman" w:cs="Times New Roman"/>
                <w:sz w:val="24"/>
                <w:szCs w:val="24"/>
              </w:rPr>
              <w:t>Cambridge, USA</w:t>
            </w:r>
            <w:r>
              <w:rPr>
                <w:rFonts w:ascii="Times New Roman" w:hAnsi="Times New Roman" w:hint="eastAsia"/>
                <w:sz w:val="24"/>
                <w:szCs w:val="24"/>
              </w:rPr>
              <w:t>)</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Anti-PTGS2 antibody</w:t>
            </w:r>
          </w:p>
        </w:tc>
        <w:tc>
          <w:tcPr>
            <w:tcW w:w="5607" w:type="dxa"/>
          </w:tcPr>
          <w:p w:rsidR="00A17AB8" w:rsidRDefault="00A17AB8" w:rsidP="00E83D01">
            <w:pPr>
              <w:pStyle w:val="Default"/>
              <w:spacing w:line="360" w:lineRule="auto"/>
              <w:jc w:val="both"/>
            </w:pPr>
            <w:r>
              <w:t>66351-1-Ig (Proteintech, Wuhan, China )</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Anti-NOX2 antibody</w:t>
            </w:r>
          </w:p>
        </w:tc>
        <w:tc>
          <w:tcPr>
            <w:tcW w:w="5607" w:type="dxa"/>
          </w:tcPr>
          <w:p w:rsidR="00A17AB8" w:rsidRDefault="00A17AB8" w:rsidP="00E83D01">
            <w:pPr>
              <w:pStyle w:val="Default"/>
              <w:spacing w:line="360" w:lineRule="auto"/>
              <w:jc w:val="both"/>
            </w:pPr>
            <w:r>
              <w:t>19013-1-AP (Proteintech, Wuhan, China )</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Anti-FTH1 antibody</w:t>
            </w:r>
          </w:p>
        </w:tc>
        <w:tc>
          <w:tcPr>
            <w:tcW w:w="5607" w:type="dxa"/>
          </w:tcPr>
          <w:p w:rsidR="00A17AB8" w:rsidRDefault="00A17AB8" w:rsidP="00E83D01">
            <w:pPr>
              <w:pStyle w:val="Default"/>
              <w:spacing w:line="360" w:lineRule="auto"/>
              <w:jc w:val="both"/>
            </w:pPr>
            <w:r>
              <w:t>10727-1-AP (Proteintech, Wuhan, China )</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Anti-GPX4 antibody</w:t>
            </w:r>
          </w:p>
        </w:tc>
        <w:tc>
          <w:tcPr>
            <w:tcW w:w="5607" w:type="dxa"/>
          </w:tcPr>
          <w:p w:rsidR="00A17AB8" w:rsidRDefault="00A17AB8" w:rsidP="00E83D01">
            <w:pPr>
              <w:pStyle w:val="Default"/>
              <w:spacing w:line="360" w:lineRule="auto"/>
              <w:jc w:val="both"/>
            </w:pPr>
            <w:r>
              <w:t>67763-1-AP (Proteintech, Wuhan, China )</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Anti-ASCL4 antibody</w:t>
            </w:r>
          </w:p>
        </w:tc>
        <w:tc>
          <w:tcPr>
            <w:tcW w:w="5607" w:type="dxa"/>
          </w:tcPr>
          <w:p w:rsidR="00A17AB8" w:rsidRDefault="00A17AB8" w:rsidP="00E83D01">
            <w:pPr>
              <w:pStyle w:val="Default"/>
              <w:spacing w:line="360" w:lineRule="auto"/>
              <w:jc w:val="both"/>
            </w:pPr>
            <w:r>
              <w:t>A14439 (ABclonal, Wuhan, China )</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w:t>
            </w:r>
            <w:r>
              <w:rPr>
                <w:rFonts w:ascii="Times New Roman" w:hAnsi="Times New Roman" w:cs="Times New Roman" w:hint="eastAsia"/>
                <w:sz w:val="24"/>
                <w:szCs w:val="24"/>
              </w:rPr>
              <w:t>H</w:t>
            </w:r>
            <w:r>
              <w:rPr>
                <w:rFonts w:ascii="Times New Roman" w:hAnsi="Times New Roman" w:cs="Times New Roman"/>
                <w:sz w:val="24"/>
                <w:szCs w:val="24"/>
              </w:rPr>
              <w:t>A antibody</w:t>
            </w:r>
          </w:p>
        </w:tc>
        <w:tc>
          <w:tcPr>
            <w:tcW w:w="5607" w:type="dxa"/>
          </w:tcPr>
          <w:p w:rsidR="00A17AB8" w:rsidRDefault="00A17AB8" w:rsidP="00E83D01">
            <w:pPr>
              <w:pStyle w:val="Default"/>
              <w:spacing w:line="360" w:lineRule="auto"/>
              <w:jc w:val="both"/>
              <w:rPr>
                <w:sz w:val="22"/>
              </w:rPr>
            </w:pPr>
            <w:r>
              <w:t>901503 (</w:t>
            </w:r>
            <w:r>
              <w:rPr>
                <w:rFonts w:hint="eastAsia"/>
              </w:rPr>
              <w:t>Biolegend</w:t>
            </w:r>
            <w:r>
              <w:t>, San Diego, California, USA)</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 xml:space="preserve">Anti-flag antibody </w:t>
            </w:r>
          </w:p>
        </w:tc>
        <w:tc>
          <w:tcPr>
            <w:tcW w:w="5607" w:type="dxa"/>
          </w:tcPr>
          <w:p w:rsidR="00A17AB8" w:rsidRDefault="00A17AB8" w:rsidP="00E83D01">
            <w:pPr>
              <w:pStyle w:val="Default"/>
              <w:spacing w:line="360" w:lineRule="auto"/>
              <w:jc w:val="both"/>
              <w:rPr>
                <w:sz w:val="22"/>
              </w:rPr>
            </w:pPr>
            <w:r>
              <w:t>20543-1-AP (Proteintech, Wuhan, China )</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Anti-myc tag antibody</w:t>
            </w:r>
          </w:p>
        </w:tc>
        <w:tc>
          <w:tcPr>
            <w:tcW w:w="5607" w:type="dxa"/>
          </w:tcPr>
          <w:p w:rsidR="00A17AB8" w:rsidRDefault="00A17AB8" w:rsidP="00E83D01">
            <w:pPr>
              <w:pStyle w:val="Default"/>
              <w:spacing w:line="360" w:lineRule="auto"/>
              <w:jc w:val="both"/>
            </w:pPr>
            <w:r>
              <w:t>16286-1-AP (Proteintech, Wuhan, China )</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Anti-β-actin antibody</w:t>
            </w:r>
          </w:p>
        </w:tc>
        <w:tc>
          <w:tcPr>
            <w:tcW w:w="5607"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4970 (</w:t>
            </w:r>
            <w:r>
              <w:rPr>
                <w:rFonts w:ascii="Times New Roman" w:hAnsi="Times New Roman"/>
                <w:sz w:val="24"/>
                <w:szCs w:val="24"/>
              </w:rPr>
              <w:t>Cell Signaling Technology</w:t>
            </w:r>
            <w:r>
              <w:rPr>
                <w:rFonts w:ascii="Times New Roman" w:hAnsi="Times New Roman" w:hint="eastAsia"/>
                <w:sz w:val="24"/>
                <w:szCs w:val="24"/>
              </w:rPr>
              <w:t>,</w:t>
            </w:r>
            <w:r>
              <w:rPr>
                <w:rFonts w:ascii="Times New Roman" w:hAnsi="Times New Roman" w:cs="Times New Roman"/>
                <w:sz w:val="28"/>
                <w:szCs w:val="28"/>
              </w:rPr>
              <w:t xml:space="preserve"> </w:t>
            </w:r>
            <w:r>
              <w:rPr>
                <w:rFonts w:ascii="Times New Roman" w:hAnsi="Times New Roman" w:cs="Times New Roman"/>
                <w:sz w:val="24"/>
                <w:szCs w:val="24"/>
              </w:rPr>
              <w:t>Beverly, MA, USA</w:t>
            </w:r>
            <w:r>
              <w:rPr>
                <w:rFonts w:ascii="Times New Roman" w:hAnsi="Times New Roman" w:cs="Times New Roman" w:hint="eastAsia"/>
                <w:sz w:val="24"/>
                <w:szCs w:val="24"/>
              </w:rPr>
              <w:t>)</w:t>
            </w:r>
          </w:p>
        </w:tc>
      </w:tr>
      <w:tr w:rsidR="00A17AB8" w:rsidTr="00E83D01">
        <w:trPr>
          <w:trHeight w:val="567"/>
        </w:trPr>
        <w:tc>
          <w:tcPr>
            <w:tcW w:w="2689" w:type="dxa"/>
          </w:tcPr>
          <w:p w:rsidR="00A17AB8" w:rsidRDefault="00A17AB8" w:rsidP="00E83D01">
            <w:pPr>
              <w:spacing w:line="360" w:lineRule="auto"/>
              <w:rPr>
                <w:rFonts w:ascii="Times New Roman" w:hAnsi="Times New Roman" w:cs="Times New Roman"/>
                <w:sz w:val="22"/>
                <w:szCs w:val="24"/>
              </w:rPr>
            </w:pPr>
            <w:r>
              <w:rPr>
                <w:rFonts w:ascii="Times New Roman" w:hAnsi="Times New Roman" w:cs="Times New Roman"/>
                <w:sz w:val="24"/>
                <w:szCs w:val="24"/>
              </w:rPr>
              <w:t xml:space="preserve">Anti-GAPDH antibody </w:t>
            </w:r>
          </w:p>
        </w:tc>
        <w:tc>
          <w:tcPr>
            <w:tcW w:w="5607" w:type="dxa"/>
          </w:tcPr>
          <w:p w:rsidR="00A17AB8" w:rsidRDefault="00A17AB8" w:rsidP="00E83D01">
            <w:pPr>
              <w:pStyle w:val="Default"/>
              <w:spacing w:line="360" w:lineRule="auto"/>
              <w:jc w:val="both"/>
              <w:rPr>
                <w:sz w:val="22"/>
              </w:rPr>
            </w:pPr>
            <w:r>
              <w:t>60004-1-lg (Proteintech, Wuhan, China )</w:t>
            </w:r>
          </w:p>
        </w:tc>
      </w:tr>
    </w:tbl>
    <w:p w:rsidR="00A17AB8" w:rsidRDefault="00A17AB8" w:rsidP="00A17AB8"/>
    <w:p w:rsidR="00A17AB8" w:rsidRDefault="00A17AB8" w:rsidP="00A17AB8">
      <w:pPr>
        <w:spacing w:line="360" w:lineRule="auto"/>
        <w:rPr>
          <w:rFonts w:ascii="Times New Roman" w:hAnsi="Times New Roman" w:cs="Times New Roman"/>
          <w:sz w:val="24"/>
          <w:szCs w:val="24"/>
        </w:rPr>
      </w:pPr>
      <w:r>
        <w:rPr>
          <w:rFonts w:ascii="Times New Roman" w:hAnsi="Times New Roman" w:cs="Times New Roman"/>
          <w:b/>
          <w:bCs/>
          <w:sz w:val="24"/>
          <w:szCs w:val="24"/>
        </w:rPr>
        <w:t>Supplementary Tables 5:</w:t>
      </w:r>
    </w:p>
    <w:tbl>
      <w:tblPr>
        <w:tblStyle w:val="a7"/>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1701"/>
        <w:gridCol w:w="4615"/>
      </w:tblGrid>
      <w:tr w:rsidR="00A17AB8" w:rsidTr="00E83D01">
        <w:trPr>
          <w:trHeight w:val="567"/>
        </w:trPr>
        <w:tc>
          <w:tcPr>
            <w:tcW w:w="1980" w:type="dxa"/>
            <w:tcBorders>
              <w:top w:val="single" w:sz="18" w:space="0" w:color="auto"/>
              <w:bottom w:val="single" w:sz="18" w:space="0" w:color="auto"/>
            </w:tcBorders>
            <w:vAlign w:val="center"/>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b/>
                <w:bCs/>
                <w:sz w:val="24"/>
                <w:szCs w:val="24"/>
              </w:rPr>
              <w:t>Gene</w:t>
            </w:r>
          </w:p>
        </w:tc>
        <w:tc>
          <w:tcPr>
            <w:tcW w:w="1701" w:type="dxa"/>
            <w:tcBorders>
              <w:top w:val="single" w:sz="18" w:space="0" w:color="auto"/>
              <w:bottom w:val="single" w:sz="18" w:space="0" w:color="auto"/>
            </w:tcBorders>
            <w:vAlign w:val="center"/>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b/>
                <w:bCs/>
                <w:sz w:val="24"/>
                <w:szCs w:val="24"/>
              </w:rPr>
              <w:t>Primer</w:t>
            </w:r>
          </w:p>
        </w:tc>
        <w:tc>
          <w:tcPr>
            <w:tcW w:w="4615" w:type="dxa"/>
            <w:tcBorders>
              <w:top w:val="single" w:sz="18" w:space="0" w:color="auto"/>
              <w:bottom w:val="single" w:sz="18" w:space="0" w:color="auto"/>
            </w:tcBorders>
            <w:vAlign w:val="center"/>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b/>
                <w:bCs/>
                <w:sz w:val="24"/>
                <w:szCs w:val="24"/>
              </w:rPr>
              <w:t>Sequence (5′-3′)</w:t>
            </w:r>
          </w:p>
        </w:tc>
      </w:tr>
      <w:tr w:rsidR="00A17AB8" w:rsidTr="00E83D01">
        <w:trPr>
          <w:trHeight w:val="567"/>
        </w:trPr>
        <w:tc>
          <w:tcPr>
            <w:tcW w:w="1980" w:type="dxa"/>
            <w:vMerge w:val="restart"/>
            <w:tcBorders>
              <w:top w:val="single" w:sz="18" w:space="0" w:color="auto"/>
            </w:tcBorders>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hint="eastAsia"/>
                <w:sz w:val="24"/>
                <w:szCs w:val="24"/>
              </w:rPr>
              <w:t>L</w:t>
            </w:r>
            <w:r>
              <w:rPr>
                <w:rFonts w:ascii="Times New Roman" w:hAnsi="Times New Roman" w:cs="Times New Roman"/>
                <w:sz w:val="24"/>
                <w:szCs w:val="24"/>
              </w:rPr>
              <w:t>inc01060</w:t>
            </w:r>
          </w:p>
        </w:tc>
        <w:tc>
          <w:tcPr>
            <w:tcW w:w="1701" w:type="dxa"/>
            <w:tcBorders>
              <w:top w:val="single" w:sz="18" w:space="0" w:color="auto"/>
            </w:tcBorders>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forward</w:t>
            </w:r>
          </w:p>
        </w:tc>
        <w:tc>
          <w:tcPr>
            <w:tcW w:w="4615" w:type="dxa"/>
            <w:tcBorders>
              <w:top w:val="single" w:sz="18" w:space="0" w:color="auto"/>
            </w:tcBorders>
          </w:tcPr>
          <w:p w:rsidR="00A17AB8" w:rsidRDefault="00A17AB8" w:rsidP="00E83D01">
            <w:pPr>
              <w:spacing w:line="360" w:lineRule="auto"/>
              <w:rPr>
                <w:rFonts w:ascii="Times New Roman" w:hAnsi="Times New Roman" w:cs="Times New Roman"/>
                <w:sz w:val="24"/>
                <w:szCs w:val="24"/>
              </w:rPr>
            </w:pPr>
            <w:r>
              <w:rPr>
                <w:rFonts w:ascii="Times New Roman" w:hAnsi="Times New Roman"/>
                <w:color w:val="000000"/>
                <w:kern w:val="0"/>
                <w:sz w:val="24"/>
                <w:szCs w:val="24"/>
                <w:lang w:bidi="ar"/>
              </w:rPr>
              <w:t>GCAAGTCAACAGGAAGGGT</w:t>
            </w:r>
          </w:p>
        </w:tc>
      </w:tr>
      <w:tr w:rsidR="00A17AB8" w:rsidTr="00E83D01">
        <w:trPr>
          <w:trHeight w:val="567"/>
        </w:trPr>
        <w:tc>
          <w:tcPr>
            <w:tcW w:w="1980" w:type="dxa"/>
            <w:vMerge/>
          </w:tcPr>
          <w:p w:rsidR="00A17AB8" w:rsidRDefault="00A17AB8" w:rsidP="00E83D01">
            <w:pPr>
              <w:spacing w:line="360" w:lineRule="auto"/>
              <w:rPr>
                <w:rFonts w:ascii="Times New Roman" w:hAnsi="Times New Roman" w:cs="Times New Roman"/>
                <w:sz w:val="24"/>
                <w:szCs w:val="24"/>
              </w:rPr>
            </w:pP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reverse</w:t>
            </w:r>
          </w:p>
        </w:tc>
        <w:tc>
          <w:tcPr>
            <w:tcW w:w="4615"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olor w:val="000000"/>
                <w:kern w:val="0"/>
                <w:sz w:val="24"/>
                <w:szCs w:val="24"/>
                <w:lang w:bidi="ar"/>
              </w:rPr>
              <w:t>TACFFAFFAAFFTAACAG</w:t>
            </w:r>
          </w:p>
        </w:tc>
      </w:tr>
      <w:tr w:rsidR="00A17AB8" w:rsidTr="00E83D01">
        <w:trPr>
          <w:trHeight w:val="567"/>
        </w:trPr>
        <w:tc>
          <w:tcPr>
            <w:tcW w:w="1980" w:type="dxa"/>
            <w:vMerge w:val="restart"/>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POP</w:t>
            </w: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forward</w:t>
            </w:r>
          </w:p>
        </w:tc>
        <w:tc>
          <w:tcPr>
            <w:tcW w:w="4615"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GCCCCGTAGCTGAGAGTTG</w:t>
            </w:r>
          </w:p>
        </w:tc>
      </w:tr>
      <w:tr w:rsidR="00A17AB8" w:rsidTr="00E83D01">
        <w:trPr>
          <w:trHeight w:val="567"/>
        </w:trPr>
        <w:tc>
          <w:tcPr>
            <w:tcW w:w="1980" w:type="dxa"/>
            <w:vMerge/>
          </w:tcPr>
          <w:p w:rsidR="00A17AB8" w:rsidRDefault="00A17AB8" w:rsidP="00E83D01">
            <w:pPr>
              <w:spacing w:line="360" w:lineRule="auto"/>
              <w:rPr>
                <w:rFonts w:ascii="Times New Roman" w:hAnsi="Times New Roman" w:cs="Times New Roman"/>
                <w:sz w:val="24"/>
                <w:szCs w:val="24"/>
              </w:rPr>
            </w:pP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reverse</w:t>
            </w:r>
          </w:p>
        </w:tc>
        <w:tc>
          <w:tcPr>
            <w:tcW w:w="4615"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ACTCGCAAACACCATTTCAGT</w:t>
            </w:r>
          </w:p>
        </w:tc>
      </w:tr>
      <w:tr w:rsidR="00A17AB8" w:rsidTr="00E83D01">
        <w:trPr>
          <w:trHeight w:val="567"/>
        </w:trPr>
        <w:tc>
          <w:tcPr>
            <w:tcW w:w="1980" w:type="dxa"/>
            <w:vMerge w:val="restart"/>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c-Myc</w:t>
            </w: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forward</w:t>
            </w:r>
          </w:p>
        </w:tc>
        <w:tc>
          <w:tcPr>
            <w:tcW w:w="4615"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GTCAAGAGGCGAACACACAAC</w:t>
            </w:r>
          </w:p>
        </w:tc>
      </w:tr>
      <w:tr w:rsidR="00A17AB8" w:rsidTr="00E83D01">
        <w:trPr>
          <w:trHeight w:val="567"/>
        </w:trPr>
        <w:tc>
          <w:tcPr>
            <w:tcW w:w="1980" w:type="dxa"/>
            <w:vMerge/>
          </w:tcPr>
          <w:p w:rsidR="00A17AB8" w:rsidRDefault="00A17AB8" w:rsidP="00E83D01">
            <w:pPr>
              <w:spacing w:line="360" w:lineRule="auto"/>
              <w:rPr>
                <w:rFonts w:ascii="Times New Roman" w:hAnsi="Times New Roman" w:cs="Times New Roman"/>
                <w:sz w:val="24"/>
                <w:szCs w:val="24"/>
              </w:rPr>
            </w:pP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reverse</w:t>
            </w:r>
          </w:p>
        </w:tc>
        <w:tc>
          <w:tcPr>
            <w:tcW w:w="4615"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TTGGACGGACAGGATGTATGC</w:t>
            </w:r>
          </w:p>
        </w:tc>
      </w:tr>
      <w:tr w:rsidR="00A17AB8" w:rsidTr="00E83D01">
        <w:trPr>
          <w:trHeight w:val="567"/>
        </w:trPr>
        <w:tc>
          <w:tcPr>
            <w:tcW w:w="1980" w:type="dxa"/>
            <w:vMerge w:val="restart"/>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HIF-1α</w:t>
            </w: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forward</w:t>
            </w:r>
          </w:p>
        </w:tc>
        <w:tc>
          <w:tcPr>
            <w:tcW w:w="4615"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CACCACAGGACAGTACAGGAT</w:t>
            </w:r>
          </w:p>
        </w:tc>
      </w:tr>
      <w:tr w:rsidR="00A17AB8" w:rsidTr="00E83D01">
        <w:trPr>
          <w:trHeight w:val="567"/>
        </w:trPr>
        <w:tc>
          <w:tcPr>
            <w:tcW w:w="1980" w:type="dxa"/>
            <w:vMerge/>
          </w:tcPr>
          <w:p w:rsidR="00A17AB8" w:rsidRDefault="00A17AB8" w:rsidP="00E83D01">
            <w:pPr>
              <w:spacing w:line="360" w:lineRule="auto"/>
              <w:rPr>
                <w:rFonts w:ascii="Times New Roman" w:hAnsi="Times New Roman" w:cs="Times New Roman"/>
                <w:sz w:val="24"/>
                <w:szCs w:val="24"/>
              </w:rPr>
            </w:pP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reverse</w:t>
            </w:r>
          </w:p>
        </w:tc>
        <w:tc>
          <w:tcPr>
            <w:tcW w:w="4615"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CGTGCTGAATAATACCACTCACA</w:t>
            </w:r>
          </w:p>
        </w:tc>
      </w:tr>
      <w:tr w:rsidR="00A17AB8" w:rsidTr="00E83D01">
        <w:trPr>
          <w:trHeight w:val="567"/>
        </w:trPr>
        <w:tc>
          <w:tcPr>
            <w:tcW w:w="1980"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hint="eastAsia"/>
                <w:sz w:val="24"/>
                <w:szCs w:val="24"/>
              </w:rPr>
              <w:t>G</w:t>
            </w:r>
            <w:r>
              <w:rPr>
                <w:rFonts w:ascii="Times New Roman" w:hAnsi="Times New Roman" w:cs="Times New Roman"/>
                <w:sz w:val="24"/>
                <w:szCs w:val="24"/>
              </w:rPr>
              <w:t>APDH</w:t>
            </w: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forward</w:t>
            </w:r>
          </w:p>
        </w:tc>
        <w:tc>
          <w:tcPr>
            <w:tcW w:w="4615" w:type="dxa"/>
          </w:tcPr>
          <w:p w:rsidR="00A17AB8" w:rsidRDefault="00A17AB8" w:rsidP="00E83D01">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GAGTCAACGGATTTGGTCGT</w:t>
            </w:r>
          </w:p>
        </w:tc>
      </w:tr>
      <w:tr w:rsidR="00A17AB8" w:rsidTr="00E83D01">
        <w:trPr>
          <w:trHeight w:val="567"/>
        </w:trPr>
        <w:tc>
          <w:tcPr>
            <w:tcW w:w="1980" w:type="dxa"/>
          </w:tcPr>
          <w:p w:rsidR="00A17AB8" w:rsidRDefault="00A17AB8" w:rsidP="00E83D01">
            <w:pPr>
              <w:spacing w:line="360" w:lineRule="auto"/>
              <w:rPr>
                <w:rFonts w:ascii="Times New Roman" w:hAnsi="Times New Roman" w:cs="Times New Roman"/>
                <w:sz w:val="24"/>
                <w:szCs w:val="24"/>
              </w:rPr>
            </w:pPr>
          </w:p>
        </w:tc>
        <w:tc>
          <w:tcPr>
            <w:tcW w:w="1701" w:type="dxa"/>
          </w:tcPr>
          <w:p w:rsidR="00A17AB8" w:rsidRDefault="00A17AB8" w:rsidP="00E83D01">
            <w:pPr>
              <w:spacing w:line="360" w:lineRule="auto"/>
              <w:rPr>
                <w:rFonts w:ascii="Times New Roman" w:hAnsi="Times New Roman" w:cs="Times New Roman"/>
                <w:sz w:val="24"/>
                <w:szCs w:val="24"/>
              </w:rPr>
            </w:pPr>
            <w:r>
              <w:rPr>
                <w:rFonts w:ascii="Times New Roman" w:hAnsi="Times New Roman" w:cs="Times New Roman"/>
                <w:sz w:val="24"/>
                <w:szCs w:val="24"/>
              </w:rPr>
              <w:t>reverse</w:t>
            </w:r>
          </w:p>
        </w:tc>
        <w:tc>
          <w:tcPr>
            <w:tcW w:w="4615" w:type="dxa"/>
          </w:tcPr>
          <w:p w:rsidR="00A17AB8" w:rsidRDefault="00A17AB8" w:rsidP="00E83D01">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rPr>
              <w:t>TTGATTTTGGAGGGATCTCG</w:t>
            </w:r>
          </w:p>
        </w:tc>
      </w:tr>
    </w:tbl>
    <w:p w:rsidR="00A17AB8" w:rsidRDefault="00A17AB8" w:rsidP="00A17AB8"/>
    <w:p w:rsidR="004267DA" w:rsidRPr="00151867" w:rsidRDefault="004267DA" w:rsidP="004267DA">
      <w:pPr>
        <w:rPr>
          <w:rFonts w:ascii="Times New Roman" w:hAnsi="Times New Roman" w:cs="Times New Roman"/>
          <w:sz w:val="24"/>
          <w:szCs w:val="24"/>
        </w:rPr>
      </w:pPr>
    </w:p>
    <w:p w:rsidR="00F9640F" w:rsidRPr="001C263E" w:rsidRDefault="00F9640F">
      <w:pPr>
        <w:spacing w:line="360" w:lineRule="auto"/>
        <w:rPr>
          <w:rFonts w:ascii="Times New Roman" w:hAnsi="Times New Roman" w:cs="Times New Roman"/>
          <w:b/>
          <w:bCs/>
          <w:sz w:val="24"/>
          <w:szCs w:val="24"/>
        </w:rPr>
      </w:pPr>
    </w:p>
    <w:p w:rsidR="004621C2" w:rsidRDefault="004621C2">
      <w:pPr>
        <w:spacing w:line="360" w:lineRule="auto"/>
        <w:rPr>
          <w:rFonts w:ascii="Times New Roman" w:hAnsi="Times New Roman" w:cs="Times New Roman"/>
          <w:b/>
          <w:bCs/>
          <w:sz w:val="24"/>
          <w:szCs w:val="24"/>
        </w:rPr>
      </w:pPr>
    </w:p>
    <w:p w:rsidR="004621C2" w:rsidRDefault="004621C2">
      <w:pPr>
        <w:spacing w:line="360" w:lineRule="auto"/>
        <w:rPr>
          <w:rFonts w:ascii="Times New Roman" w:hAnsi="Times New Roman" w:cs="Times New Roman"/>
          <w:b/>
          <w:bCs/>
          <w:sz w:val="24"/>
          <w:szCs w:val="24"/>
        </w:rPr>
      </w:pPr>
    </w:p>
    <w:p w:rsidR="00660FD6" w:rsidRDefault="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rsidP="00660FD6">
      <w:pPr>
        <w:spacing w:line="360" w:lineRule="auto"/>
        <w:rPr>
          <w:rFonts w:ascii="Times New Roman" w:hAnsi="Times New Roman" w:cs="Times New Roman"/>
          <w:b/>
          <w:bCs/>
          <w:sz w:val="24"/>
          <w:szCs w:val="24"/>
        </w:rPr>
      </w:pPr>
    </w:p>
    <w:p w:rsidR="00660FD6" w:rsidRDefault="00660FD6">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Figure Legends</w:t>
      </w:r>
    </w:p>
    <w:p w:rsidR="00B9790F" w:rsidRDefault="00B9790F">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5274310" cy="65163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6516370"/>
                    </a:xfrm>
                    <a:prstGeom prst="rect">
                      <a:avLst/>
                    </a:prstGeom>
                  </pic:spPr>
                </pic:pic>
              </a:graphicData>
            </a:graphic>
          </wp:inline>
        </w:drawing>
      </w:r>
    </w:p>
    <w:p w:rsidR="004621C2" w:rsidRDefault="005247D1">
      <w:pPr>
        <w:spacing w:line="360" w:lineRule="auto"/>
        <w:rPr>
          <w:rFonts w:ascii="Times New Roman" w:hAnsi="Times New Roman" w:cs="Times New Roman"/>
          <w:sz w:val="24"/>
          <w:szCs w:val="24"/>
        </w:rPr>
      </w:pPr>
      <w:r>
        <w:rPr>
          <w:rFonts w:ascii="Times New Roman" w:hAnsi="Times New Roman" w:cs="Times New Roman"/>
          <w:b/>
          <w:bCs/>
          <w:sz w:val="24"/>
          <w:szCs w:val="24"/>
        </w:rPr>
        <w:t>Fig. S1 a–</w:t>
      </w:r>
      <w:r>
        <w:rPr>
          <w:rFonts w:ascii="Times New Roman" w:hAnsi="Times New Roman" w:cs="Times New Roman" w:hint="eastAsia"/>
          <w:b/>
          <w:bCs/>
          <w:sz w:val="24"/>
          <w:szCs w:val="24"/>
        </w:rPr>
        <w:t xml:space="preserve">b </w:t>
      </w:r>
      <w:r>
        <w:rPr>
          <w:rFonts w:ascii="Times New Roman" w:hAnsi="Times New Roman" w:cs="Times New Roman" w:hint="eastAsia"/>
          <w:sz w:val="24"/>
          <w:szCs w:val="24"/>
        </w:rPr>
        <w:t xml:space="preserve">The relationship between Linc01060 expression levels and poor prognoses based on sequencing data from TCGA and GTEx databases. </w:t>
      </w:r>
      <w:r>
        <w:rPr>
          <w:rFonts w:ascii="Times New Roman" w:hAnsi="Times New Roman" w:cs="Times New Roman" w:hint="eastAsia"/>
          <w:b/>
          <w:bCs/>
          <w:sz w:val="24"/>
          <w:szCs w:val="24"/>
        </w:rPr>
        <w:t xml:space="preserve">c </w:t>
      </w:r>
      <w:r>
        <w:rPr>
          <w:rFonts w:ascii="Times New Roman" w:hAnsi="Times New Roman" w:cs="Times New Roman" w:hint="eastAsia"/>
          <w:sz w:val="24"/>
          <w:szCs w:val="24"/>
        </w:rPr>
        <w:t xml:space="preserve">Expression of Linc01060 in normal brain tissues and glioma tissues by FISH analysis. </w:t>
      </w:r>
      <w:r>
        <w:rPr>
          <w:rFonts w:ascii="Times New Roman" w:hAnsi="Times New Roman" w:cs="Times New Roman" w:hint="eastAsia"/>
          <w:b/>
          <w:bCs/>
          <w:sz w:val="24"/>
          <w:szCs w:val="24"/>
        </w:rPr>
        <w:t xml:space="preserve">d </w:t>
      </w:r>
      <w:r>
        <w:rPr>
          <w:rFonts w:ascii="Times New Roman" w:hAnsi="Times New Roman" w:cs="Times New Roman" w:hint="eastAsia"/>
          <w:sz w:val="24"/>
          <w:szCs w:val="24"/>
        </w:rPr>
        <w:t xml:space="preserve">ROC analysis of Linc01060-based, </w:t>
      </w:r>
      <w:r>
        <w:rPr>
          <w:rFonts w:ascii="Times New Roman" w:hAnsi="Times New Roman" w:cs="Times New Roman" w:hint="eastAsia"/>
          <w:color w:val="000000" w:themeColor="text1"/>
          <w:sz w:val="24"/>
          <w:szCs w:val="24"/>
        </w:rPr>
        <w:t>WHO grade</w:t>
      </w:r>
      <w:r>
        <w:rPr>
          <w:rFonts w:ascii="Times New Roman" w:hAnsi="Times New Roman" w:cs="Times New Roman" w:hint="eastAsia"/>
          <w:sz w:val="24"/>
          <w:szCs w:val="24"/>
        </w:rPr>
        <w:t xml:space="preserve">-based and the combination model in predicting clinical outcome. </w:t>
      </w:r>
      <w:r>
        <w:rPr>
          <w:rFonts w:ascii="Times New Roman" w:hAnsi="Times New Roman" w:cs="Times New Roman" w:hint="eastAsia"/>
          <w:b/>
          <w:bCs/>
          <w:sz w:val="24"/>
          <w:szCs w:val="24"/>
        </w:rPr>
        <w:t>e</w:t>
      </w:r>
      <w:r>
        <w:rPr>
          <w:rFonts w:ascii="Times New Roman" w:hAnsi="Times New Roman" w:cs="Times New Roman" w:hint="eastAsia"/>
          <w:sz w:val="24"/>
          <w:szCs w:val="24"/>
        </w:rPr>
        <w:t xml:space="preserve"> The heatmap illustrates the association of different clinical characters with Linc01060 high and low-expression tumors. Data shown are mean</w:t>
      </w:r>
      <w:r>
        <w:rPr>
          <w:rFonts w:ascii="Times New Roman" w:hAnsi="Times New Roman" w:cs="Times New Roman" w:hint="eastAsia"/>
          <w:sz w:val="24"/>
          <w:szCs w:val="24"/>
        </w:rPr>
        <w:t>±</w:t>
      </w:r>
      <w:r>
        <w:rPr>
          <w:rFonts w:ascii="Times New Roman" w:hAnsi="Times New Roman" w:cs="Times New Roman" w:hint="eastAsia"/>
          <w:sz w:val="24"/>
          <w:szCs w:val="24"/>
        </w:rPr>
        <w:t>SD (n = 3). (***P &lt; 0.001).</w:t>
      </w:r>
    </w:p>
    <w:p w:rsidR="004621C2" w:rsidRDefault="00B9790F">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5274310" cy="383222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2.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832225"/>
                    </a:xfrm>
                    <a:prstGeom prst="rect">
                      <a:avLst/>
                    </a:prstGeom>
                  </pic:spPr>
                </pic:pic>
              </a:graphicData>
            </a:graphic>
          </wp:inline>
        </w:drawing>
      </w:r>
    </w:p>
    <w:p w:rsidR="004621C2" w:rsidRDefault="005247D1">
      <w:pPr>
        <w:spacing w:line="360" w:lineRule="auto"/>
        <w:rPr>
          <w:rFonts w:ascii="Times New Roman" w:hAnsi="Times New Roman" w:cs="Times New Roman"/>
          <w:sz w:val="24"/>
          <w:szCs w:val="24"/>
        </w:rPr>
      </w:pPr>
      <w:r>
        <w:rPr>
          <w:rFonts w:ascii="Times New Roman" w:hAnsi="Times New Roman" w:cs="Times New Roman"/>
          <w:b/>
          <w:bCs/>
          <w:sz w:val="24"/>
          <w:szCs w:val="24"/>
        </w:rPr>
        <w:t>Fig. S</w:t>
      </w:r>
      <w:r>
        <w:rPr>
          <w:rFonts w:ascii="Times New Roman" w:hAnsi="Times New Roman" w:cs="Times New Roman" w:hint="eastAsia"/>
          <w:b/>
          <w:bCs/>
          <w:sz w:val="24"/>
          <w:szCs w:val="24"/>
        </w:rPr>
        <w:t>2</w:t>
      </w:r>
      <w:r>
        <w:rPr>
          <w:rFonts w:ascii="Times New Roman" w:hAnsi="Times New Roman" w:cs="Times New Roman"/>
          <w:b/>
          <w:bCs/>
          <w:sz w:val="24"/>
          <w:szCs w:val="24"/>
        </w:rPr>
        <w:t xml:space="preserve"> a–</w:t>
      </w:r>
      <w:r>
        <w:rPr>
          <w:rFonts w:ascii="Times New Roman" w:hAnsi="Times New Roman" w:cs="Times New Roman" w:hint="eastAsia"/>
          <w:b/>
          <w:bCs/>
          <w:sz w:val="24"/>
          <w:szCs w:val="24"/>
        </w:rPr>
        <w:t>c</w:t>
      </w:r>
      <w:r>
        <w:rPr>
          <w:rFonts w:ascii="Times New Roman" w:hAnsi="Times New Roman" w:cs="Times New Roman"/>
          <w:sz w:val="24"/>
          <w:szCs w:val="24"/>
        </w:rPr>
        <w:t xml:space="preserve"> The </w:t>
      </w:r>
      <w:r>
        <w:rPr>
          <w:rFonts w:ascii="Times New Roman" w:hAnsi="Times New Roman" w:cs="Times New Roman" w:hint="eastAsia"/>
          <w:sz w:val="24"/>
          <w:szCs w:val="24"/>
        </w:rPr>
        <w:t xml:space="preserve">relative </w:t>
      </w:r>
      <w:r>
        <w:rPr>
          <w:rFonts w:ascii="Times New Roman" w:hAnsi="Times New Roman" w:cs="Times New Roman"/>
          <w:sz w:val="24"/>
          <w:szCs w:val="24"/>
        </w:rPr>
        <w:t>expression levels of</w:t>
      </w:r>
      <w:r>
        <w:rPr>
          <w:rFonts w:ascii="Times New Roman" w:hAnsi="Times New Roman" w:cs="Times New Roman" w:hint="eastAsia"/>
          <w:sz w:val="24"/>
          <w:szCs w:val="24"/>
        </w:rPr>
        <w:t xml:space="preserve"> lipid peroxidation </w:t>
      </w:r>
      <w:r>
        <w:rPr>
          <w:rFonts w:ascii="Times New Roman" w:hAnsi="Times New Roman" w:cs="Times New Roman"/>
          <w:sz w:val="24"/>
          <w:szCs w:val="24"/>
        </w:rPr>
        <w:t>in different treatment groups</w:t>
      </w:r>
      <w:r>
        <w:rPr>
          <w:rFonts w:ascii="Times New Roman" w:hAnsi="Times New Roman" w:cs="Times New Roman" w:hint="eastAsia"/>
          <w:sz w:val="24"/>
          <w:szCs w:val="24"/>
        </w:rPr>
        <w:t xml:space="preserve">. </w:t>
      </w:r>
      <w:r>
        <w:rPr>
          <w:rFonts w:ascii="Times New Roman" w:hAnsi="Times New Roman" w:cs="Times New Roman" w:hint="eastAsia"/>
          <w:b/>
          <w:bCs/>
          <w:sz w:val="24"/>
          <w:szCs w:val="24"/>
        </w:rPr>
        <w:t xml:space="preserve">d-f </w:t>
      </w:r>
      <w:r>
        <w:rPr>
          <w:rFonts w:ascii="Times New Roman" w:hAnsi="Times New Roman" w:cs="Times New Roman" w:hint="eastAsia"/>
          <w:sz w:val="24"/>
          <w:szCs w:val="24"/>
        </w:rPr>
        <w:t>Survival curves for the different treatment groups. (*P &lt; 0.05 and **P &lt; 0.01).</w:t>
      </w:r>
    </w:p>
    <w:p w:rsidR="004621C2" w:rsidRDefault="005247D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4464F3">
        <w:rPr>
          <w:rFonts w:ascii="Times New Roman" w:hAnsi="Times New Roman" w:cs="Times New Roman"/>
          <w:noProof/>
          <w:sz w:val="24"/>
          <w:szCs w:val="24"/>
        </w:rPr>
        <w:lastRenderedPageBreak/>
        <w:drawing>
          <wp:inline distT="0" distB="0" distL="0" distR="0">
            <wp:extent cx="5274310" cy="651637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3.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6516370"/>
                    </a:xfrm>
                    <a:prstGeom prst="rect">
                      <a:avLst/>
                    </a:prstGeom>
                  </pic:spPr>
                </pic:pic>
              </a:graphicData>
            </a:graphic>
          </wp:inline>
        </w:drawing>
      </w:r>
    </w:p>
    <w:p w:rsidR="004621C2" w:rsidRDefault="005247D1">
      <w:pPr>
        <w:spacing w:line="360" w:lineRule="auto"/>
        <w:rPr>
          <w:rFonts w:ascii="Times New Roman" w:hAnsi="Times New Roman" w:cs="Times New Roman"/>
          <w:sz w:val="24"/>
          <w:szCs w:val="24"/>
        </w:rPr>
      </w:pPr>
      <w:r>
        <w:rPr>
          <w:rFonts w:ascii="Times New Roman" w:hAnsi="Times New Roman" w:cs="Times New Roman"/>
          <w:b/>
          <w:bCs/>
          <w:sz w:val="24"/>
          <w:szCs w:val="24"/>
        </w:rPr>
        <w:t>Fig. S</w:t>
      </w:r>
      <w:r>
        <w:rPr>
          <w:rFonts w:ascii="Times New Roman" w:hAnsi="Times New Roman" w:cs="Times New Roman" w:hint="eastAsia"/>
          <w:b/>
          <w:bCs/>
          <w:sz w:val="24"/>
          <w:szCs w:val="24"/>
        </w:rPr>
        <w:t>3</w:t>
      </w:r>
      <w:r>
        <w:rPr>
          <w:rFonts w:ascii="Times New Roman" w:hAnsi="Times New Roman" w:cs="Times New Roman"/>
          <w:b/>
          <w:bCs/>
          <w:sz w:val="24"/>
          <w:szCs w:val="24"/>
        </w:rPr>
        <w:t xml:space="preserve"> a </w:t>
      </w:r>
      <w:r>
        <w:rPr>
          <w:rFonts w:ascii="Times New Roman" w:hAnsi="Times New Roman" w:cs="Times New Roman"/>
          <w:sz w:val="24"/>
          <w:szCs w:val="24"/>
        </w:rPr>
        <w:t xml:space="preserve">Cell proliferation assay, </w:t>
      </w:r>
      <w:r>
        <w:rPr>
          <w:rFonts w:ascii="Times New Roman" w:hAnsi="Times New Roman" w:cs="Times New Roman"/>
          <w:b/>
          <w:sz w:val="24"/>
          <w:szCs w:val="24"/>
        </w:rPr>
        <w:t xml:space="preserve">b </w:t>
      </w:r>
      <w:r>
        <w:rPr>
          <w:rFonts w:ascii="Times New Roman" w:hAnsi="Times New Roman" w:cs="Times New Roman"/>
          <w:sz w:val="24"/>
          <w:szCs w:val="24"/>
        </w:rPr>
        <w:t xml:space="preserve">colony formation assay, </w:t>
      </w:r>
      <w:r>
        <w:rPr>
          <w:rFonts w:ascii="Times New Roman" w:hAnsi="Times New Roman" w:cs="Times New Roman"/>
          <w:b/>
          <w:sz w:val="24"/>
          <w:szCs w:val="24"/>
        </w:rPr>
        <w:t xml:space="preserve">c </w:t>
      </w:r>
      <w:r>
        <w:rPr>
          <w:rFonts w:ascii="Times New Roman" w:hAnsi="Times New Roman" w:cs="Times New Roman"/>
          <w:sz w:val="24"/>
          <w:szCs w:val="24"/>
        </w:rPr>
        <w:t xml:space="preserve">and </w:t>
      </w:r>
      <w:r>
        <w:rPr>
          <w:rFonts w:ascii="Times New Roman" w:hAnsi="Times New Roman" w:cs="Times New Roman"/>
          <w:i/>
          <w:iCs/>
          <w:sz w:val="24"/>
          <w:szCs w:val="24"/>
        </w:rPr>
        <w:t>in vivo</w:t>
      </w:r>
      <w:r>
        <w:rPr>
          <w:rFonts w:ascii="Times New Roman" w:hAnsi="Times New Roman" w:cs="Times New Roman"/>
          <w:sz w:val="24"/>
          <w:szCs w:val="24"/>
        </w:rPr>
        <w:t xml:space="preserve"> experiments demonstrated that overexpression of Linc01060 in U87MG and U251 cells inhibits erastin-induced ferroptosis.</w:t>
      </w:r>
      <w:r>
        <w:rPr>
          <w:rFonts w:ascii="Times New Roman" w:hAnsi="Times New Roman" w:cs="Times New Roman" w:hint="eastAsia"/>
          <w:sz w:val="24"/>
          <w:szCs w:val="24"/>
        </w:rPr>
        <w:t xml:space="preserve"> (*P &lt; 0.05, **P &lt; 0.01 and ***P &lt; 0.001).</w:t>
      </w:r>
    </w:p>
    <w:p w:rsidR="004621C2" w:rsidRDefault="004464F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5274310" cy="651637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4.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6516370"/>
                    </a:xfrm>
                    <a:prstGeom prst="rect">
                      <a:avLst/>
                    </a:prstGeom>
                  </pic:spPr>
                </pic:pic>
              </a:graphicData>
            </a:graphic>
          </wp:inline>
        </w:drawing>
      </w:r>
    </w:p>
    <w:p w:rsidR="004621C2" w:rsidRDefault="005247D1">
      <w:pPr>
        <w:spacing w:line="360" w:lineRule="auto"/>
        <w:rPr>
          <w:rFonts w:ascii="Times New Roman" w:hAnsi="Times New Roman" w:cs="Times New Roman"/>
          <w:sz w:val="24"/>
          <w:szCs w:val="24"/>
        </w:rPr>
      </w:pPr>
      <w:r>
        <w:rPr>
          <w:rFonts w:ascii="Times New Roman" w:hAnsi="Times New Roman" w:cs="Times New Roman"/>
          <w:b/>
          <w:bCs/>
          <w:sz w:val="24"/>
          <w:szCs w:val="24"/>
        </w:rPr>
        <w:t>Fig. S</w:t>
      </w:r>
      <w:r>
        <w:rPr>
          <w:rFonts w:ascii="Times New Roman" w:hAnsi="Times New Roman" w:cs="Times New Roman" w:hint="eastAsia"/>
          <w:b/>
          <w:bCs/>
          <w:sz w:val="24"/>
          <w:szCs w:val="24"/>
        </w:rPr>
        <w:t>4</w:t>
      </w:r>
      <w:r>
        <w:rPr>
          <w:rFonts w:ascii="Times New Roman" w:hAnsi="Times New Roman" w:cs="Times New Roman"/>
          <w:b/>
          <w:bCs/>
          <w:sz w:val="24"/>
          <w:szCs w:val="24"/>
        </w:rPr>
        <w:t xml:space="preserve"> a </w:t>
      </w:r>
      <w:r>
        <w:rPr>
          <w:rFonts w:ascii="Times New Roman" w:hAnsi="Times New Roman" w:cs="Times New Roman"/>
          <w:sz w:val="24"/>
          <w:szCs w:val="24"/>
        </w:rPr>
        <w:t xml:space="preserve">Top: Graphic illustration of the predicted secondary structure of Linc01060; Middle: Diagrams depicting full-length (FL) and domain-truncated fragments of Linc01060; bottom: RNA pull-down assays for FL and domain-truncated fragments of Linc01060. </w:t>
      </w:r>
      <w:r>
        <w:rPr>
          <w:rFonts w:ascii="Times New Roman" w:hAnsi="Times New Roman" w:cs="Times New Roman"/>
          <w:b/>
          <w:bCs/>
          <w:sz w:val="24"/>
          <w:szCs w:val="24"/>
        </w:rPr>
        <w:t xml:space="preserve">b </w:t>
      </w:r>
      <w:r>
        <w:rPr>
          <w:rFonts w:ascii="Times New Roman" w:hAnsi="Times New Roman" w:cs="Times New Roman"/>
          <w:sz w:val="24"/>
          <w:szCs w:val="24"/>
        </w:rPr>
        <w:t xml:space="preserve">Top: Diagrams depicting of FL and domain-truncated fragments of SPOP; bottom: detection of Linc01060 by RNA immunoprecipitation (IP) assay as retrieved by FLAG-tagged FL or domain-truncated SPOP using a FLAG antibody; 4-TO Flag group was used as the negative control. </w:t>
      </w:r>
      <w:r>
        <w:rPr>
          <w:rFonts w:ascii="Times New Roman" w:hAnsi="Times New Roman" w:cs="Times New Roman"/>
          <w:b/>
          <w:bCs/>
          <w:sz w:val="24"/>
          <w:szCs w:val="24"/>
        </w:rPr>
        <w:t>c</w:t>
      </w:r>
      <w:r>
        <w:rPr>
          <w:rFonts w:ascii="Times New Roman" w:hAnsi="Times New Roman" w:cs="Times New Roman"/>
          <w:sz w:val="24"/>
          <w:szCs w:val="24"/>
        </w:rPr>
        <w:t xml:space="preserve"> Co-IP assays showed that SPOP increased c-Myc ubiquitination, which could not be reversed by overexpression of mutant </w:t>
      </w:r>
      <w:r>
        <w:rPr>
          <w:rFonts w:ascii="Times New Roman" w:hAnsi="Times New Roman" w:cs="Times New Roman"/>
          <w:sz w:val="24"/>
          <w:szCs w:val="24"/>
        </w:rPr>
        <w:lastRenderedPageBreak/>
        <w:t xml:space="preserve">Linc01060. </w:t>
      </w:r>
      <w:r>
        <w:rPr>
          <w:rFonts w:ascii="Times New Roman" w:hAnsi="Times New Roman" w:cs="Times New Roman"/>
          <w:b/>
          <w:bCs/>
          <w:sz w:val="24"/>
          <w:szCs w:val="24"/>
        </w:rPr>
        <w:t>d</w:t>
      </w:r>
      <w:r>
        <w:rPr>
          <w:rFonts w:ascii="Times New Roman" w:hAnsi="Times New Roman" w:cs="Times New Roman"/>
          <w:sz w:val="24"/>
          <w:szCs w:val="24"/>
        </w:rPr>
        <w:t xml:space="preserve"> Top: The amount of SPOP bound to c-Myc decreased with Linc01060 overexpression in a dose-dependent manner in U87MG cells; Bottom: The mount of SPOP bound to c-Myc in Linc01060-overexpressed (OE) and Linc01060-siRNA U251 cells.</w:t>
      </w:r>
    </w:p>
    <w:p w:rsidR="004464F3" w:rsidRDefault="004464F3">
      <w:pPr>
        <w:spacing w:line="360" w:lineRule="auto"/>
        <w:rPr>
          <w:rFonts w:ascii="Times New Roman" w:hAnsi="Times New Roman" w:cs="Times New Roman"/>
          <w:sz w:val="24"/>
          <w:szCs w:val="24"/>
        </w:rPr>
      </w:pPr>
    </w:p>
    <w:p w:rsidR="004464F3" w:rsidRDefault="004464F3">
      <w:pPr>
        <w:spacing w:line="360" w:lineRule="auto"/>
        <w:rPr>
          <w:rFonts w:ascii="Times New Roman" w:hAnsi="Times New Roman" w:cs="Times New Roman"/>
          <w:sz w:val="24"/>
          <w:szCs w:val="24"/>
        </w:rPr>
      </w:pPr>
    </w:p>
    <w:p w:rsidR="004464F3" w:rsidRDefault="004464F3">
      <w:pPr>
        <w:spacing w:line="360" w:lineRule="auto"/>
        <w:rPr>
          <w:rFonts w:ascii="Times New Roman" w:hAnsi="Times New Roman" w:cs="Times New Roman"/>
          <w:sz w:val="24"/>
          <w:szCs w:val="24"/>
        </w:rPr>
      </w:pPr>
    </w:p>
    <w:p w:rsidR="004621C2" w:rsidRDefault="004464F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extent cx="5274310" cy="5447665"/>
            <wp:effectExtent l="0" t="0" r="2540" b="6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5.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5447665"/>
                    </a:xfrm>
                    <a:prstGeom prst="rect">
                      <a:avLst/>
                    </a:prstGeom>
                  </pic:spPr>
                </pic:pic>
              </a:graphicData>
            </a:graphic>
          </wp:inline>
        </w:drawing>
      </w:r>
    </w:p>
    <w:p w:rsidR="004621C2" w:rsidRDefault="005247D1">
      <w:pPr>
        <w:spacing w:line="360" w:lineRule="auto"/>
        <w:rPr>
          <w:rFonts w:ascii="Times New Roman" w:hAnsi="Times New Roman" w:cs="Times New Roman"/>
          <w:sz w:val="24"/>
          <w:szCs w:val="24"/>
        </w:rPr>
      </w:pPr>
      <w:r>
        <w:rPr>
          <w:rFonts w:ascii="Times New Roman" w:hAnsi="Times New Roman" w:cs="Times New Roman"/>
          <w:b/>
          <w:bCs/>
          <w:sz w:val="24"/>
          <w:szCs w:val="24"/>
        </w:rPr>
        <w:t>Fig. S5</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Ubiquitination assays of U87 (left) and U251 (right) cells suggested that mutant Linc01060 cannot downregulate c-Myc ubiquitination. </w:t>
      </w:r>
      <w:r>
        <w:rPr>
          <w:rFonts w:ascii="Times New Roman" w:hAnsi="Times New Roman" w:cs="Times New Roman"/>
          <w:b/>
          <w:bCs/>
          <w:sz w:val="24"/>
          <w:szCs w:val="24"/>
        </w:rPr>
        <w:t>b</w:t>
      </w:r>
      <w:r>
        <w:rPr>
          <w:rFonts w:ascii="Times New Roman" w:hAnsi="Times New Roman" w:cs="Times New Roman"/>
          <w:sz w:val="24"/>
          <w:szCs w:val="24"/>
        </w:rPr>
        <w:t xml:space="preserve"> Co-IP assays showed that SPOP increased c-Myc ubiquitination, which could not be reversed by overexpression of mutant Linc01060.</w:t>
      </w:r>
    </w:p>
    <w:p w:rsidR="004621C2" w:rsidRDefault="004464F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5274310" cy="65163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6.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6516370"/>
                    </a:xfrm>
                    <a:prstGeom prst="rect">
                      <a:avLst/>
                    </a:prstGeom>
                  </pic:spPr>
                </pic:pic>
              </a:graphicData>
            </a:graphic>
          </wp:inline>
        </w:drawing>
      </w:r>
    </w:p>
    <w:p w:rsidR="004621C2" w:rsidRDefault="005247D1">
      <w:pPr>
        <w:spacing w:line="360" w:lineRule="auto"/>
        <w:rPr>
          <w:rFonts w:ascii="Times New Roman" w:hAnsi="Times New Roman" w:cs="Times New Roman"/>
          <w:sz w:val="24"/>
          <w:szCs w:val="24"/>
        </w:rPr>
      </w:pPr>
      <w:r>
        <w:rPr>
          <w:rFonts w:ascii="Times New Roman" w:hAnsi="Times New Roman" w:cs="Times New Roman"/>
          <w:b/>
          <w:bCs/>
          <w:sz w:val="24"/>
          <w:szCs w:val="24"/>
        </w:rPr>
        <w:t>Fig. S</w:t>
      </w:r>
      <w:r>
        <w:rPr>
          <w:rFonts w:ascii="Times New Roman" w:hAnsi="Times New Roman" w:cs="Times New Roman" w:hint="eastAsia"/>
          <w:b/>
          <w:bCs/>
          <w:sz w:val="24"/>
          <w:szCs w:val="24"/>
        </w:rPr>
        <w:t>6</w:t>
      </w:r>
      <w:r>
        <w:rPr>
          <w:rFonts w:ascii="Times New Roman" w:hAnsi="Times New Roman" w:cs="Times New Roman"/>
          <w:sz w:val="24"/>
          <w:szCs w:val="24"/>
        </w:rPr>
        <w:t xml:space="preserve"> </w:t>
      </w:r>
      <w:r>
        <w:rPr>
          <w:rFonts w:ascii="Times New Roman" w:hAnsi="Times New Roman" w:cs="Times New Roman"/>
          <w:b/>
          <w:bCs/>
          <w:sz w:val="24"/>
          <w:szCs w:val="24"/>
        </w:rPr>
        <w:t>a</w:t>
      </w:r>
      <w:r>
        <w:rPr>
          <w:rFonts w:ascii="Times New Roman" w:hAnsi="Times New Roman" w:cs="Times New Roman"/>
          <w:sz w:val="24"/>
          <w:szCs w:val="24"/>
        </w:rPr>
        <w:t xml:space="preserve"> Cell proliferation was measured in U87 and U251 co-transfected with control or c-Myc siRNA with mutant Linc01060-OE plasmid by CCK8 assay. </w:t>
      </w:r>
      <w:r>
        <w:rPr>
          <w:rFonts w:ascii="Times New Roman" w:hAnsi="Times New Roman" w:cs="Times New Roman"/>
          <w:b/>
          <w:bCs/>
          <w:sz w:val="24"/>
          <w:szCs w:val="24"/>
        </w:rPr>
        <w:t>b</w:t>
      </w:r>
      <w:r>
        <w:rPr>
          <w:rFonts w:ascii="Times New Roman" w:hAnsi="Times New Roman" w:cs="Times New Roman"/>
          <w:sz w:val="24"/>
          <w:szCs w:val="24"/>
        </w:rPr>
        <w:t xml:space="preserve"> Colony formation assays suggested that mutant Linc01060 promoted proliferation in U87 and U251 cells co-transfected with control or c-Myc siRNA with mutant Linc01060-OE plasmid </w:t>
      </w:r>
      <w:r>
        <w:rPr>
          <w:rFonts w:ascii="Times New Roman" w:hAnsi="Times New Roman" w:cs="Times New Roman"/>
          <w:b/>
          <w:bCs/>
          <w:sz w:val="24"/>
          <w:szCs w:val="24"/>
        </w:rPr>
        <w:t>c</w:t>
      </w:r>
      <w:r>
        <w:rPr>
          <w:rFonts w:ascii="Times New Roman" w:hAnsi="Times New Roman" w:cs="Times New Roman"/>
          <w:sz w:val="24"/>
          <w:szCs w:val="24"/>
        </w:rPr>
        <w:t xml:space="preserve"> Representative pictures of bioluminescence imaging and specimen slice with Ki67</w:t>
      </w:r>
      <w:r>
        <w:rPr>
          <w:rFonts w:ascii="Times New Roman" w:hAnsi="Times New Roman" w:cs="Times New Roman"/>
          <w:sz w:val="24"/>
          <w:szCs w:val="24"/>
          <w:vertAlign w:val="superscript"/>
        </w:rPr>
        <w:t>+</w:t>
      </w:r>
      <w:r>
        <w:rPr>
          <w:rFonts w:ascii="Times New Roman" w:hAnsi="Times New Roman" w:cs="Times New Roman"/>
          <w:sz w:val="24"/>
          <w:szCs w:val="24"/>
        </w:rPr>
        <w:t xml:space="preserve"> IF staining revealed that mutant Linc01060 showing the proliferation of tumors measured on 4 weeks.</w:t>
      </w:r>
      <w:r>
        <w:rPr>
          <w:rFonts w:ascii="Times New Roman" w:hAnsi="Times New Roman" w:cs="Times New Roman" w:hint="eastAsia"/>
          <w:sz w:val="24"/>
          <w:szCs w:val="24"/>
        </w:rPr>
        <w:t xml:space="preserve"> NS: no significance.</w:t>
      </w:r>
    </w:p>
    <w:p w:rsidR="004621C2" w:rsidRDefault="004621C2">
      <w:pPr>
        <w:spacing w:line="360" w:lineRule="auto"/>
        <w:rPr>
          <w:rFonts w:ascii="Times New Roman" w:hAnsi="Times New Roman" w:cs="Times New Roman"/>
          <w:b/>
          <w:bCs/>
          <w:sz w:val="24"/>
          <w:szCs w:val="24"/>
        </w:rPr>
      </w:pPr>
    </w:p>
    <w:p w:rsidR="004464F3" w:rsidRDefault="004464F3">
      <w:pPr>
        <w:spacing w:line="36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extent cx="5274310" cy="651637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7.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516370"/>
                    </a:xfrm>
                    <a:prstGeom prst="rect">
                      <a:avLst/>
                    </a:prstGeom>
                  </pic:spPr>
                </pic:pic>
              </a:graphicData>
            </a:graphic>
          </wp:inline>
        </w:drawing>
      </w:r>
    </w:p>
    <w:p w:rsidR="004621C2" w:rsidRDefault="005247D1">
      <w:pPr>
        <w:spacing w:line="360" w:lineRule="auto"/>
        <w:rPr>
          <w:rFonts w:ascii="Times New Roman" w:hAnsi="Times New Roman" w:cs="Times New Roman"/>
          <w:sz w:val="24"/>
          <w:szCs w:val="24"/>
        </w:rPr>
      </w:pPr>
      <w:r>
        <w:rPr>
          <w:rFonts w:ascii="Times New Roman" w:hAnsi="Times New Roman" w:cs="Times New Roman"/>
          <w:b/>
          <w:bCs/>
          <w:sz w:val="24"/>
          <w:szCs w:val="24"/>
        </w:rPr>
        <w:t>Fig. S</w:t>
      </w:r>
      <w:r>
        <w:rPr>
          <w:rFonts w:ascii="Times New Roman" w:hAnsi="Times New Roman" w:cs="Times New Roman" w:hint="eastAsia"/>
          <w:b/>
          <w:bCs/>
          <w:sz w:val="24"/>
          <w:szCs w:val="24"/>
        </w:rPr>
        <w:t>7</w:t>
      </w:r>
      <w:r>
        <w:rPr>
          <w:rFonts w:ascii="Times New Roman" w:hAnsi="Times New Roman" w:cs="Times New Roman"/>
          <w:b/>
          <w:bCs/>
          <w:sz w:val="24"/>
          <w:szCs w:val="24"/>
        </w:rPr>
        <w:t xml:space="preserve"> a</w:t>
      </w:r>
      <w:r>
        <w:rPr>
          <w:rFonts w:ascii="Times New Roman" w:hAnsi="Times New Roman" w:cs="Times New Roman"/>
          <w:sz w:val="24"/>
          <w:szCs w:val="24"/>
        </w:rPr>
        <w:t xml:space="preserve"> Amount of SPOP bound to c-Myc in mutant Linc01060-OE and -siRNA U87MG and U251 cells. </w:t>
      </w:r>
      <w:r>
        <w:rPr>
          <w:rFonts w:ascii="Times New Roman" w:hAnsi="Times New Roman" w:cs="Times New Roman"/>
          <w:b/>
          <w:bCs/>
          <w:sz w:val="24"/>
          <w:szCs w:val="24"/>
        </w:rPr>
        <w:t xml:space="preserve">b </w:t>
      </w:r>
      <w:r>
        <w:rPr>
          <w:rFonts w:ascii="Times New Roman" w:hAnsi="Times New Roman" w:cs="Times New Roman"/>
          <w:sz w:val="24"/>
          <w:szCs w:val="24"/>
        </w:rPr>
        <w:t xml:space="preserve">WB analysis evaluated the expression of SPOP and c-Myc in low-grade and high-grade glioma. </w:t>
      </w:r>
      <w:r>
        <w:rPr>
          <w:rFonts w:ascii="Times New Roman" w:hAnsi="Times New Roman" w:cs="Times New Roman"/>
          <w:b/>
          <w:bCs/>
          <w:sz w:val="24"/>
          <w:szCs w:val="24"/>
        </w:rPr>
        <w:t xml:space="preserve">c </w:t>
      </w:r>
      <w:r>
        <w:rPr>
          <w:rFonts w:ascii="Times New Roman" w:hAnsi="Times New Roman" w:cs="Times New Roman"/>
          <w:sz w:val="24"/>
          <w:szCs w:val="24"/>
        </w:rPr>
        <w:t xml:space="preserve">The relationship between expression of SPOP and c-Myc and immunohistochemistry (IHC) scores. </w:t>
      </w:r>
      <w:r>
        <w:rPr>
          <w:rFonts w:ascii="Times New Roman" w:hAnsi="Times New Roman" w:cs="Times New Roman"/>
          <w:b/>
          <w:bCs/>
          <w:sz w:val="24"/>
          <w:szCs w:val="24"/>
        </w:rPr>
        <w:t>d</w:t>
      </w:r>
      <w:r>
        <w:rPr>
          <w:rFonts w:ascii="Times New Roman" w:hAnsi="Times New Roman" w:cs="Times New Roman"/>
          <w:sz w:val="24"/>
          <w:szCs w:val="24"/>
        </w:rPr>
        <w:t xml:space="preserve"> Fluorescence in situ hybridization and IHC analysis of normal brain and glioma tissues sections was used to analyze the expression of Linc01060, HIF-1α, SPOP, and c-Myc.</w:t>
      </w:r>
    </w:p>
    <w:p w:rsidR="004730BA" w:rsidRDefault="004730BA"/>
    <w:p w:rsidR="004730BA" w:rsidRPr="00463B8A" w:rsidRDefault="00463B8A" w:rsidP="00463B8A">
      <w:pPr>
        <w:spacing w:line="360" w:lineRule="auto"/>
        <w:rPr>
          <w:rFonts w:ascii="Times New Roman" w:hAnsi="Times New Roman"/>
          <w:b/>
          <w:bCs/>
          <w:sz w:val="24"/>
          <w:szCs w:val="24"/>
        </w:rPr>
      </w:pPr>
      <w:r>
        <w:rPr>
          <w:rFonts w:ascii="Times New Roman" w:hAnsi="Times New Roman" w:hint="eastAsia"/>
          <w:b/>
          <w:bCs/>
          <w:sz w:val="24"/>
          <w:szCs w:val="24"/>
        </w:rPr>
        <w:t>References</w:t>
      </w:r>
    </w:p>
    <w:p w:rsidR="004730BA" w:rsidRPr="00023399" w:rsidRDefault="004730BA" w:rsidP="004730BA">
      <w:pPr>
        <w:pStyle w:val="EndNoteBibliography0"/>
        <w:spacing w:line="360" w:lineRule="auto"/>
        <w:rPr>
          <w:rFonts w:ascii="Times New Roman" w:hAnsi="Times New Roman" w:cs="Times New Roman"/>
          <w:sz w:val="22"/>
        </w:rPr>
      </w:pPr>
      <w:r>
        <w:rPr>
          <w:rFonts w:ascii="Times New Roman" w:hAnsi="Times New Roman" w:cs="Times New Roman"/>
          <w:sz w:val="22"/>
        </w:rPr>
        <w:lastRenderedPageBreak/>
        <w:t>1</w:t>
      </w:r>
      <w:r w:rsidRPr="00023399">
        <w:rPr>
          <w:rFonts w:ascii="Times New Roman" w:hAnsi="Times New Roman" w:cs="Times New Roman"/>
          <w:sz w:val="22"/>
        </w:rPr>
        <w:t>.</w:t>
      </w:r>
      <w:r w:rsidRPr="00023399">
        <w:rPr>
          <w:rFonts w:ascii="Times New Roman" w:hAnsi="Times New Roman" w:cs="Times New Roman"/>
          <w:sz w:val="22"/>
        </w:rPr>
        <w:tab/>
        <w:t xml:space="preserve">Li J, Liao T, Liu H, Yuan H, Ouyang T, Wang J, Chai S, Li J, Chen J, Li X, et al: Hypoxic Glioma Stem Cell-Derived Exosomes Containing Linc01060 Promote Progression of Glioma by Regulating the MZF1/c-Myc/HIF1alpha Axis. </w:t>
      </w:r>
      <w:r w:rsidRPr="00023399">
        <w:rPr>
          <w:rFonts w:ascii="Times New Roman" w:hAnsi="Times New Roman" w:cs="Times New Roman"/>
          <w:i/>
          <w:sz w:val="22"/>
        </w:rPr>
        <w:t xml:space="preserve">Cancer Res </w:t>
      </w:r>
      <w:r w:rsidRPr="00023399">
        <w:rPr>
          <w:rFonts w:ascii="Times New Roman" w:hAnsi="Times New Roman" w:cs="Times New Roman"/>
          <w:sz w:val="22"/>
        </w:rPr>
        <w:t>2021, 81:114-128.</w:t>
      </w:r>
    </w:p>
    <w:p w:rsidR="004730BA" w:rsidRPr="00023399" w:rsidRDefault="004730BA" w:rsidP="004730BA">
      <w:pPr>
        <w:pStyle w:val="EndNoteBibliography0"/>
        <w:spacing w:line="360" w:lineRule="auto"/>
        <w:rPr>
          <w:rFonts w:ascii="Times New Roman" w:hAnsi="Times New Roman" w:cs="Times New Roman"/>
          <w:sz w:val="22"/>
        </w:rPr>
      </w:pPr>
      <w:r>
        <w:rPr>
          <w:rFonts w:ascii="Times New Roman" w:hAnsi="Times New Roman" w:cs="Times New Roman"/>
          <w:sz w:val="22"/>
        </w:rPr>
        <w:t>2</w:t>
      </w:r>
      <w:r w:rsidRPr="00023399">
        <w:rPr>
          <w:rFonts w:ascii="Times New Roman" w:hAnsi="Times New Roman" w:cs="Times New Roman"/>
          <w:sz w:val="22"/>
        </w:rPr>
        <w:t>.</w:t>
      </w:r>
      <w:r w:rsidRPr="00023399">
        <w:rPr>
          <w:rFonts w:ascii="Times New Roman" w:hAnsi="Times New Roman" w:cs="Times New Roman"/>
          <w:sz w:val="22"/>
        </w:rPr>
        <w:tab/>
        <w:t xml:space="preserve">Li J, Yuan H, Xu H, Zhao H, Xiong N: Hypoxic Cancer-Secreted Exosomal miR-182-5p Promotes Glioblastoma Angiogenesis by Targeting Kruppel-like Factor 2 and 4. </w:t>
      </w:r>
      <w:r w:rsidRPr="00023399">
        <w:rPr>
          <w:rFonts w:ascii="Times New Roman" w:hAnsi="Times New Roman" w:cs="Times New Roman"/>
          <w:i/>
          <w:sz w:val="22"/>
        </w:rPr>
        <w:t xml:space="preserve">Mol Cancer Res </w:t>
      </w:r>
      <w:r w:rsidRPr="00023399">
        <w:rPr>
          <w:rFonts w:ascii="Times New Roman" w:hAnsi="Times New Roman" w:cs="Times New Roman"/>
          <w:sz w:val="22"/>
        </w:rPr>
        <w:t>2020, 18:1218-1231.</w:t>
      </w:r>
    </w:p>
    <w:p w:rsidR="004730BA" w:rsidRPr="00023399" w:rsidRDefault="004730BA" w:rsidP="004730BA">
      <w:pPr>
        <w:pStyle w:val="EndNoteBibliography0"/>
        <w:spacing w:line="360" w:lineRule="auto"/>
        <w:rPr>
          <w:rFonts w:ascii="Times New Roman" w:hAnsi="Times New Roman" w:cs="Times New Roman"/>
          <w:sz w:val="22"/>
        </w:rPr>
      </w:pPr>
      <w:r>
        <w:rPr>
          <w:rFonts w:ascii="Times New Roman" w:hAnsi="Times New Roman" w:cs="Times New Roman"/>
          <w:sz w:val="22"/>
        </w:rPr>
        <w:t>3</w:t>
      </w:r>
      <w:r w:rsidRPr="00023399">
        <w:rPr>
          <w:rFonts w:ascii="Times New Roman" w:hAnsi="Times New Roman" w:cs="Times New Roman"/>
          <w:sz w:val="22"/>
        </w:rPr>
        <w:t>.</w:t>
      </w:r>
      <w:r w:rsidRPr="00023399">
        <w:rPr>
          <w:rFonts w:ascii="Times New Roman" w:hAnsi="Times New Roman" w:cs="Times New Roman"/>
          <w:sz w:val="22"/>
        </w:rPr>
        <w:tab/>
        <w:t xml:space="preserve">Zhou Y, Wu H, Wang F, Xu L, Yan Y, Tong X, Yan H: GPX7 Is Targeted by miR-29b and GPX7 Knockdown Enhances Ferroptosis Induced by Erastin in Glioma. </w:t>
      </w:r>
      <w:r w:rsidRPr="00023399">
        <w:rPr>
          <w:rFonts w:ascii="Times New Roman" w:hAnsi="Times New Roman" w:cs="Times New Roman"/>
          <w:i/>
          <w:sz w:val="22"/>
        </w:rPr>
        <w:t xml:space="preserve">Front Oncol </w:t>
      </w:r>
      <w:r w:rsidRPr="00023399">
        <w:rPr>
          <w:rFonts w:ascii="Times New Roman" w:hAnsi="Times New Roman" w:cs="Times New Roman"/>
          <w:sz w:val="22"/>
        </w:rPr>
        <w:t>2021, 11:802124.</w:t>
      </w:r>
    </w:p>
    <w:p w:rsidR="004730BA" w:rsidRPr="00990530" w:rsidRDefault="00E11862" w:rsidP="00990530">
      <w:pPr>
        <w:pStyle w:val="EndNoteBibliography0"/>
        <w:spacing w:line="360" w:lineRule="auto"/>
        <w:rPr>
          <w:rFonts w:ascii="Times New Roman" w:hAnsi="Times New Roman" w:cs="Times New Roman"/>
          <w:sz w:val="22"/>
        </w:rPr>
      </w:pPr>
      <w:r>
        <w:rPr>
          <w:rFonts w:ascii="Times New Roman" w:hAnsi="Times New Roman" w:cs="Times New Roman"/>
          <w:sz w:val="22"/>
        </w:rPr>
        <w:t>4</w:t>
      </w:r>
      <w:r w:rsidRPr="00023399">
        <w:rPr>
          <w:rFonts w:ascii="Times New Roman" w:hAnsi="Times New Roman" w:cs="Times New Roman"/>
          <w:sz w:val="22"/>
        </w:rPr>
        <w:t>.</w:t>
      </w:r>
      <w:r w:rsidRPr="00023399">
        <w:rPr>
          <w:rFonts w:ascii="Times New Roman" w:hAnsi="Times New Roman" w:cs="Times New Roman"/>
          <w:sz w:val="22"/>
        </w:rPr>
        <w:tab/>
        <w:t xml:space="preserve">The Genotype-Tissue Expression (GTEx) project. </w:t>
      </w:r>
      <w:r w:rsidRPr="00023399">
        <w:rPr>
          <w:rFonts w:ascii="Times New Roman" w:hAnsi="Times New Roman" w:cs="Times New Roman"/>
          <w:i/>
          <w:sz w:val="22"/>
        </w:rPr>
        <w:t xml:space="preserve">Nat Genet </w:t>
      </w:r>
      <w:r w:rsidRPr="00023399">
        <w:rPr>
          <w:rFonts w:ascii="Times New Roman" w:hAnsi="Times New Roman" w:cs="Times New Roman"/>
          <w:sz w:val="22"/>
        </w:rPr>
        <w:t>2013, 45:580-585.</w:t>
      </w:r>
    </w:p>
    <w:sectPr w:rsidR="004730BA" w:rsidRPr="009905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19E6" w:rsidRDefault="002C19E6" w:rsidP="00F9640F">
      <w:r>
        <w:separator/>
      </w:r>
    </w:p>
  </w:endnote>
  <w:endnote w:type="continuationSeparator" w:id="0">
    <w:p w:rsidR="002C19E6" w:rsidRDefault="002C19E6" w:rsidP="00F96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宋体"/>
    <w:charset w:val="86"/>
    <w:family w:val="roma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19E6" w:rsidRDefault="002C19E6" w:rsidP="00F9640F">
      <w:r>
        <w:separator/>
      </w:r>
    </w:p>
  </w:footnote>
  <w:footnote w:type="continuationSeparator" w:id="0">
    <w:p w:rsidR="002C19E6" w:rsidRDefault="002C19E6" w:rsidP="00F964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BiMDUyNjcxODdiOTM5Yjk1NjBlYTYxNTM4N2NmNGYifQ=="/>
  </w:docVars>
  <w:rsids>
    <w:rsidRoot w:val="00673038"/>
    <w:rsid w:val="00014F34"/>
    <w:rsid w:val="000B2EAC"/>
    <w:rsid w:val="000D4510"/>
    <w:rsid w:val="000D6B92"/>
    <w:rsid w:val="0012215C"/>
    <w:rsid w:val="00151867"/>
    <w:rsid w:val="0018639A"/>
    <w:rsid w:val="00195DA8"/>
    <w:rsid w:val="001C263E"/>
    <w:rsid w:val="001F66A9"/>
    <w:rsid w:val="00230771"/>
    <w:rsid w:val="00236DA3"/>
    <w:rsid w:val="0024411B"/>
    <w:rsid w:val="002C19E6"/>
    <w:rsid w:val="00312D8D"/>
    <w:rsid w:val="00343FD2"/>
    <w:rsid w:val="003860C8"/>
    <w:rsid w:val="003A43E2"/>
    <w:rsid w:val="00404756"/>
    <w:rsid w:val="004267DA"/>
    <w:rsid w:val="004464F3"/>
    <w:rsid w:val="00446609"/>
    <w:rsid w:val="004621C2"/>
    <w:rsid w:val="00463B8A"/>
    <w:rsid w:val="004730BA"/>
    <w:rsid w:val="004C05CB"/>
    <w:rsid w:val="004F158D"/>
    <w:rsid w:val="00522E7F"/>
    <w:rsid w:val="005247D1"/>
    <w:rsid w:val="0056516C"/>
    <w:rsid w:val="005A02F9"/>
    <w:rsid w:val="005A4A48"/>
    <w:rsid w:val="005C35A6"/>
    <w:rsid w:val="00660FD6"/>
    <w:rsid w:val="00664D72"/>
    <w:rsid w:val="00673038"/>
    <w:rsid w:val="006906AB"/>
    <w:rsid w:val="00695AC9"/>
    <w:rsid w:val="007262B7"/>
    <w:rsid w:val="0084349B"/>
    <w:rsid w:val="008527FF"/>
    <w:rsid w:val="008775A8"/>
    <w:rsid w:val="008C0095"/>
    <w:rsid w:val="00910DB5"/>
    <w:rsid w:val="0094618E"/>
    <w:rsid w:val="00990530"/>
    <w:rsid w:val="009B2F71"/>
    <w:rsid w:val="009B3A32"/>
    <w:rsid w:val="009C5E21"/>
    <w:rsid w:val="009D7196"/>
    <w:rsid w:val="00A05D0E"/>
    <w:rsid w:val="00A17AB8"/>
    <w:rsid w:val="00A34D43"/>
    <w:rsid w:val="00A77BEE"/>
    <w:rsid w:val="00A92B7E"/>
    <w:rsid w:val="00A945CF"/>
    <w:rsid w:val="00AE1EE9"/>
    <w:rsid w:val="00B1515B"/>
    <w:rsid w:val="00B776CE"/>
    <w:rsid w:val="00B9790F"/>
    <w:rsid w:val="00C03947"/>
    <w:rsid w:val="00C06B9D"/>
    <w:rsid w:val="00C32B88"/>
    <w:rsid w:val="00CD1FFF"/>
    <w:rsid w:val="00CD5F6A"/>
    <w:rsid w:val="00D23E86"/>
    <w:rsid w:val="00D34543"/>
    <w:rsid w:val="00D91978"/>
    <w:rsid w:val="00DB3BA6"/>
    <w:rsid w:val="00E11862"/>
    <w:rsid w:val="00E1749E"/>
    <w:rsid w:val="00E5005E"/>
    <w:rsid w:val="00E813EB"/>
    <w:rsid w:val="00F01EDD"/>
    <w:rsid w:val="00F31C80"/>
    <w:rsid w:val="00F727B2"/>
    <w:rsid w:val="00F7722D"/>
    <w:rsid w:val="00F9640F"/>
    <w:rsid w:val="015B6D94"/>
    <w:rsid w:val="01AD5116"/>
    <w:rsid w:val="029C3B08"/>
    <w:rsid w:val="02B524D4"/>
    <w:rsid w:val="04820ADC"/>
    <w:rsid w:val="04FC088E"/>
    <w:rsid w:val="052B2F21"/>
    <w:rsid w:val="05E41A4E"/>
    <w:rsid w:val="05F6352F"/>
    <w:rsid w:val="060914B4"/>
    <w:rsid w:val="06135E8F"/>
    <w:rsid w:val="064F2C3F"/>
    <w:rsid w:val="0680729D"/>
    <w:rsid w:val="07293490"/>
    <w:rsid w:val="07AD5E6F"/>
    <w:rsid w:val="08C6543B"/>
    <w:rsid w:val="09023F99"/>
    <w:rsid w:val="093D1475"/>
    <w:rsid w:val="096E7880"/>
    <w:rsid w:val="09992B4F"/>
    <w:rsid w:val="09D05E45"/>
    <w:rsid w:val="0B633415"/>
    <w:rsid w:val="0C112E71"/>
    <w:rsid w:val="0C8F3D96"/>
    <w:rsid w:val="0CAA5073"/>
    <w:rsid w:val="0CF85DDF"/>
    <w:rsid w:val="0D18022F"/>
    <w:rsid w:val="0D4A5F0F"/>
    <w:rsid w:val="0D5D3E94"/>
    <w:rsid w:val="0D8A245E"/>
    <w:rsid w:val="0E0D1416"/>
    <w:rsid w:val="0E0D58BA"/>
    <w:rsid w:val="0E4E04CB"/>
    <w:rsid w:val="0E6A4ABA"/>
    <w:rsid w:val="0ECF491D"/>
    <w:rsid w:val="0EFD76DC"/>
    <w:rsid w:val="0F3D5D2B"/>
    <w:rsid w:val="0F4C41C0"/>
    <w:rsid w:val="0FA7589A"/>
    <w:rsid w:val="0FBC0E92"/>
    <w:rsid w:val="0FE64614"/>
    <w:rsid w:val="109C2F25"/>
    <w:rsid w:val="11106E98"/>
    <w:rsid w:val="117D4B05"/>
    <w:rsid w:val="11FC011F"/>
    <w:rsid w:val="126B0E01"/>
    <w:rsid w:val="127D4EA3"/>
    <w:rsid w:val="12811B44"/>
    <w:rsid w:val="130A061A"/>
    <w:rsid w:val="132F62D2"/>
    <w:rsid w:val="141379A2"/>
    <w:rsid w:val="142C636E"/>
    <w:rsid w:val="14321BD6"/>
    <w:rsid w:val="14900FF3"/>
    <w:rsid w:val="1534372C"/>
    <w:rsid w:val="15A703A2"/>
    <w:rsid w:val="15D1541F"/>
    <w:rsid w:val="16443E43"/>
    <w:rsid w:val="165D6CB3"/>
    <w:rsid w:val="16747AFF"/>
    <w:rsid w:val="1711641B"/>
    <w:rsid w:val="185D11EC"/>
    <w:rsid w:val="18A24E51"/>
    <w:rsid w:val="18CE5C46"/>
    <w:rsid w:val="191A70DD"/>
    <w:rsid w:val="196565AA"/>
    <w:rsid w:val="1AF57E02"/>
    <w:rsid w:val="1B593EEC"/>
    <w:rsid w:val="1B925650"/>
    <w:rsid w:val="1BD712B5"/>
    <w:rsid w:val="1BF65BDF"/>
    <w:rsid w:val="1C32271C"/>
    <w:rsid w:val="1C876837"/>
    <w:rsid w:val="1CAE0268"/>
    <w:rsid w:val="1E7B6870"/>
    <w:rsid w:val="1EC21DA9"/>
    <w:rsid w:val="1ECF192C"/>
    <w:rsid w:val="1EF328AA"/>
    <w:rsid w:val="1EFF124F"/>
    <w:rsid w:val="1FD2426D"/>
    <w:rsid w:val="210F504D"/>
    <w:rsid w:val="2217240B"/>
    <w:rsid w:val="228201CD"/>
    <w:rsid w:val="22D87312"/>
    <w:rsid w:val="2342170A"/>
    <w:rsid w:val="23865A9B"/>
    <w:rsid w:val="23AD1279"/>
    <w:rsid w:val="23B343B6"/>
    <w:rsid w:val="247B1377"/>
    <w:rsid w:val="25423C43"/>
    <w:rsid w:val="254259F1"/>
    <w:rsid w:val="25D30703"/>
    <w:rsid w:val="25FF1B34"/>
    <w:rsid w:val="267C3185"/>
    <w:rsid w:val="26AA4B32"/>
    <w:rsid w:val="26CD39E1"/>
    <w:rsid w:val="26E8081A"/>
    <w:rsid w:val="26EA4592"/>
    <w:rsid w:val="27D25752"/>
    <w:rsid w:val="27E9484A"/>
    <w:rsid w:val="281C4C20"/>
    <w:rsid w:val="2936586D"/>
    <w:rsid w:val="29471828"/>
    <w:rsid w:val="2959155B"/>
    <w:rsid w:val="29D137E8"/>
    <w:rsid w:val="2AA87F4C"/>
    <w:rsid w:val="2B1E2A5D"/>
    <w:rsid w:val="2B2F6A18"/>
    <w:rsid w:val="2BAA0794"/>
    <w:rsid w:val="2BC929C8"/>
    <w:rsid w:val="2BD355F5"/>
    <w:rsid w:val="2BE23A8A"/>
    <w:rsid w:val="2C0C6D59"/>
    <w:rsid w:val="2D012636"/>
    <w:rsid w:val="2D0F08AF"/>
    <w:rsid w:val="2E8250B1"/>
    <w:rsid w:val="2EB37960"/>
    <w:rsid w:val="2F416D1A"/>
    <w:rsid w:val="304C5976"/>
    <w:rsid w:val="30E262DA"/>
    <w:rsid w:val="30F85AFE"/>
    <w:rsid w:val="31411253"/>
    <w:rsid w:val="31927D00"/>
    <w:rsid w:val="31CA56EC"/>
    <w:rsid w:val="31EC7411"/>
    <w:rsid w:val="324A4137"/>
    <w:rsid w:val="32537490"/>
    <w:rsid w:val="32867865"/>
    <w:rsid w:val="334E7C57"/>
    <w:rsid w:val="33B10912"/>
    <w:rsid w:val="349873DC"/>
    <w:rsid w:val="35042CC3"/>
    <w:rsid w:val="35A16764"/>
    <w:rsid w:val="361909F0"/>
    <w:rsid w:val="368C2F70"/>
    <w:rsid w:val="37906A90"/>
    <w:rsid w:val="3801173C"/>
    <w:rsid w:val="38AF1198"/>
    <w:rsid w:val="391A2AB5"/>
    <w:rsid w:val="39561614"/>
    <w:rsid w:val="39754190"/>
    <w:rsid w:val="3A086DB2"/>
    <w:rsid w:val="3A8D5509"/>
    <w:rsid w:val="3AE27603"/>
    <w:rsid w:val="3B5A6D07"/>
    <w:rsid w:val="3B892174"/>
    <w:rsid w:val="3B914B85"/>
    <w:rsid w:val="3BB56AC5"/>
    <w:rsid w:val="3C027831"/>
    <w:rsid w:val="3C7A386B"/>
    <w:rsid w:val="3C925059"/>
    <w:rsid w:val="3C9F3A08"/>
    <w:rsid w:val="3CD236A7"/>
    <w:rsid w:val="3D1C4922"/>
    <w:rsid w:val="3D7A7FC6"/>
    <w:rsid w:val="3E2E2B5F"/>
    <w:rsid w:val="3E5527E2"/>
    <w:rsid w:val="3ECA2888"/>
    <w:rsid w:val="3FA4132B"/>
    <w:rsid w:val="402E5098"/>
    <w:rsid w:val="403B2783"/>
    <w:rsid w:val="40582115"/>
    <w:rsid w:val="40A35A86"/>
    <w:rsid w:val="40BA4B7E"/>
    <w:rsid w:val="40E51BFB"/>
    <w:rsid w:val="41016309"/>
    <w:rsid w:val="41A43864"/>
    <w:rsid w:val="42756FAE"/>
    <w:rsid w:val="42B07FE6"/>
    <w:rsid w:val="43086074"/>
    <w:rsid w:val="43CA332A"/>
    <w:rsid w:val="443864E5"/>
    <w:rsid w:val="449B0822"/>
    <w:rsid w:val="463F1DAD"/>
    <w:rsid w:val="465F5FAB"/>
    <w:rsid w:val="46D87B0C"/>
    <w:rsid w:val="47372A84"/>
    <w:rsid w:val="477041E8"/>
    <w:rsid w:val="47833F1C"/>
    <w:rsid w:val="480F65C2"/>
    <w:rsid w:val="487815A6"/>
    <w:rsid w:val="48C447EC"/>
    <w:rsid w:val="48E72288"/>
    <w:rsid w:val="491A440C"/>
    <w:rsid w:val="494F67AB"/>
    <w:rsid w:val="49940662"/>
    <w:rsid w:val="4A2C089A"/>
    <w:rsid w:val="4A5A73F1"/>
    <w:rsid w:val="4A7B537E"/>
    <w:rsid w:val="4A802994"/>
    <w:rsid w:val="4B8D7117"/>
    <w:rsid w:val="4BA426B2"/>
    <w:rsid w:val="4BF76C86"/>
    <w:rsid w:val="4CCF550D"/>
    <w:rsid w:val="4CD55219"/>
    <w:rsid w:val="4FDA48F5"/>
    <w:rsid w:val="4FE319FB"/>
    <w:rsid w:val="50281B04"/>
    <w:rsid w:val="510A120A"/>
    <w:rsid w:val="515406D7"/>
    <w:rsid w:val="516E1798"/>
    <w:rsid w:val="51BD6490"/>
    <w:rsid w:val="521A1920"/>
    <w:rsid w:val="52725202"/>
    <w:rsid w:val="52C673B2"/>
    <w:rsid w:val="52F97788"/>
    <w:rsid w:val="531C6FD2"/>
    <w:rsid w:val="5382152B"/>
    <w:rsid w:val="54476BB5"/>
    <w:rsid w:val="54FC530D"/>
    <w:rsid w:val="55083CB2"/>
    <w:rsid w:val="55306D65"/>
    <w:rsid w:val="555E1B24"/>
    <w:rsid w:val="56A0684B"/>
    <w:rsid w:val="56BA0FDC"/>
    <w:rsid w:val="57D1482F"/>
    <w:rsid w:val="582165AC"/>
    <w:rsid w:val="584D65AC"/>
    <w:rsid w:val="5866766D"/>
    <w:rsid w:val="58D00F8B"/>
    <w:rsid w:val="59050C34"/>
    <w:rsid w:val="59576FB6"/>
    <w:rsid w:val="5A3D7F5A"/>
    <w:rsid w:val="5AE623A0"/>
    <w:rsid w:val="5B092532"/>
    <w:rsid w:val="5B8147BE"/>
    <w:rsid w:val="5CD10E2D"/>
    <w:rsid w:val="5D325D70"/>
    <w:rsid w:val="5D443CF5"/>
    <w:rsid w:val="5EE017FC"/>
    <w:rsid w:val="5F03319C"/>
    <w:rsid w:val="5F261904"/>
    <w:rsid w:val="5F4669A6"/>
    <w:rsid w:val="5FCF78A6"/>
    <w:rsid w:val="601654D5"/>
    <w:rsid w:val="60B92304"/>
    <w:rsid w:val="60CC2038"/>
    <w:rsid w:val="613F280A"/>
    <w:rsid w:val="615E35D8"/>
    <w:rsid w:val="61A62889"/>
    <w:rsid w:val="61AC078D"/>
    <w:rsid w:val="629E17B2"/>
    <w:rsid w:val="62A74B0A"/>
    <w:rsid w:val="62D6719E"/>
    <w:rsid w:val="63604CB9"/>
    <w:rsid w:val="63864720"/>
    <w:rsid w:val="640D4E41"/>
    <w:rsid w:val="642F4DB7"/>
    <w:rsid w:val="664F7993"/>
    <w:rsid w:val="66F145A6"/>
    <w:rsid w:val="66F978FF"/>
    <w:rsid w:val="67836511"/>
    <w:rsid w:val="67874F0A"/>
    <w:rsid w:val="679715F1"/>
    <w:rsid w:val="67EE31DB"/>
    <w:rsid w:val="684B5F38"/>
    <w:rsid w:val="698A5BC9"/>
    <w:rsid w:val="69937B96"/>
    <w:rsid w:val="69BF098B"/>
    <w:rsid w:val="6A260A0B"/>
    <w:rsid w:val="6A641533"/>
    <w:rsid w:val="6AF26E82"/>
    <w:rsid w:val="6C2B67AC"/>
    <w:rsid w:val="6C33740F"/>
    <w:rsid w:val="6CB71DEE"/>
    <w:rsid w:val="6DCE3893"/>
    <w:rsid w:val="6E7D7067"/>
    <w:rsid w:val="6E8201DA"/>
    <w:rsid w:val="6F060E0B"/>
    <w:rsid w:val="6F2F210F"/>
    <w:rsid w:val="6FC860C0"/>
    <w:rsid w:val="6FE16B76"/>
    <w:rsid w:val="6FE32EFA"/>
    <w:rsid w:val="70910BA8"/>
    <w:rsid w:val="70B12FF8"/>
    <w:rsid w:val="70C0373E"/>
    <w:rsid w:val="70DF5DB7"/>
    <w:rsid w:val="711E68DF"/>
    <w:rsid w:val="719C15B2"/>
    <w:rsid w:val="71CA4371"/>
    <w:rsid w:val="71F25676"/>
    <w:rsid w:val="72086C48"/>
    <w:rsid w:val="723D2D95"/>
    <w:rsid w:val="72E41463"/>
    <w:rsid w:val="73B726D3"/>
    <w:rsid w:val="73DF7BC9"/>
    <w:rsid w:val="73E3171A"/>
    <w:rsid w:val="73F27BAF"/>
    <w:rsid w:val="7443040B"/>
    <w:rsid w:val="745B39A7"/>
    <w:rsid w:val="748C1DB2"/>
    <w:rsid w:val="74DA48CB"/>
    <w:rsid w:val="76171B4F"/>
    <w:rsid w:val="76AE6010"/>
    <w:rsid w:val="779F66F3"/>
    <w:rsid w:val="77BC650A"/>
    <w:rsid w:val="783F0EE9"/>
    <w:rsid w:val="785B5D23"/>
    <w:rsid w:val="793F73F3"/>
    <w:rsid w:val="79854BF3"/>
    <w:rsid w:val="79E63D12"/>
    <w:rsid w:val="7A2605B3"/>
    <w:rsid w:val="7AB705A7"/>
    <w:rsid w:val="7AD85D51"/>
    <w:rsid w:val="7B0A1C83"/>
    <w:rsid w:val="7B0A3C70"/>
    <w:rsid w:val="7B707D38"/>
    <w:rsid w:val="7B8E4662"/>
    <w:rsid w:val="7BD007D6"/>
    <w:rsid w:val="7BF70459"/>
    <w:rsid w:val="7C183F2B"/>
    <w:rsid w:val="7C63789C"/>
    <w:rsid w:val="7C6F4493"/>
    <w:rsid w:val="7D376633"/>
    <w:rsid w:val="7DCF4ABD"/>
    <w:rsid w:val="7DE06CCB"/>
    <w:rsid w:val="7E6F077A"/>
    <w:rsid w:val="7E8B6C36"/>
    <w:rsid w:val="7E8D0C00"/>
    <w:rsid w:val="7EB77AE3"/>
    <w:rsid w:val="7F6000C3"/>
    <w:rsid w:val="7F653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DDB50"/>
  <w15:docId w15:val="{49264F21-B677-4CCD-8B43-0B9E51561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paragraph" w:customStyle="1" w:styleId="Default">
    <w:name w:val="Default"/>
    <w:qFormat/>
    <w:pPr>
      <w:widowControl w:val="0"/>
      <w:autoSpaceDE w:val="0"/>
      <w:autoSpaceDN w:val="0"/>
      <w:adjustRightInd w:val="0"/>
    </w:pPr>
    <w:rPr>
      <w:rFonts w:eastAsiaTheme="minorEastAsia"/>
      <w:color w:val="000000"/>
      <w:sz w:val="24"/>
      <w:szCs w:val="24"/>
    </w:rPr>
  </w:style>
  <w:style w:type="character" w:customStyle="1" w:styleId="EndNoteBibliography">
    <w:name w:val="EndNote Bibliography 字符"/>
    <w:basedOn w:val="a0"/>
    <w:link w:val="EndNoteBibliography0"/>
    <w:qFormat/>
    <w:rsid w:val="004730BA"/>
    <w:rPr>
      <w:rFonts w:ascii="等线" w:eastAsia="等线" w:hAnsi="等线" w:cs="等线"/>
    </w:rPr>
  </w:style>
  <w:style w:type="paragraph" w:customStyle="1" w:styleId="EndNoteBibliography0">
    <w:name w:val="EndNote Bibliography"/>
    <w:basedOn w:val="a"/>
    <w:link w:val="EndNoteBibliography"/>
    <w:qFormat/>
    <w:rsid w:val="004730BA"/>
    <w:rPr>
      <w:rFonts w:ascii="等线" w:eastAsia="等线" w:hAnsi="等线" w:cs="等线"/>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520">
      <w:bodyDiv w:val="1"/>
      <w:marLeft w:val="0"/>
      <w:marRight w:val="0"/>
      <w:marTop w:val="0"/>
      <w:marBottom w:val="0"/>
      <w:divBdr>
        <w:top w:val="none" w:sz="0" w:space="0" w:color="auto"/>
        <w:left w:val="none" w:sz="0" w:space="0" w:color="auto"/>
        <w:bottom w:val="none" w:sz="0" w:space="0" w:color="auto"/>
        <w:right w:val="none" w:sz="0" w:space="0" w:color="auto"/>
      </w:divBdr>
      <w:divsChild>
        <w:div w:id="1677463949">
          <w:marLeft w:val="0"/>
          <w:marRight w:val="0"/>
          <w:marTop w:val="0"/>
          <w:marBottom w:val="0"/>
          <w:divBdr>
            <w:top w:val="none" w:sz="0" w:space="0" w:color="auto"/>
            <w:left w:val="none" w:sz="0" w:space="0" w:color="auto"/>
            <w:bottom w:val="none" w:sz="0" w:space="0" w:color="auto"/>
            <w:right w:val="none" w:sz="0" w:space="0" w:color="auto"/>
          </w:divBdr>
        </w:div>
        <w:div w:id="1742675980">
          <w:marLeft w:val="0"/>
          <w:marRight w:val="0"/>
          <w:marTop w:val="0"/>
          <w:marBottom w:val="0"/>
          <w:divBdr>
            <w:top w:val="none" w:sz="0" w:space="0" w:color="auto"/>
            <w:left w:val="none" w:sz="0" w:space="0" w:color="auto"/>
            <w:bottom w:val="none" w:sz="0" w:space="0" w:color="auto"/>
            <w:right w:val="none" w:sz="0" w:space="0" w:color="auto"/>
          </w:divBdr>
        </w:div>
        <w:div w:id="1873611815">
          <w:marLeft w:val="0"/>
          <w:marRight w:val="0"/>
          <w:marTop w:val="0"/>
          <w:marBottom w:val="0"/>
          <w:divBdr>
            <w:top w:val="none" w:sz="0" w:space="0" w:color="auto"/>
            <w:left w:val="none" w:sz="0" w:space="0" w:color="auto"/>
            <w:bottom w:val="none" w:sz="0" w:space="0" w:color="auto"/>
            <w:right w:val="none" w:sz="0" w:space="0" w:color="auto"/>
          </w:divBdr>
        </w:div>
        <w:div w:id="1035886977">
          <w:marLeft w:val="0"/>
          <w:marRight w:val="0"/>
          <w:marTop w:val="0"/>
          <w:marBottom w:val="0"/>
          <w:divBdr>
            <w:top w:val="none" w:sz="0" w:space="0" w:color="auto"/>
            <w:left w:val="none" w:sz="0" w:space="0" w:color="auto"/>
            <w:bottom w:val="none" w:sz="0" w:space="0" w:color="auto"/>
            <w:right w:val="none" w:sz="0" w:space="0" w:color="auto"/>
          </w:divBdr>
        </w:div>
        <w:div w:id="1124736068">
          <w:marLeft w:val="0"/>
          <w:marRight w:val="0"/>
          <w:marTop w:val="0"/>
          <w:marBottom w:val="0"/>
          <w:divBdr>
            <w:top w:val="none" w:sz="0" w:space="0" w:color="auto"/>
            <w:left w:val="none" w:sz="0" w:space="0" w:color="auto"/>
            <w:bottom w:val="none" w:sz="0" w:space="0" w:color="auto"/>
            <w:right w:val="none" w:sz="0" w:space="0" w:color="auto"/>
          </w:divBdr>
        </w:div>
        <w:div w:id="1950893413">
          <w:marLeft w:val="0"/>
          <w:marRight w:val="0"/>
          <w:marTop w:val="0"/>
          <w:marBottom w:val="0"/>
          <w:divBdr>
            <w:top w:val="none" w:sz="0" w:space="0" w:color="auto"/>
            <w:left w:val="none" w:sz="0" w:space="0" w:color="auto"/>
            <w:bottom w:val="none" w:sz="0" w:space="0" w:color="auto"/>
            <w:right w:val="none" w:sz="0" w:space="0" w:color="auto"/>
          </w:divBdr>
        </w:div>
        <w:div w:id="1523594351">
          <w:marLeft w:val="0"/>
          <w:marRight w:val="0"/>
          <w:marTop w:val="0"/>
          <w:marBottom w:val="0"/>
          <w:divBdr>
            <w:top w:val="none" w:sz="0" w:space="0" w:color="auto"/>
            <w:left w:val="none" w:sz="0" w:space="0" w:color="auto"/>
            <w:bottom w:val="none" w:sz="0" w:space="0" w:color="auto"/>
            <w:right w:val="none" w:sz="0" w:space="0" w:color="auto"/>
          </w:divBdr>
        </w:div>
      </w:divsChild>
    </w:div>
    <w:div w:id="1607729452">
      <w:bodyDiv w:val="1"/>
      <w:marLeft w:val="0"/>
      <w:marRight w:val="0"/>
      <w:marTop w:val="0"/>
      <w:marBottom w:val="0"/>
      <w:divBdr>
        <w:top w:val="none" w:sz="0" w:space="0" w:color="auto"/>
        <w:left w:val="none" w:sz="0" w:space="0" w:color="auto"/>
        <w:bottom w:val="none" w:sz="0" w:space="0" w:color="auto"/>
        <w:right w:val="none" w:sz="0" w:space="0" w:color="auto"/>
      </w:divBdr>
      <w:divsChild>
        <w:div w:id="683822342">
          <w:marLeft w:val="0"/>
          <w:marRight w:val="0"/>
          <w:marTop w:val="0"/>
          <w:marBottom w:val="0"/>
          <w:divBdr>
            <w:top w:val="none" w:sz="0" w:space="0" w:color="auto"/>
            <w:left w:val="none" w:sz="0" w:space="0" w:color="auto"/>
            <w:bottom w:val="none" w:sz="0" w:space="0" w:color="auto"/>
            <w:right w:val="none" w:sz="0" w:space="0" w:color="auto"/>
          </w:divBdr>
        </w:div>
        <w:div w:id="233321664">
          <w:marLeft w:val="0"/>
          <w:marRight w:val="0"/>
          <w:marTop w:val="0"/>
          <w:marBottom w:val="0"/>
          <w:divBdr>
            <w:top w:val="none" w:sz="0" w:space="0" w:color="auto"/>
            <w:left w:val="none" w:sz="0" w:space="0" w:color="auto"/>
            <w:bottom w:val="none" w:sz="0" w:space="0" w:color="auto"/>
            <w:right w:val="none" w:sz="0" w:space="0" w:color="auto"/>
          </w:divBdr>
        </w:div>
        <w:div w:id="829902886">
          <w:marLeft w:val="0"/>
          <w:marRight w:val="0"/>
          <w:marTop w:val="0"/>
          <w:marBottom w:val="0"/>
          <w:divBdr>
            <w:top w:val="none" w:sz="0" w:space="0" w:color="auto"/>
            <w:left w:val="none" w:sz="0" w:space="0" w:color="auto"/>
            <w:bottom w:val="none" w:sz="0" w:space="0" w:color="auto"/>
            <w:right w:val="none" w:sz="0" w:space="0" w:color="auto"/>
          </w:divBdr>
        </w:div>
        <w:div w:id="1680617800">
          <w:marLeft w:val="0"/>
          <w:marRight w:val="0"/>
          <w:marTop w:val="0"/>
          <w:marBottom w:val="0"/>
          <w:divBdr>
            <w:top w:val="none" w:sz="0" w:space="0" w:color="auto"/>
            <w:left w:val="none" w:sz="0" w:space="0" w:color="auto"/>
            <w:bottom w:val="none" w:sz="0" w:space="0" w:color="auto"/>
            <w:right w:val="none" w:sz="0" w:space="0" w:color="auto"/>
          </w:divBdr>
        </w:div>
        <w:div w:id="470950802">
          <w:marLeft w:val="0"/>
          <w:marRight w:val="0"/>
          <w:marTop w:val="0"/>
          <w:marBottom w:val="0"/>
          <w:divBdr>
            <w:top w:val="none" w:sz="0" w:space="0" w:color="auto"/>
            <w:left w:val="none" w:sz="0" w:space="0" w:color="auto"/>
            <w:bottom w:val="none" w:sz="0" w:space="0" w:color="auto"/>
            <w:right w:val="none" w:sz="0" w:space="0" w:color="auto"/>
          </w:divBdr>
        </w:div>
        <w:div w:id="979114132">
          <w:marLeft w:val="0"/>
          <w:marRight w:val="0"/>
          <w:marTop w:val="0"/>
          <w:marBottom w:val="0"/>
          <w:divBdr>
            <w:top w:val="none" w:sz="0" w:space="0" w:color="auto"/>
            <w:left w:val="none" w:sz="0" w:space="0" w:color="auto"/>
            <w:bottom w:val="none" w:sz="0" w:space="0" w:color="auto"/>
            <w:right w:val="none" w:sz="0" w:space="0" w:color="auto"/>
          </w:divBdr>
        </w:div>
        <w:div w:id="14428383">
          <w:marLeft w:val="0"/>
          <w:marRight w:val="0"/>
          <w:marTop w:val="0"/>
          <w:marBottom w:val="0"/>
          <w:divBdr>
            <w:top w:val="none" w:sz="0" w:space="0" w:color="auto"/>
            <w:left w:val="none" w:sz="0" w:space="0" w:color="auto"/>
            <w:bottom w:val="none" w:sz="0" w:space="0" w:color="auto"/>
            <w:right w:val="none" w:sz="0" w:space="0" w:color="auto"/>
          </w:divBdr>
        </w:div>
        <w:div w:id="1991901984">
          <w:marLeft w:val="0"/>
          <w:marRight w:val="0"/>
          <w:marTop w:val="0"/>
          <w:marBottom w:val="0"/>
          <w:divBdr>
            <w:top w:val="none" w:sz="0" w:space="0" w:color="auto"/>
            <w:left w:val="none" w:sz="0" w:space="0" w:color="auto"/>
            <w:bottom w:val="none" w:sz="0" w:space="0" w:color="auto"/>
            <w:right w:val="none" w:sz="0" w:space="0" w:color="auto"/>
          </w:divBdr>
        </w:div>
        <w:div w:id="1684672553">
          <w:marLeft w:val="0"/>
          <w:marRight w:val="0"/>
          <w:marTop w:val="0"/>
          <w:marBottom w:val="0"/>
          <w:divBdr>
            <w:top w:val="none" w:sz="0" w:space="0" w:color="auto"/>
            <w:left w:val="none" w:sz="0" w:space="0" w:color="auto"/>
            <w:bottom w:val="none" w:sz="0" w:space="0" w:color="auto"/>
            <w:right w:val="none" w:sz="0" w:space="0" w:color="auto"/>
          </w:divBdr>
        </w:div>
        <w:div w:id="21305818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image" Target="media/image6.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ellbank.org.cn/search-detail.php?id=137" TargetMode="External"/><Relationship Id="rId11" Type="http://schemas.openxmlformats.org/officeDocument/2006/relationships/image" Target="media/image5.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footnotes" Target="footnote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16</Pages>
  <Words>2209</Words>
  <Characters>12594</Characters>
  <Application>Microsoft Office Word</Application>
  <DocSecurity>0</DocSecurity>
  <Lines>104</Lines>
  <Paragraphs>29</Paragraphs>
  <ScaleCrop>false</ScaleCrop>
  <Company/>
  <LinksUpToDate>false</LinksUpToDate>
  <CharactersWithSpaces>14774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ThinkPad</cp:lastModifiedBy>
  <cp:revision>436</cp:revision>
  <dcterms:created xsi:type="dcterms:W3CDTF">2022-06-14T03:23:00Z</dcterms:created>
  <dcterms:modified xsi:type="dcterms:W3CDTF">2022-08-09T08:07:00Z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5A4292DDA0E947C9AED40EEC9DD8D312</vt:lpwstr>
  </property>
</Properties>
</file>