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2DC" w:rsidRDefault="004C72DC" w:rsidP="004C72DC">
      <w:pPr>
        <w:spacing w:line="259" w:lineRule="auto"/>
        <w:jc w:val="left"/>
        <w:rPr>
          <w:b/>
        </w:rPr>
      </w:pPr>
      <w:r>
        <w:rPr>
          <w:b/>
        </w:rPr>
        <w:t xml:space="preserve">Figure S11 </w:t>
      </w:r>
    </w:p>
    <w:p w:rsidR="004C72DC" w:rsidRPr="005B79C0" w:rsidRDefault="004C72DC" w:rsidP="004C72DC">
      <w:pPr>
        <w:spacing w:line="259" w:lineRule="auto"/>
        <w:jc w:val="left"/>
        <w:rPr>
          <w:b/>
        </w:rPr>
      </w:pPr>
      <w:r>
        <w:rPr>
          <w:b/>
          <w:noProof/>
          <w:lang w:val="de-DE" w:eastAsia="de-DE"/>
        </w:rPr>
        <w:drawing>
          <wp:inline distT="0" distB="0" distL="0" distR="0" wp14:anchorId="69FA774B" wp14:editId="48BF5B14">
            <wp:extent cx="3524250" cy="3551352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903" cy="36124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72DC" w:rsidRPr="006465F4" w:rsidRDefault="004C72DC" w:rsidP="004C72DC">
      <w:pPr>
        <w:rPr>
          <w:b/>
        </w:rPr>
      </w:pPr>
      <w:r>
        <w:rPr>
          <w:noProof/>
          <w:lang w:val="de-DE" w:eastAsia="de-DE"/>
        </w:rPr>
        <w:drawing>
          <wp:inline distT="0" distB="0" distL="0" distR="0" wp14:anchorId="7015D824" wp14:editId="1111E108">
            <wp:extent cx="5238750" cy="3904500"/>
            <wp:effectExtent l="0" t="0" r="0" b="127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022" cy="3968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72DC" w:rsidRDefault="004C72DC" w:rsidP="004C72DC">
      <w:pPr>
        <w:rPr>
          <w:sz w:val="22"/>
        </w:rPr>
      </w:pPr>
      <w:r w:rsidRPr="004530AA">
        <w:rPr>
          <w:b/>
          <w:sz w:val="22"/>
        </w:rPr>
        <w:lastRenderedPageBreak/>
        <w:t>Distribu</w:t>
      </w:r>
      <w:r w:rsidR="00AF6D3E">
        <w:rPr>
          <w:b/>
          <w:sz w:val="22"/>
        </w:rPr>
        <w:t>tion and expression levels of p-</w:t>
      </w:r>
      <w:r w:rsidR="00AF6D3E">
        <w:rPr>
          <w:rFonts w:cs="Arial"/>
          <w:b/>
          <w:sz w:val="22"/>
        </w:rPr>
        <w:t>γ</w:t>
      </w:r>
      <w:bookmarkStart w:id="0" w:name="_GoBack"/>
      <w:bookmarkEnd w:id="0"/>
      <w:r w:rsidRPr="004530AA">
        <w:rPr>
          <w:b/>
          <w:sz w:val="22"/>
        </w:rPr>
        <w:t>H2A.x and RAD51 after KDM6A overexpression and endogenous localization of KDM6A during mitosis</w:t>
      </w:r>
      <w:r w:rsidRPr="004530AA">
        <w:rPr>
          <w:sz w:val="22"/>
        </w:rPr>
        <w:t xml:space="preserve">. </w:t>
      </w:r>
      <w:r w:rsidRPr="004530AA">
        <w:rPr>
          <w:b/>
          <w:sz w:val="22"/>
        </w:rPr>
        <w:t>A</w:t>
      </w:r>
      <w:r w:rsidR="00AF6D3E">
        <w:rPr>
          <w:sz w:val="22"/>
        </w:rPr>
        <w:t>. p-</w:t>
      </w:r>
      <w:r w:rsidR="00AF6D3E">
        <w:rPr>
          <w:rFonts w:cs="Arial"/>
          <w:sz w:val="22"/>
        </w:rPr>
        <w:t>γ</w:t>
      </w:r>
      <w:r>
        <w:rPr>
          <w:sz w:val="22"/>
        </w:rPr>
        <w:t>H2A.x</w:t>
      </w:r>
      <w:r w:rsidRPr="004530AA">
        <w:rPr>
          <w:sz w:val="22"/>
        </w:rPr>
        <w:t xml:space="preserve"> protein level in untransfected and KDM6A variants transfected T-24 cells. Note, that even in strongly </w:t>
      </w:r>
      <w:r w:rsidR="00AF6D3E">
        <w:rPr>
          <w:sz w:val="22"/>
        </w:rPr>
        <w:t>overexpressed KDM6A WT cells, p-</w:t>
      </w:r>
      <w:r w:rsidR="00AF6D3E">
        <w:rPr>
          <w:rFonts w:cs="Arial"/>
          <w:sz w:val="22"/>
        </w:rPr>
        <w:t>γ</w:t>
      </w:r>
      <w:r w:rsidRPr="004530AA">
        <w:rPr>
          <w:sz w:val="22"/>
        </w:rPr>
        <w:t xml:space="preserve">H2A.x </w:t>
      </w:r>
      <w:proofErr w:type="gramStart"/>
      <w:r w:rsidRPr="004530AA">
        <w:rPr>
          <w:sz w:val="22"/>
        </w:rPr>
        <w:t>was not increased</w:t>
      </w:r>
      <w:proofErr w:type="gramEnd"/>
      <w:r w:rsidRPr="004530AA">
        <w:rPr>
          <w:sz w:val="22"/>
        </w:rPr>
        <w:t>,</w:t>
      </w:r>
      <w:r w:rsidR="00AF6D3E">
        <w:rPr>
          <w:sz w:val="22"/>
        </w:rPr>
        <w:t xml:space="preserve"> but strongly in KDM6A </w:t>
      </w:r>
      <w:proofErr w:type="spellStart"/>
      <w:r w:rsidR="00AF6D3E">
        <w:rPr>
          <w:sz w:val="22"/>
        </w:rPr>
        <w:t>JmjC</w:t>
      </w:r>
      <w:proofErr w:type="spellEnd"/>
      <w:r w:rsidR="00AF6D3E">
        <w:rPr>
          <w:sz w:val="22"/>
        </w:rPr>
        <w:t xml:space="preserve"> and </w:t>
      </w:r>
      <w:r w:rsidR="00AF6D3E">
        <w:rPr>
          <w:rFonts w:cs="Arial"/>
          <w:sz w:val="22"/>
        </w:rPr>
        <w:t>Δ</w:t>
      </w:r>
      <w:r w:rsidRPr="004530AA">
        <w:rPr>
          <w:sz w:val="22"/>
        </w:rPr>
        <w:t xml:space="preserve">TPR cells. </w:t>
      </w:r>
      <w:r w:rsidRPr="004530AA">
        <w:rPr>
          <w:b/>
          <w:sz w:val="22"/>
        </w:rPr>
        <w:t>B</w:t>
      </w:r>
      <w:r w:rsidRPr="004530AA">
        <w:rPr>
          <w:sz w:val="22"/>
        </w:rPr>
        <w:t>. endogenous localization of KDM6A (CST antibody, 2</w:t>
      </w:r>
      <w:r w:rsidRPr="004530AA">
        <w:rPr>
          <w:sz w:val="22"/>
          <w:vertAlign w:val="superscript"/>
        </w:rPr>
        <w:t>nd</w:t>
      </w:r>
      <w:r w:rsidRPr="004530AA">
        <w:rPr>
          <w:sz w:val="22"/>
        </w:rPr>
        <w:t xml:space="preserve"> antibody goat-anti-rabbit </w:t>
      </w:r>
      <w:proofErr w:type="spellStart"/>
      <w:r w:rsidRPr="004530AA">
        <w:rPr>
          <w:sz w:val="22"/>
        </w:rPr>
        <w:t>AbStar</w:t>
      </w:r>
      <w:proofErr w:type="spellEnd"/>
      <w:r w:rsidRPr="004530AA">
        <w:rPr>
          <w:sz w:val="22"/>
        </w:rPr>
        <w:t xml:space="preserve"> red) as imaged with Leica STED SP8 in HBLAK cells. For STED, the sample was depleted with 35% of 775 nm laser. </w:t>
      </w:r>
      <w:r w:rsidRPr="004530AA">
        <w:rPr>
          <w:b/>
          <w:sz w:val="22"/>
        </w:rPr>
        <w:t>C</w:t>
      </w:r>
      <w:r w:rsidRPr="004530AA">
        <w:rPr>
          <w:sz w:val="22"/>
        </w:rPr>
        <w:t>. RAD51 proteins were detected at a persisting chromatin bridge of two daughter cells, with cell 1 being KDM</w:t>
      </w:r>
      <w:r w:rsidR="00AF6D3E">
        <w:rPr>
          <w:sz w:val="22"/>
        </w:rPr>
        <w:t xml:space="preserve">6A </w:t>
      </w:r>
      <w:r w:rsidR="00AF6D3E">
        <w:rPr>
          <w:rFonts w:cs="Arial"/>
          <w:sz w:val="22"/>
        </w:rPr>
        <w:t>Δ</w:t>
      </w:r>
      <w:r w:rsidRPr="004530AA">
        <w:rPr>
          <w:sz w:val="22"/>
        </w:rPr>
        <w:t>TPR positive. Image was taken with Abberior STED, excitation laser 640 nm 5% and depletion laser 775 nm with 40%.</w:t>
      </w:r>
    </w:p>
    <w:p w:rsidR="00F10FE2" w:rsidRDefault="00F10FE2"/>
    <w:sectPr w:rsidR="00F10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2DC"/>
    <w:rsid w:val="004C72DC"/>
    <w:rsid w:val="00AF6D3E"/>
    <w:rsid w:val="00BB121F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1D0E5"/>
  <w15:chartTrackingRefBased/>
  <w15:docId w15:val="{A45F8ADC-1121-46B5-8664-866EEDE7B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C72DC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674</Characters>
  <Application>Microsoft Office Word</Application>
  <DocSecurity>0</DocSecurity>
  <Lines>9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Koch, Julian</cp:lastModifiedBy>
  <cp:revision>2</cp:revision>
  <dcterms:created xsi:type="dcterms:W3CDTF">2020-12-11T11:46:00Z</dcterms:created>
  <dcterms:modified xsi:type="dcterms:W3CDTF">2020-12-14T13:41:00Z</dcterms:modified>
</cp:coreProperties>
</file>